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r>
        <w:rPr>
          <w:rFonts w:ascii="Times New Roman" w:hAnsi="Times New Roman"/>
          <w:b w:val="1"/>
          <w:bCs w:val="1"/>
          <w:outline w:val="0"/>
          <w:color w:val="000000"/>
          <w:sz w:val="32"/>
          <w:szCs w:val="32"/>
          <w:u w:color="000000"/>
          <w:rtl w:val="0"/>
          <w:lang w:val="fr-FR"/>
          <w14:textFill>
            <w14:solidFill>
              <w14:srgbClr w14:val="000000"/>
            </w14:solidFill>
          </w14:textFill>
        </w:rPr>
        <w:t>Assessment 2 Community Engagement</w:t>
        <w:tab/>
      </w:r>
    </w:p>
    <w:p>
      <w:pPr>
        <w:pStyle w:val="Body"/>
        <w:tabs>
          <w:tab w:val="center" w:pos="4514"/>
        </w:tabs>
        <w:spacing w:line="360" w:lineRule="auto"/>
        <w:jc w:val="center"/>
        <w:rPr>
          <w:rFonts w:ascii="Times New Roman" w:cs="Times New Roman" w:hAnsi="Times New Roman" w:eastAsia="Times New Roman"/>
          <w:b w:val="1"/>
          <w:bCs w:val="1"/>
          <w:outline w:val="0"/>
          <w:color w:val="000000"/>
          <w:sz w:val="32"/>
          <w:szCs w:val="32"/>
          <w:u w:color="000000"/>
          <w14:textFill>
            <w14:solidFill>
              <w14:srgbClr w14:val="000000"/>
            </w14:solidFill>
          </w14:textFill>
        </w:rPr>
      </w:pPr>
      <w:r>
        <w:rPr>
          <w:rFonts w:ascii="Times New Roman" w:hAnsi="Times New Roman"/>
          <w:b w:val="1"/>
          <w:bCs w:val="1"/>
          <w:outline w:val="0"/>
          <w:color w:val="000000"/>
          <w:sz w:val="32"/>
          <w:szCs w:val="32"/>
          <w:u w:color="000000"/>
          <w:rtl w:val="0"/>
          <w14:textFill>
            <w14:solidFill>
              <w14:srgbClr w14:val="000000"/>
            </w14:solidFill>
          </w14:textFill>
        </w:rPr>
        <w:t>Molly Jack</w:t>
      </w:r>
    </w:p>
    <w:p>
      <w:pPr>
        <w:pStyle w:val="Body"/>
        <w:tabs>
          <w:tab w:val="center" w:pos="4514"/>
        </w:tabs>
        <w:spacing w:line="360" w:lineRule="auto"/>
        <w:jc w:val="center"/>
      </w:pPr>
      <w:r>
        <w:rPr>
          <w:rFonts w:ascii="Times New Roman" w:hAnsi="Times New Roman"/>
          <w:b w:val="1"/>
          <w:bCs w:val="1"/>
          <w:outline w:val="0"/>
          <w:color w:val="000000"/>
          <w:sz w:val="32"/>
          <w:szCs w:val="32"/>
          <w:u w:color="000000"/>
          <w:rtl w:val="0"/>
          <w14:textFill>
            <w14:solidFill>
              <w14:srgbClr w14:val="000000"/>
            </w14:solidFill>
          </w14:textFill>
        </w:rPr>
        <w:t>Dumitrita Coudin (2030848)</w:t>
      </w:r>
      <w:r>
        <w:rPr>
          <w:rFonts w:ascii="Arial Unicode MS" w:cs="Arial Unicode MS" w:hAnsi="Arial Unicode MS" w:eastAsia="Arial Unicode MS"/>
          <w:b w:val="0"/>
          <w:bCs w:val="0"/>
          <w:i w:val="0"/>
          <w:iCs w:val="0"/>
          <w:outline w:val="0"/>
          <w:color w:val="000000"/>
          <w:sz w:val="32"/>
          <w:szCs w:val="32"/>
          <w:u w:color="000000"/>
          <w14:textFill>
            <w14:solidFill>
              <w14:srgbClr w14:val="000000"/>
            </w14:solidFill>
          </w14:textFill>
        </w:rPr>
        <w:br w:type="page"/>
      </w:r>
    </w:p>
    <w:p>
      <w:pPr>
        <w:pStyle w:val="TOC Heading"/>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Table of Contents</w:t>
      </w:r>
    </w:p>
    <w:p>
      <w:pPr>
        <w:pStyle w:val="Body"/>
        <w:rPr>
          <w:lang w:val="en-US"/>
        </w:rPr>
      </w:pPr>
    </w:p>
    <w:p>
      <w:pPr>
        <w:pStyle w:val="Body"/>
        <w:spacing w:line="360" w:lineRule="auto"/>
        <w:jc w:val="both"/>
      </w:pPr>
      <w:r>
        <w:rPr/>
        <w:fldChar w:fldCharType="begin" w:fldLock="0"/>
      </w:r>
      <w:r>
        <w:instrText xml:space="preserve"> TOC \o 1-2 </w:instrText>
      </w:r>
      <w:r>
        <w:rPr/>
        <w:fldChar w:fldCharType="separate" w:fldLock="0"/>
      </w:r>
    </w:p>
    <w:p>
      <w:pPr>
        <w:pStyle w:val="TOC 1"/>
      </w:pPr>
      <w:r>
        <w:rPr>
          <w:rFonts w:cs="Arial Unicode MS" w:eastAsia="Arial Unicode MS"/>
          <w:rtl w:val="0"/>
        </w:rPr>
        <w:t>Part B: Reflection on the Best Practices of two Community Engagement Events with the Comparison and Critical Analysis and Evaluation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Comparison between two projects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Best practices</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Methods of community research</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Community mapping</w:t>
        <w:tab/>
      </w:r>
      <w:r>
        <w:rPr/>
        <w:fldChar w:fldCharType="begin" w:fldLock="0"/>
      </w:r>
      <w:r>
        <w:instrText xml:space="preserve"> PAGEREF _Toc5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Engagement of social media</w:t>
        <w:tab/>
      </w:r>
      <w:r>
        <w:rPr/>
        <w:fldChar w:fldCharType="begin" w:fldLock="0"/>
      </w:r>
      <w:r>
        <w:instrText xml:space="preserve"> PAGEREF _Toc6 \h </w:instrText>
      </w:r>
      <w:r>
        <w:rPr/>
        <w:fldChar w:fldCharType="separate" w:fldLock="0"/>
      </w:r>
      <w:r>
        <w:rPr>
          <w:rFonts w:cs="Arial Unicode MS" w:eastAsia="Arial Unicode MS"/>
          <w:rtl w:val="0"/>
        </w:rPr>
        <w:t>6</w:t>
      </w:r>
      <w:r>
        <w:rPr/>
        <w:fldChar w:fldCharType="end" w:fldLock="0"/>
      </w:r>
    </w:p>
    <w:p>
      <w:pPr>
        <w:pStyle w:val="TOC 2"/>
      </w:pPr>
      <w:r>
        <w:rPr>
          <w:rFonts w:cs="Arial Unicode MS" w:eastAsia="Arial Unicode MS"/>
          <w:rtl w:val="0"/>
        </w:rPr>
        <w:t>Analysis of impacts</w:t>
        <w:tab/>
      </w:r>
      <w:r>
        <w:rPr/>
        <w:fldChar w:fldCharType="begin" w:fldLock="0"/>
      </w:r>
      <w:r>
        <w:instrText xml:space="preserve"> PAGEREF _Toc7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Differences made by inclusion, effective communication and stakeholder's participation</w:t>
        <w:tab/>
      </w:r>
      <w:r>
        <w:rPr/>
        <w:fldChar w:fldCharType="begin" w:fldLock="0"/>
      </w:r>
      <w:r>
        <w:instrText xml:space="preserve"> PAGEREF _Toc8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Effective communication</w:t>
        <w:tab/>
      </w:r>
      <w:r>
        <w:rPr/>
        <w:fldChar w:fldCharType="begin" w:fldLock="0"/>
      </w:r>
      <w:r>
        <w:instrText xml:space="preserve"> PAGEREF _Toc9 \h </w:instrText>
      </w:r>
      <w:r>
        <w:rPr/>
        <w:fldChar w:fldCharType="separate" w:fldLock="0"/>
      </w:r>
      <w:r>
        <w:rPr>
          <w:rFonts w:cs="Arial Unicode MS" w:eastAsia="Arial Unicode MS"/>
          <w:rtl w:val="0"/>
        </w:rPr>
        <w:t>7</w:t>
      </w:r>
      <w:r>
        <w:rPr/>
        <w:fldChar w:fldCharType="end" w:fldLock="0"/>
      </w:r>
    </w:p>
    <w:p>
      <w:pPr>
        <w:pStyle w:val="TOC 2"/>
      </w:pPr>
      <w:r>
        <w:rPr>
          <w:rFonts w:cs="Arial Unicode MS" w:eastAsia="Arial Unicode MS"/>
          <w:rtl w:val="0"/>
        </w:rPr>
        <w:t>Inclusion</w:t>
        <w:tab/>
      </w:r>
      <w:r>
        <w:rPr/>
        <w:fldChar w:fldCharType="begin" w:fldLock="0"/>
      </w:r>
      <w:r>
        <w:instrText xml:space="preserve"> PAGEREF _Toc10 \h </w:instrText>
      </w:r>
      <w:r>
        <w:rPr/>
        <w:fldChar w:fldCharType="separate" w:fldLock="0"/>
      </w:r>
      <w:r>
        <w:rPr>
          <w:rFonts w:cs="Arial Unicode MS" w:eastAsia="Arial Unicode MS"/>
          <w:rtl w:val="0"/>
        </w:rPr>
        <w:t>9</w:t>
      </w:r>
      <w:r>
        <w:rPr/>
        <w:fldChar w:fldCharType="end" w:fldLock="0"/>
      </w:r>
    </w:p>
    <w:p>
      <w:pPr>
        <w:pStyle w:val="TOC 2"/>
      </w:pPr>
      <w:r>
        <w:rPr>
          <w:rFonts w:cs="Arial Unicode MS" w:eastAsia="Arial Unicode MS" w:hint="default"/>
          <w:rtl w:val="0"/>
        </w:rPr>
        <w:t>Stakeholders’ participation</w:t>
        <w:tab/>
      </w:r>
      <w:r>
        <w:rPr/>
        <w:fldChar w:fldCharType="begin" w:fldLock="0"/>
      </w:r>
      <w:r>
        <w:instrText xml:space="preserve"> PAGEREF _Toc11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Conclusion</w:t>
        <w:tab/>
      </w:r>
      <w:r>
        <w:rPr/>
        <w:fldChar w:fldCharType="begin" w:fldLock="0"/>
      </w:r>
      <w:r>
        <w:instrText xml:space="preserve"> PAGEREF _Toc12 \h </w:instrText>
      </w:r>
      <w:r>
        <w:rPr/>
        <w:fldChar w:fldCharType="separate" w:fldLock="0"/>
      </w:r>
      <w:r>
        <w:rPr>
          <w:rFonts w:cs="Arial Unicode MS" w:eastAsia="Arial Unicode MS"/>
          <w:rtl w:val="0"/>
        </w:rPr>
        <w:t>9</w:t>
      </w:r>
      <w:r>
        <w:rPr/>
        <w:fldChar w:fldCharType="end" w:fldLock="0"/>
      </w:r>
    </w:p>
    <w:p>
      <w:pPr>
        <w:pStyle w:val="TOC 1"/>
      </w:pPr>
      <w:r>
        <w:rPr>
          <w:rFonts w:cs="Arial Unicode MS" w:eastAsia="Arial Unicode MS"/>
          <w:rtl w:val="0"/>
        </w:rPr>
        <w:t>References</w:t>
        <w:tab/>
      </w:r>
      <w:r>
        <w:rPr/>
        <w:fldChar w:fldCharType="begin" w:fldLock="0"/>
      </w:r>
      <w:r>
        <w:instrText xml:space="preserve"> PAGEREF _Toc13 \h </w:instrText>
      </w:r>
      <w:r>
        <w:rPr/>
        <w:fldChar w:fldCharType="separate" w:fldLock="0"/>
      </w:r>
      <w:r>
        <w:rPr>
          <w:rFonts w:cs="Arial Unicode MS" w:eastAsia="Arial Unicode MS"/>
          <w:rtl w:val="0"/>
        </w:rPr>
        <w:t>11</w:t>
      </w:r>
      <w:r>
        <w:rPr/>
        <w:fldChar w:fldCharType="end" w:fldLock="0"/>
      </w:r>
    </w:p>
    <w:p>
      <w:pPr>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fldChar w:fldCharType="end" w:fldLock="0"/>
      </w:r>
    </w:p>
    <w:p>
      <w:pPr>
        <w:pStyle w:val="Body"/>
        <w:spacing w:line="360" w:lineRule="auto"/>
        <w:jc w:val="both"/>
      </w:pPr>
      <w:r>
        <w:rPr>
          <w:rFonts w:ascii="Arial Unicode MS" w:cs="Arial Unicode MS" w:hAnsi="Arial Unicode MS" w:eastAsia="Arial Unicode MS"/>
          <w:b w:val="0"/>
          <w:bCs w:val="0"/>
          <w:i w:val="0"/>
          <w:iCs w:val="0"/>
          <w:outline w:val="0"/>
          <w:color w:val="000000"/>
          <w:sz w:val="24"/>
          <w:szCs w:val="24"/>
          <w:u w:color="000000"/>
          <w14:textFill>
            <w14:solidFill>
              <w14:srgbClr w14:val="000000"/>
            </w14:solidFill>
          </w14:textFill>
        </w:rPr>
        <w:br w:type="page"/>
      </w:r>
    </w:p>
    <w:p>
      <w:pPr>
        <w:pStyle w:val="Heading"/>
      </w:pPr>
      <w:bookmarkStart w:name="_Toc" w:id="0"/>
      <w:r>
        <w:rPr>
          <w:rFonts w:cs="Arial Unicode MS" w:eastAsia="Arial Unicode MS"/>
          <w:rtl w:val="0"/>
          <w:lang w:val="en-US"/>
        </w:rPr>
        <w:t xml:space="preserve">Part B: Reflection on the Best Practices of two Community Engagement Events with the Comparison and Critical Analysis and Evaluation </w:t>
      </w:r>
      <w:bookmarkEnd w:id="0"/>
    </w:p>
    <w:p>
      <w:pPr>
        <w:pStyle w:val="Heading"/>
      </w:pPr>
      <w:bookmarkStart w:name="_Toc1" w:id="1"/>
      <w:r>
        <w:rPr>
          <w:rFonts w:cs="Arial Unicode MS" w:eastAsia="Arial Unicode MS"/>
          <w:rtl w:val="0"/>
          <w:lang w:val="fr-FR"/>
        </w:rPr>
        <w:t>Introduction</w:t>
      </w:r>
      <w:bookmarkEnd w:id="1"/>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Community engagement programme is such an occasion which helps to organise people in one place for a noble cause. Cancer is a big problem in front of the human race for which the medicine is still not available. Pre detection of the disease is the only way possible to defeat the disease. Even after detection, the cure of the disease is not possible for many people due to the high cost of the medicines and treatment procedures (Matheson et al., 2020). That is why awareness and fundraising is very important to defeat cancer from the root. There are various organisations which are constantly working for the welfare of cancer patients and raising funds for better treatment who are unable to pay for their treatment. Cancer research UK and Macmillan Cancer support are the two prominent non-governmental and not for profit organisations who are constantly working for the people who are in battle with cancer and who have already defeated cancer (Pratt et al., 2020). Cancer research UK had organised an event called 'A Very 2020 Race for Life' which was a fundraising event for cancer patients. Macmillan Cancer support had organised an awareness campaign against inequalities among cancer patients. These two events will be compared and analysed for finding best practices, community research methodology, and community mapping. Differences between these two organisations based on inclusion, stakeholders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 participation and effective communication will also be analysed here for better perception.</w:t>
      </w:r>
    </w:p>
    <w:p>
      <w:pPr>
        <w:pStyle w:val="Body"/>
        <w:spacing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inline distT="0" distB="0" distL="0" distR="0">
            <wp:extent cx="2743200" cy="1973581"/>
            <wp:effectExtent l="0" t="0" r="0" b="0"/>
            <wp:docPr id="1073741825" name="officeArt object" descr="image3.png"/>
            <wp:cNvGraphicFramePr/>
            <a:graphic xmlns:a="http://schemas.openxmlformats.org/drawingml/2006/main">
              <a:graphicData uri="http://schemas.openxmlformats.org/drawingml/2006/picture">
                <pic:pic xmlns:pic="http://schemas.openxmlformats.org/drawingml/2006/picture">
                  <pic:nvPicPr>
                    <pic:cNvPr id="1073741825" name="image3.png" descr="image3.png"/>
                    <pic:cNvPicPr>
                      <a:picLocks noChangeAspect="1"/>
                    </pic:cNvPicPr>
                  </pic:nvPicPr>
                  <pic:blipFill>
                    <a:blip r:embed="rId4">
                      <a:extLst/>
                    </a:blip>
                    <a:stretch>
                      <a:fillRect/>
                    </a:stretch>
                  </pic:blipFill>
                  <pic:spPr>
                    <a:xfrm>
                      <a:off x="0" y="0"/>
                      <a:ext cx="2743200" cy="1973581"/>
                    </a:xfrm>
                    <a:prstGeom prst="rect">
                      <a:avLst/>
                    </a:prstGeom>
                    <a:ln w="12700" cap="flat">
                      <a:noFill/>
                      <a:miter lim="400000"/>
                    </a:ln>
                    <a:effectLst/>
                  </pic:spPr>
                </pic:pic>
              </a:graphicData>
            </a:graphic>
          </wp:inline>
        </w:drawing>
      </w:r>
      <w:r>
        <w:rPr>
          <w:rFonts w:ascii="Times New Roman" w:hAnsi="Times New Roman"/>
          <w:outline w:val="0"/>
          <w:color w:val="000000"/>
          <w:sz w:val="24"/>
          <w:szCs w:val="24"/>
          <w:u w:color="000000"/>
          <w:rtl w:val="0"/>
          <w14:textFill>
            <w14:solidFill>
              <w14:srgbClr w14:val="000000"/>
            </w14:solidFill>
          </w14:textFill>
        </w:rPr>
        <w:t xml:space="preserve">    </w:t>
      </w:r>
      <w:r>
        <w:rPr>
          <w:rFonts w:ascii="Times New Roman" w:cs="Times New Roman" w:hAnsi="Times New Roman" w:eastAsia="Times New Roman"/>
          <w:outline w:val="0"/>
          <w:color w:val="000000"/>
          <w:sz w:val="24"/>
          <w:szCs w:val="24"/>
          <w:u w:color="000000"/>
          <w14:textFill>
            <w14:solidFill>
              <w14:srgbClr w14:val="000000"/>
            </w14:solidFill>
          </w14:textFill>
        </w:rPr>
        <w:drawing xmlns:a="http://schemas.openxmlformats.org/drawingml/2006/main">
          <wp:inline distT="0" distB="0" distL="0" distR="0">
            <wp:extent cx="2667000" cy="2035894"/>
            <wp:effectExtent l="0" t="0" r="0" b="0"/>
            <wp:docPr id="1073741826" name="officeArt object" descr="image1.jpg"/>
            <wp:cNvGraphicFramePr/>
            <a:graphic xmlns:a="http://schemas.openxmlformats.org/drawingml/2006/main">
              <a:graphicData uri="http://schemas.openxmlformats.org/drawingml/2006/picture">
                <pic:pic xmlns:pic="http://schemas.openxmlformats.org/drawingml/2006/picture">
                  <pic:nvPicPr>
                    <pic:cNvPr id="1073741826" name="image1.jpg" descr="image1.jpg"/>
                    <pic:cNvPicPr>
                      <a:picLocks noChangeAspect="1"/>
                    </pic:cNvPicPr>
                  </pic:nvPicPr>
                  <pic:blipFill>
                    <a:blip r:embed="rId5">
                      <a:extLst/>
                    </a:blip>
                    <a:stretch>
                      <a:fillRect/>
                    </a:stretch>
                  </pic:blipFill>
                  <pic:spPr>
                    <a:xfrm>
                      <a:off x="0" y="0"/>
                      <a:ext cx="2667000" cy="2035894"/>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Image 1: Logo of Cancer Research UK &amp; Macmillan Cancer Support</w:t>
      </w:r>
    </w:p>
    <w:p>
      <w:pPr>
        <w:pStyle w:val="Body"/>
        <w:spacing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(Source: Pratt et al., 2020)</w:t>
      </w:r>
    </w:p>
    <w:p>
      <w:pPr>
        <w:pStyle w:val="Heading"/>
      </w:pPr>
      <w:bookmarkStart w:name="_Toc2" w:id="2"/>
      <w:r>
        <w:rPr>
          <w:rFonts w:cs="Arial Unicode MS" w:eastAsia="Arial Unicode MS"/>
          <w:rtl w:val="0"/>
          <w:lang w:val="en-US"/>
        </w:rPr>
        <w:t>Comparison between two projects</w:t>
      </w:r>
      <w:bookmarkEnd w:id="2"/>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Community engagement is a process by which people from different groups are gathered and those people are influenced by the activities of the organization. The motive of those organizations is to create awareness among people and by doing so, make this society a better place to live (cancerresearchuk.org, 2021). Through those events, charitable organizations are able to create awareness among people. For any charitable organization, there are several community engagement processes through which organizations are able to create awareness, such as, online interviews and surveys and many more. Cancer Research UK is looking to spread awareness regarding cancer through flagship races. Macmillan Cancer Support is organizing the events with other organizations that are co-producing the events.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difference between those two events is in their approaches and methods of the events. One of the organizations is doing those events for pure charity purposes whereas other organizations are doing but the commercial benefits are also associated there. Cancer Research UK is depending on online platforms, they will run this event on social media platforms. Flagship race for life event will be live telecast through the Facebook page of Cancer Research UK (cancerresearchuk.org, 2021). For Cancer Research UK, it will be easier for them to attract more customers through digital platforms. Cancer Research UK is very active on the social media platform. Macmillan cancer support is focusing to work with different healthcare service provider organizations on both online and offline platforms.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Reasons for Using Different Types of Community Engagement Programmes are that among those two organizations, both of the organizations are working on spreading awareness on cancer. However, the way of doing those events is different. One organization is doing it for the charity purpose and another is doing charity along with the commercial purpose. </w:t>
      </w:r>
    </w:p>
    <w:p>
      <w:pPr>
        <w:pStyle w:val="Heading 2"/>
      </w:pPr>
      <w:bookmarkStart w:name="_Toc3" w:id="3"/>
      <w:r>
        <w:rPr>
          <w:rFonts w:cs="Arial Unicode MS" w:eastAsia="Arial Unicode MS"/>
          <w:rtl w:val="0"/>
          <w:lang w:val="en-US"/>
        </w:rPr>
        <w:t>Best practices</w:t>
      </w:r>
      <w:bookmarkEnd w:id="3"/>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The programme for the community by Cancer Research UK and Macmillan Cancer Support are different to each other. Comparison between those two programs is discussed below:</w:t>
      </w:r>
    </w:p>
    <w:tbl>
      <w:tblPr>
        <w:tblW w:w="902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009"/>
        <w:gridCol w:w="3010"/>
        <w:gridCol w:w="3010"/>
      </w:tblGrid>
      <w:tr>
        <w:tblPrEx>
          <w:shd w:val="clear" w:color="auto" w:fill="ced7e7"/>
        </w:tblPrEx>
        <w:trPr>
          <w:trHeight w:val="310" w:hRule="atLeast"/>
        </w:trPr>
        <w:tc>
          <w:tcPr>
            <w:tcW w:type="dxa" w:w="30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Aspects</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Cancer Research UK</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Macmillan Cancer Support</w:t>
            </w:r>
          </w:p>
        </w:tc>
      </w:tr>
      <w:tr>
        <w:tblPrEx>
          <w:shd w:val="clear" w:color="auto" w:fill="ced7e7"/>
        </w:tblPrEx>
        <w:trPr>
          <w:trHeight w:val="2534" w:hRule="atLeast"/>
        </w:trPr>
        <w:tc>
          <w:tcPr>
            <w:tcW w:type="dxa" w:w="30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Goal</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The main motive of the programme of Cancer Research UK is to support the people during this pandemic and gain awareness among people. </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The motive of Macmillan Cancer Support is to create awareness regarding the disease and to stay healthy in the tough time due to the pandemic (</w:t>
            </w:r>
            <w:r>
              <w:rPr>
                <w:rFonts w:ascii="Times New Roman" w:hAnsi="Times New Roman"/>
                <w:sz w:val="24"/>
                <w:szCs w:val="24"/>
                <w:shd w:val="clear" w:color="auto" w:fill="ffffff"/>
                <w:rtl w:val="0"/>
                <w:lang w:val="en-US"/>
              </w:rPr>
              <w:t>Iacobucci, 2020</w:t>
            </w:r>
            <w:r>
              <w:rPr>
                <w:rFonts w:ascii="Times New Roman" w:hAnsi="Times New Roman"/>
                <w:sz w:val="24"/>
                <w:szCs w:val="24"/>
                <w:shd w:val="nil" w:color="auto" w:fill="auto"/>
                <w:rtl w:val="0"/>
                <w:lang w:val="en-US"/>
              </w:rPr>
              <w:t xml:space="preserve">). </w:t>
            </w:r>
          </w:p>
        </w:tc>
      </w:tr>
      <w:tr>
        <w:tblPrEx>
          <w:shd w:val="clear" w:color="auto" w:fill="ced7e7"/>
        </w:tblPrEx>
        <w:trPr>
          <w:trHeight w:val="3869" w:hRule="atLeast"/>
        </w:trPr>
        <w:tc>
          <w:tcPr>
            <w:tcW w:type="dxa" w:w="30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Collaborations</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The collaborations made by cancer research UK is among with different parks and neighbourhoods as the supporters of can get a chance of walking to promote their events. </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Macmillan Cancer Support made collaborations with different organizations across the globe. Among them, a few are also healthcare facility providers. It will help to reach out to a large number of people for providing services. </w:t>
            </w:r>
          </w:p>
        </w:tc>
      </w:tr>
      <w:tr>
        <w:tblPrEx>
          <w:shd w:val="clear" w:color="auto" w:fill="ced7e7"/>
        </w:tblPrEx>
        <w:trPr>
          <w:trHeight w:val="2979" w:hRule="atLeast"/>
        </w:trPr>
        <w:tc>
          <w:tcPr>
            <w:tcW w:type="dxa" w:w="30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Cultural Integration</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Cancer Research UK is organizing this event for the supporters of their organization and with all their supporters they will create awareness regarding the issues. </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Macmillan Cancer Support is an organization that collaborates with different other organizations to attract more people to raise awareness. </w:t>
            </w:r>
          </w:p>
        </w:tc>
      </w:tr>
      <w:tr>
        <w:tblPrEx>
          <w:shd w:val="clear" w:color="auto" w:fill="ced7e7"/>
        </w:tblPrEx>
        <w:trPr>
          <w:trHeight w:val="3424" w:hRule="atLeast"/>
        </w:trPr>
        <w:tc>
          <w:tcPr>
            <w:tcW w:type="dxa" w:w="3009"/>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b w:val="1"/>
                <w:bCs w:val="1"/>
                <w:sz w:val="24"/>
                <w:szCs w:val="24"/>
                <w:shd w:val="nil" w:color="auto" w:fill="auto"/>
                <w:rtl w:val="0"/>
                <w:lang w:val="en-US"/>
              </w:rPr>
              <w:t>Education and research</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Cancer Research UK is involved in a lot of research and education regarding the awareness of cancer among people. </w:t>
            </w:r>
          </w:p>
        </w:tc>
        <w:tc>
          <w:tcPr>
            <w:tcW w:type="dxa" w:w="3010"/>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top"/>
          </w:tcPr>
          <w:p>
            <w:pPr>
              <w:pStyle w:val="Body"/>
              <w:widowControl w:val="0"/>
              <w:spacing w:line="360" w:lineRule="auto"/>
              <w:jc w:val="both"/>
            </w:pPr>
            <w:r>
              <w:rPr>
                <w:rFonts w:ascii="Times New Roman" w:hAnsi="Times New Roman"/>
                <w:sz w:val="24"/>
                <w:szCs w:val="24"/>
                <w:shd w:val="nil" w:color="auto" w:fill="auto"/>
                <w:rtl w:val="0"/>
                <w:lang w:val="en-US"/>
              </w:rPr>
              <w:t xml:space="preserve">Macmillan Cancer Support also went through several studies to understand the mindset of the people and also the knowledge of people regarding the health issues. To make people more aware both events are going on. </w:t>
            </w:r>
          </w:p>
        </w:tc>
      </w:tr>
    </w:tbl>
    <w:p>
      <w:pPr>
        <w:pStyle w:val="Body"/>
        <w:widowControl w:val="0"/>
        <w:spacing w:line="24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2"/>
      </w:pPr>
      <w:bookmarkStart w:name="_Toc4" w:id="4"/>
      <w:r>
        <w:rPr>
          <w:rFonts w:cs="Arial Unicode MS" w:eastAsia="Arial Unicode MS"/>
          <w:rtl w:val="0"/>
          <w:lang w:val="en-US"/>
        </w:rPr>
        <w:t>Methods of community research</w:t>
      </w:r>
      <w:bookmarkEnd w:id="4"/>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The programmes for community engagement by those two organizations are different from each other. The motive of those two programmes is to create awareness regarding cancer and help the mankind of the society to get all the necessary information regarding this disease (cancerresearchuk.org, 2021). Cancer Research UK will organize a live event on the digital platform to raise awareness among people regarding cancer. </w:t>
      </w:r>
    </w:p>
    <w:p>
      <w:pPr>
        <w:pStyle w:val="Heading 2"/>
      </w:pPr>
      <w:bookmarkStart w:name="_Toc5" w:id="5"/>
      <w:r>
        <w:rPr>
          <w:rFonts w:cs="Arial Unicode MS" w:eastAsia="Arial Unicode MS"/>
          <w:rtl w:val="0"/>
          <w:lang w:val="en-US"/>
        </w:rPr>
        <w:t>Community mapping</w:t>
      </w:r>
      <w:bookmarkEnd w:id="5"/>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 xml:space="preserve">Community mapping is a technique to understand the people present in the community. To understand the people in the community, organizations can use different tools and techniques depending upon the motive of the organization. The methods used by the organization to understand the customers can be different. Macmillan Cancer Support is collecting data through online interviews and surveys. In the time of the pandemic, Cancer Research UK has done their jobs in socially distant groups in parks and neighbours. </w:t>
      </w:r>
    </w:p>
    <w:p>
      <w:pPr>
        <w:pStyle w:val="Heading 2"/>
      </w:pPr>
      <w:bookmarkStart w:name="_Toc6" w:id="6"/>
      <w:r>
        <w:rPr>
          <w:rFonts w:cs="Arial Unicode MS" w:eastAsia="Arial Unicode MS"/>
          <w:rtl w:val="0"/>
          <w:lang w:val="en-US"/>
        </w:rPr>
        <w:t>Engagement of social media</w:t>
      </w:r>
      <w:bookmarkEnd w:id="6"/>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Social media plays a major role in any community programme. It will become easier by implementing the use of social media. Cancer Research UK hosts a live event on its Facebook page. In today</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s time, people of the society are connected with each other through social media especially by Facebook. Hence, running a live event on Facebook will be able to attract more customers (cancerresearchuk.org, 2021). Attracting more customers through Facebook events will be easier. Apart from Facebook, several other social media platforms will be used for the promotion of the event. Macmillan Cancer support will also promote its events on several online platforms. Online surveys and interviews were also conducted by Macmillan Cancer Support to understand the requirements and the problems of the people in the community. </w:t>
      </w:r>
    </w:p>
    <w:p>
      <w:pPr>
        <w:pStyle w:val="Body"/>
        <w:spacing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drawing xmlns:a="http://schemas.openxmlformats.org/drawingml/2006/main">
          <wp:inline distT="0" distB="0" distL="0" distR="0">
            <wp:extent cx="3566161" cy="2282516"/>
            <wp:effectExtent l="0" t="0" r="0" b="0"/>
            <wp:docPr id="1073741827" name="officeArt object" descr="7 Simple Ways to Increase Social Media Engagement"/>
            <wp:cNvGraphicFramePr/>
            <a:graphic xmlns:a="http://schemas.openxmlformats.org/drawingml/2006/main">
              <a:graphicData uri="http://schemas.openxmlformats.org/drawingml/2006/picture">
                <pic:pic xmlns:pic="http://schemas.openxmlformats.org/drawingml/2006/picture">
                  <pic:nvPicPr>
                    <pic:cNvPr id="1073741827" name="7 Simple Ways to Increase Social Media Engagement" descr="7 Simple Ways to Increase Social Media Engagement"/>
                    <pic:cNvPicPr>
                      <a:picLocks noChangeAspect="1"/>
                    </pic:cNvPicPr>
                  </pic:nvPicPr>
                  <pic:blipFill>
                    <a:blip r:embed="rId6">
                      <a:extLst/>
                    </a:blip>
                    <a:stretch>
                      <a:fillRect/>
                    </a:stretch>
                  </pic:blipFill>
                  <pic:spPr>
                    <a:xfrm>
                      <a:off x="0" y="0"/>
                      <a:ext cx="3566161" cy="2282516"/>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fr-FR"/>
          <w14:textFill>
            <w14:solidFill>
              <w14:srgbClr w14:val="000000"/>
            </w14:solidFill>
          </w14:textFill>
        </w:rPr>
        <w:t>Image 2: Social Media Engagement</w:t>
      </w:r>
    </w:p>
    <w:p>
      <w:pPr>
        <w:pStyle w:val="Body"/>
        <w:spacing w:line="360" w:lineRule="auto"/>
        <w:jc w:val="center"/>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(Source: cancerresearchuk.org, 2021)</w:t>
      </w:r>
    </w:p>
    <w:p>
      <w:pPr>
        <w:pStyle w:val="Heading 2"/>
      </w:pPr>
      <w:bookmarkStart w:name="_Toc7" w:id="7"/>
      <w:r>
        <w:rPr>
          <w:rFonts w:cs="Arial Unicode MS" w:eastAsia="Arial Unicode MS"/>
          <w:rtl w:val="0"/>
          <w:lang w:val="en-US"/>
        </w:rPr>
        <w:t>Analysis of impacts</w:t>
      </w:r>
      <w:bookmarkEnd w:id="7"/>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After organizing the events organized by both organizations have made several positive impacts. The steps taken by both those organizations are on the basis of intense research and analysis along with intense promotion in several platforms. In 2018-19, cancer research UK raised 35 million pounds from a community programme. Due to coronavirus, the event was postponed earlier and it will happen after a long time to create awareness (</w:t>
      </w:r>
      <w:r>
        <w:rPr>
          <w:rFonts w:ascii="Times New Roman" w:hAnsi="Times New Roman"/>
          <w:outline w:val="0"/>
          <w:color w:val="000000"/>
          <w:sz w:val="24"/>
          <w:szCs w:val="24"/>
          <w:u w:color="000000"/>
          <w:shd w:val="clear" w:color="auto" w:fill="ffffff"/>
          <w:rtl w:val="0"/>
          <w:lang w:val="fr-FR"/>
          <w14:textFill>
            <w14:solidFill>
              <w14:srgbClr w14:val="000000"/>
            </w14:solidFill>
          </w14:textFill>
        </w:rPr>
        <w:t>Zhou et al., 2018</w:t>
      </w:r>
      <w:r>
        <w:rPr>
          <w:rFonts w:ascii="Times New Roman" w:hAnsi="Times New Roman"/>
          <w:outline w:val="0"/>
          <w:color w:val="000000"/>
          <w:sz w:val="24"/>
          <w:szCs w:val="24"/>
          <w:u w:color="000000"/>
          <w:rtl w:val="0"/>
          <w:lang w:val="en-US"/>
          <w14:textFill>
            <w14:solidFill>
              <w14:srgbClr w14:val="000000"/>
            </w14:solidFill>
          </w14:textFill>
        </w:rPr>
        <w:t xml:space="preserve">). Since it is happening after a long time, the organizers are trying to make it happen on a large scale. </w:t>
      </w:r>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On the other hand, Macmillan Cancer Support, trying to create differences in clinical factors, are trying to provide the patient with the best clinical experience (</w:t>
      </w:r>
      <w:r>
        <w:rPr>
          <w:rFonts w:ascii="Times New Roman" w:hAnsi="Times New Roman"/>
          <w:outline w:val="0"/>
          <w:color w:val="000000"/>
          <w:sz w:val="24"/>
          <w:szCs w:val="24"/>
          <w:u w:color="000000"/>
          <w:shd w:val="clear" w:color="auto" w:fill="ffffff"/>
          <w:rtl w:val="0"/>
          <w14:textFill>
            <w14:solidFill>
              <w14:srgbClr w14:val="000000"/>
            </w14:solidFill>
          </w14:textFill>
        </w:rPr>
        <w:t>Alexander et al., 2019</w:t>
      </w:r>
      <w:r>
        <w:rPr>
          <w:rFonts w:ascii="Times New Roman" w:hAnsi="Times New Roman"/>
          <w:outline w:val="0"/>
          <w:color w:val="000000"/>
          <w:sz w:val="24"/>
          <w:szCs w:val="24"/>
          <w:u w:color="000000"/>
          <w:rtl w:val="0"/>
          <w:lang w:val="en-US"/>
          <w14:textFill>
            <w14:solidFill>
              <w14:srgbClr w14:val="000000"/>
            </w14:solidFill>
          </w14:textFill>
        </w:rPr>
        <w:t xml:space="preserve">). Along with that, to cover all the patients and to create awareness among people, the organization also manages to be able to allocate the resources smoothly so that every patient who requires services can get that on time. The people suffering from cancer are mostly not getting proper treatment and there is a lack of awareness regarding this disease. </w:t>
      </w:r>
    </w:p>
    <w:p>
      <w:pPr>
        <w:pStyle w:val="Heading"/>
      </w:pPr>
      <w:bookmarkStart w:name="_Toc8" w:id="8"/>
      <w:r>
        <w:rPr>
          <w:rFonts w:cs="Arial Unicode MS" w:eastAsia="Arial Unicode MS"/>
          <w:rtl w:val="0"/>
          <w:lang w:val="en-US"/>
        </w:rPr>
        <w:t>Differences made by inclusion, effective communication and stakeholder's participation</w:t>
      </w:r>
      <w:bookmarkEnd w:id="8"/>
    </w:p>
    <w:p>
      <w:pPr>
        <w:pStyle w:val="Heading 2"/>
      </w:pPr>
      <w:bookmarkStart w:name="_Toc9" w:id="9"/>
      <w:r>
        <w:rPr>
          <w:rFonts w:cs="Arial Unicode MS" w:eastAsia="Arial Unicode MS"/>
          <w:rtl w:val="0"/>
          <w:lang w:val="fr-FR"/>
        </w:rPr>
        <w:t>Effective communication</w:t>
      </w:r>
      <w:bookmarkEnd w:id="9"/>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Effective communication is the process of communicating between various stakeholders in any type of work that needs communication. The outcomes of effective communication will always be fruitful and the needs of communication will be fulfilled. For a community engagement program, there will be various stakeholders between which effective communication is very necessary to maintain the works and the aim which needs to be fulfilled (Ratna, 2019). There are some benefits of effective communication in both of the events, and those are described below.</w:t>
      </w:r>
    </w:p>
    <w:p>
      <w:pPr>
        <w:pStyle w:val="Body"/>
        <w:numPr>
          <w:ilvl w:val="0"/>
          <w:numId w:val="2"/>
        </w:numPr>
        <w:bidi w:val="0"/>
        <w:spacing w:line="360" w:lineRule="auto"/>
        <w:ind w:right="0"/>
        <w:jc w:val="both"/>
        <w:rPr>
          <w:rFonts w:ascii="Times New Roman" w:hAnsi="Times New Roman"/>
          <w:b w:val="1"/>
          <w:bCs w:val="1"/>
          <w:sz w:val="24"/>
          <w:szCs w:val="24"/>
          <w:rtl w:val="0"/>
          <w:lang w:val="en-US"/>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Providing direction and clarity: </w:t>
      </w:r>
      <w:r>
        <w:rPr>
          <w:rFonts w:ascii="Times New Roman" w:hAnsi="Times New Roman"/>
          <w:b w:val="0"/>
          <w:bCs w:val="0"/>
          <w:outline w:val="0"/>
          <w:color w:val="000000"/>
          <w:sz w:val="24"/>
          <w:szCs w:val="24"/>
          <w:u w:color="000000"/>
          <w:rtl w:val="0"/>
          <w:lang w:val="en-US"/>
          <w14:textFill>
            <w14:solidFill>
              <w14:srgbClr w14:val="000000"/>
            </w14:solidFill>
          </w14:textFill>
        </w:rPr>
        <w:t>Both the organisation uses effective communication for the propagation of the agendas which needed to be fulfilled. The direction of Cancer research UK was to procure funds by organising a race event for underprivileged patients. The direction of Macmillan Cancer support was to eradicate inequalities among the society for cancer affected people. Due to effective communication, both the directions were clear to the stakeholders and the events were successful.</w:t>
      </w:r>
    </w:p>
    <w:p>
      <w:pPr>
        <w:pStyle w:val="Body"/>
        <w:numPr>
          <w:ilvl w:val="0"/>
          <w:numId w:val="2"/>
        </w:numPr>
        <w:bidi w:val="0"/>
        <w:spacing w:line="360" w:lineRule="auto"/>
        <w:ind w:right="0"/>
        <w:jc w:val="both"/>
        <w:rPr>
          <w:rFonts w:ascii="Times New Roman" w:hAnsi="Times New Roman"/>
          <w:b w:val="1"/>
          <w:bCs w:val="1"/>
          <w:sz w:val="24"/>
          <w:szCs w:val="24"/>
          <w:rtl w:val="0"/>
          <w:lang w:val="en-US"/>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Increased engagement: </w:t>
      </w:r>
      <w:r>
        <w:rPr>
          <w:rFonts w:ascii="Times New Roman" w:hAnsi="Times New Roman"/>
          <w:b w:val="0"/>
          <w:bCs w:val="0"/>
          <w:outline w:val="0"/>
          <w:color w:val="000000"/>
          <w:sz w:val="24"/>
          <w:szCs w:val="24"/>
          <w:u w:color="000000"/>
          <w:rtl w:val="0"/>
          <w:lang w:val="en-US"/>
          <w14:textFill>
            <w14:solidFill>
              <w14:srgbClr w14:val="000000"/>
            </w14:solidFill>
          </w14:textFill>
        </w:rPr>
        <w:t xml:space="preserve">For the success of any event, people's engagement is very necessary. Due to effective communication, the engagement of people was increased in an unimaginable way, and their spontaneous participation embraced both events in an efficient way (Ratna, 2019). </w:t>
      </w:r>
    </w:p>
    <w:p>
      <w:pPr>
        <w:pStyle w:val="Body"/>
        <w:numPr>
          <w:ilvl w:val="0"/>
          <w:numId w:val="2"/>
        </w:numPr>
        <w:bidi w:val="0"/>
        <w:spacing w:line="360" w:lineRule="auto"/>
        <w:ind w:right="0"/>
        <w:jc w:val="both"/>
        <w:rPr>
          <w:rFonts w:ascii="Times New Roman" w:hAnsi="Times New Roman"/>
          <w:sz w:val="24"/>
          <w:szCs w:val="24"/>
          <w:rtl w:val="0"/>
          <w:lang w:val="en-US"/>
        </w:rPr>
      </w:pPr>
      <w:r>
        <w:rPr>
          <w:rFonts w:ascii="Times New Roman" w:hAnsi="Times New Roman"/>
          <w:b w:val="1"/>
          <w:bCs w:val="1"/>
          <w:outline w:val="0"/>
          <w:color w:val="000000"/>
          <w:sz w:val="24"/>
          <w:szCs w:val="24"/>
          <w:u w:color="000000"/>
          <w:rtl w:val="0"/>
          <w:lang w:val="en-US"/>
          <w14:textFill>
            <w14:solidFill>
              <w14:srgbClr w14:val="000000"/>
            </w14:solidFill>
          </w14:textFill>
        </w:rPr>
        <w:t>Improved productivity:</w:t>
      </w:r>
      <w:r>
        <w:rPr>
          <w:rFonts w:ascii="Times New Roman" w:hAnsi="Times New Roman"/>
          <w:outline w:val="0"/>
          <w:color w:val="000000"/>
          <w:sz w:val="24"/>
          <w:szCs w:val="24"/>
          <w:u w:color="000000"/>
          <w:rtl w:val="0"/>
          <w:lang w:val="en-US"/>
          <w14:textFill>
            <w14:solidFill>
              <w14:srgbClr w14:val="000000"/>
            </w14:solidFill>
          </w14:textFill>
        </w:rPr>
        <w:t xml:space="preserve"> Both of the events we</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re looking for maximum productivity that could be done by the members. Due to effective communication, productivity has increased dramatically, and the improvement can be seen also.</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cs="Times New Roman" w:hAnsi="Times New Roman" w:eastAsia="Times New Roman"/>
          <w:b w:val="1"/>
          <w:bCs w:val="1"/>
          <w:outline w:val="0"/>
          <w:color w:val="000000"/>
          <w:sz w:val="24"/>
          <w:szCs w:val="24"/>
          <w:u w:color="000000"/>
          <w14:textFill>
            <w14:solidFill>
              <w14:srgbClr w14:val="000000"/>
            </w14:solidFill>
          </w14:textFill>
        </w:rPr>
        <w:drawing xmlns:a="http://schemas.openxmlformats.org/drawingml/2006/main">
          <wp:inline distT="0" distB="0" distL="0" distR="0">
            <wp:extent cx="5727573" cy="2889253"/>
            <wp:effectExtent l="0" t="0" r="0" b="0"/>
            <wp:docPr id="1073741828" name="officeArt object" descr="image2.jpg"/>
            <wp:cNvGraphicFramePr/>
            <a:graphic xmlns:a="http://schemas.openxmlformats.org/drawingml/2006/main">
              <a:graphicData uri="http://schemas.openxmlformats.org/drawingml/2006/picture">
                <pic:pic xmlns:pic="http://schemas.openxmlformats.org/drawingml/2006/picture">
                  <pic:nvPicPr>
                    <pic:cNvPr id="1073741828" name="image2.jpg" descr="image2.jpg"/>
                    <pic:cNvPicPr>
                      <a:picLocks noChangeAspect="1"/>
                    </pic:cNvPicPr>
                  </pic:nvPicPr>
                  <pic:blipFill>
                    <a:blip r:embed="rId7">
                      <a:extLst/>
                    </a:blip>
                    <a:stretch>
                      <a:fillRect/>
                    </a:stretch>
                  </pic:blipFill>
                  <pic:spPr>
                    <a:xfrm>
                      <a:off x="0" y="0"/>
                      <a:ext cx="5727573" cy="2889253"/>
                    </a:xfrm>
                    <a:prstGeom prst="rect">
                      <a:avLst/>
                    </a:prstGeom>
                    <a:ln w="12700" cap="flat">
                      <a:noFill/>
                      <a:miter lim="400000"/>
                    </a:ln>
                    <a:effectLst/>
                  </pic:spPr>
                </pic:pic>
              </a:graphicData>
            </a:graphic>
          </wp:inline>
        </w:drawing>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Image 3: Characteristics of Effective Communication</w:t>
      </w:r>
    </w:p>
    <w:p>
      <w:pPr>
        <w:pStyle w:val="Body"/>
        <w:spacing w:line="360" w:lineRule="auto"/>
        <w:jc w:val="center"/>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14:textFill>
            <w14:solidFill>
              <w14:srgbClr w14:val="000000"/>
            </w14:solidFill>
          </w14:textFill>
        </w:rPr>
        <w:t>(Source: Ratna, 2019)</w:t>
      </w:r>
    </w:p>
    <w:p>
      <w:pPr>
        <w:pStyle w:val="Heading 2"/>
      </w:pPr>
      <w:bookmarkStart w:name="_Toc10" w:id="10"/>
      <w:r>
        <w:rPr>
          <w:rFonts w:cs="Arial Unicode MS" w:eastAsia="Arial Unicode MS"/>
          <w:rtl w:val="0"/>
          <w:lang w:val="es-ES_tradnl"/>
        </w:rPr>
        <w:t>Inclusion</w:t>
      </w:r>
      <w:bookmarkEnd w:id="10"/>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For completion of any social welfare events or community engagement program, the inclusion of those people who actually need that is very important. By inclusion of those people, the events can be successful as their aim will be fulfilled.</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The inclusion of wealthier people of the society who can donate amounts for underprivileged patients was very necessary for Cancer Research UK in the fundraising programme. People had supported and participated as in the year 2018 or 2019 (cancerresearchuk.org, 2021). </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The inclusion of the people in society was very important for Macmillan Cancer Support, and it is needless to say that people supported the event to spread awareness about the disease.</w:t>
      </w:r>
    </w:p>
    <w:p>
      <w:pPr>
        <w:pStyle w:val="Body"/>
        <w:numPr>
          <w:ilvl w:val="0"/>
          <w:numId w:val="4"/>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The inclusion of the people who were in administrative positions in society was very important for both of the events. They were included in the event participant lists, and they supported the programmes for successful completion (Chung et al., 2020).</w:t>
      </w:r>
    </w:p>
    <w:p>
      <w:pPr>
        <w:pStyle w:val="Heading 2"/>
      </w:pPr>
      <w:bookmarkStart w:name="_Toc11" w:id="11"/>
      <w:r>
        <w:rPr>
          <w:rFonts w:cs="Arial Unicode MS" w:eastAsia="Arial Unicode MS"/>
          <w:rtl w:val="0"/>
        </w:rPr>
        <w:t>Stakeholders</w:t>
      </w:r>
      <w:r>
        <w:rPr>
          <w:rFonts w:cs="Arial Unicode MS" w:eastAsia="Arial Unicode MS" w:hint="default"/>
          <w:rtl w:val="1"/>
        </w:rPr>
        <w:t xml:space="preserve">’ </w:t>
      </w:r>
      <w:r>
        <w:rPr>
          <w:rFonts w:cs="Arial Unicode MS" w:eastAsia="Arial Unicode MS"/>
          <w:rtl w:val="0"/>
          <w:lang w:val="fr-FR"/>
        </w:rPr>
        <w:t>participation</w:t>
      </w:r>
      <w:bookmarkEnd w:id="11"/>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For both of the organisations, the tough task was to look for actual stakeholders who can be eligible for the events. These events are not for everyone, but for those who really need help from society. So, choosing stakeholders was a big task for both organisations.</w:t>
      </w:r>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 xml:space="preserve">The stakeholder's participation was very important for the success of the events. Without their participation, the whole event would be pointless (Asad etal., 2017). </w:t>
      </w:r>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The organising stakeholders like the organising committee, executive committee, board of directors and so on should participate in the program so that the organisation of the whole event will become successful. That has also happened in the case of both organisations.</w:t>
      </w:r>
    </w:p>
    <w:p>
      <w:pPr>
        <w:pStyle w:val="Body"/>
        <w:numPr>
          <w:ilvl w:val="0"/>
          <w:numId w:val="6"/>
        </w:numPr>
        <w:bidi w:val="0"/>
        <w:spacing w:line="360" w:lineRule="auto"/>
        <w:ind w:right="0"/>
        <w:jc w:val="both"/>
        <w:rPr>
          <w:rFonts w:ascii="Times New Roman" w:hAnsi="Times New Roman"/>
          <w:sz w:val="24"/>
          <w:szCs w:val="24"/>
          <w:rtl w:val="0"/>
          <w:lang w:val="en-US"/>
        </w:rPr>
      </w:pPr>
      <w:r>
        <w:rPr>
          <w:rFonts w:ascii="Times New Roman" w:hAnsi="Times New Roman"/>
          <w:outline w:val="0"/>
          <w:color w:val="000000"/>
          <w:sz w:val="24"/>
          <w:szCs w:val="24"/>
          <w:u w:color="000000"/>
          <w:rtl w:val="0"/>
          <w:lang w:val="en-US"/>
          <w14:textFill>
            <w14:solidFill>
              <w14:srgbClr w14:val="000000"/>
            </w14:solidFill>
          </w14:textFill>
        </w:rPr>
        <w:t>With this participation, the experience of organising events will be enriched and more such events can be successfully organised by both of the organisations.</w:t>
      </w:r>
    </w:p>
    <w:p>
      <w:pPr>
        <w:pStyle w:val="Heading"/>
      </w:pPr>
      <w:bookmarkStart w:name="_Toc12" w:id="12"/>
      <w:r>
        <w:rPr>
          <w:rFonts w:cs="Arial Unicode MS" w:eastAsia="Arial Unicode MS"/>
          <w:rtl w:val="0"/>
          <w:lang w:val="it-IT"/>
        </w:rPr>
        <w:t>Conclusion</w:t>
      </w:r>
      <w:bookmarkEnd w:id="12"/>
    </w:p>
    <w:p>
      <w:pPr>
        <w:pStyle w:val="Body"/>
        <w:spacing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Cancer Research in the UK and Macmillan Cancer support both organisations are trying to eradicate cancer disease from the world. Their only aim is to defeat the disease and make human life simple without any death threats from diseases. For that noble cause, the organisations are organising various events which can raise funds, spread awareness, help the patients and so on. Here two events have been taken for a fair comparison and visualising the basic differences. Cancer Research UK is more into raising funds for the poor and underprivileged patients who are not able to treat themselves without any help. Those fundraising events can be the most effective way of helping cancer patients. Millions of pounds have been collected by those events previously and using these uncountable patients regained their life. On the other hand, MacMillan cancer support spreads awareness for this deadly disease which can be defeated with proper identification and measurements taken by people. The patients also face inequalities in society from other people which is absolutely unacceptable. Macmillan wants to remove these things from society for giving peace and equality to all cancer patients. In this reflective assessment, the comparison between these two organisations have been done and various aspects of both organisations have been discovered. Best practices among these two organisations, community research methods, community mapping, the impact of these events on people, and the role of social media platforms are discussed here for better understanding. Differences in terms of effective communication, stakeholders</w:t>
      </w:r>
      <w:r>
        <w:rPr>
          <w:rFonts w:ascii="Times New Roman" w:hAnsi="Times New Roman" w:hint="default"/>
          <w:outline w:val="0"/>
          <w:color w:val="000000"/>
          <w:sz w:val="24"/>
          <w:szCs w:val="24"/>
          <w:u w:color="000000"/>
          <w:rtl w:val="0"/>
          <w:lang w:val="en-US"/>
          <w14:textFill>
            <w14:solidFill>
              <w14:srgbClr w14:val="000000"/>
            </w14:solidFill>
          </w14:textFill>
        </w:rPr>
        <w:t>’</w:t>
      </w:r>
      <w:r>
        <w:rPr>
          <w:rFonts w:ascii="Times New Roman" w:hAnsi="Times New Roman"/>
          <w:outline w:val="0"/>
          <w:color w:val="000000"/>
          <w:sz w:val="24"/>
          <w:szCs w:val="24"/>
          <w:u w:color="000000"/>
          <w:rtl w:val="0"/>
          <w:lang w:val="en-US"/>
          <w14:textFill>
            <w14:solidFill>
              <w14:srgbClr w14:val="000000"/>
            </w14:solidFill>
          </w14:textFill>
        </w:rPr>
        <w:t xml:space="preserve"> participation, inclusion have also been analysed for reviewing differences. This assessment will help to learn about the charitable foundations which are working in the United Kingdom for eradicating the deadly disease of cancer. Every country is working by their capacity and capabilities for defeating the disease. Charitable organisations are doing extremely good in this category and that can be the trump card for the battle against cancer.</w:t>
      </w:r>
    </w:p>
    <w:p>
      <w:pPr>
        <w:pStyle w:val="Body"/>
      </w:pPr>
      <w:r>
        <w:rPr>
          <w:rFonts w:ascii="Arial Unicode MS" w:cs="Arial Unicode MS" w:hAnsi="Arial Unicode MS" w:eastAsia="Arial Unicode MS"/>
          <w:b w:val="0"/>
          <w:bCs w:val="0"/>
          <w:i w:val="0"/>
          <w:iCs w:val="0"/>
        </w:rPr>
        <w:br w:type="page"/>
      </w:r>
    </w:p>
    <w:p>
      <w:pPr>
        <w:pStyle w:val="Heading"/>
      </w:pPr>
      <w:bookmarkStart w:name="_Toc13" w:id="13"/>
      <w:r>
        <w:rPr>
          <w:rFonts w:cs="Arial Unicode MS" w:eastAsia="Arial Unicode MS"/>
          <w:rtl w:val="0"/>
          <w:lang w:val="fr-FR"/>
        </w:rPr>
        <w:t xml:space="preserve">References </w:t>
      </w:r>
      <w:bookmarkEnd w:id="13"/>
    </w:p>
    <w:p>
      <w:pPr>
        <w:pStyle w:val="Body"/>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fr-FR"/>
        </w:rPr>
        <w:t>Journals</w:t>
      </w:r>
    </w:p>
    <w:p>
      <w:pPr>
        <w:pStyle w:val="Body"/>
        <w:rPr>
          <w:rFonts w:ascii="Times New Roman" w:cs="Times New Roman" w:hAnsi="Times New Roman" w:eastAsia="Times New Roman"/>
          <w:b w:val="1"/>
          <w:bCs w:val="1"/>
          <w:sz w:val="24"/>
          <w:szCs w:val="24"/>
        </w:rPr>
      </w:pP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Alexander, S., Bridges, J., Kalsi, T., Meltzer, D., Lewis, I. and Seymour, M., 2019. Improving outcomes for older people with cancer</w:t>
      </w:r>
      <w:r>
        <w:rPr>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A workshop of the UK National Cancer Research Institute. </w:t>
      </w:r>
      <w:r>
        <w:rPr>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Journal of geriatric oncology</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Fonts w:ascii="Times New Roman" w:hAnsi="Times New Roman"/>
          <w:i w:val="1"/>
          <w:iCs w:val="1"/>
          <w:outline w:val="0"/>
          <w:color w:val="000000"/>
          <w:sz w:val="24"/>
          <w:szCs w:val="24"/>
          <w:u w:color="000000"/>
          <w:shd w:val="clear" w:color="auto" w:fill="ffffff"/>
          <w:rtl w:val="0"/>
          <w14:textFill>
            <w14:solidFill>
              <w14:srgbClr w14:val="000000"/>
            </w14:solidFill>
          </w14:textFill>
        </w:rPr>
        <w:t>10</w:t>
      </w:r>
      <w:r>
        <w:rPr>
          <w:rFonts w:ascii="Times New Roman" w:hAnsi="Times New Roman"/>
          <w:outline w:val="0"/>
          <w:color w:val="000000"/>
          <w:sz w:val="24"/>
          <w:szCs w:val="24"/>
          <w:u w:color="000000"/>
          <w:shd w:val="clear" w:color="auto" w:fill="ffffff"/>
          <w:rtl w:val="0"/>
          <w14:textFill>
            <w14:solidFill>
              <w14:srgbClr w14:val="000000"/>
            </w14:solidFill>
          </w14:textFill>
        </w:rPr>
        <w:t xml:space="preserve">(3), pp.378-381. </w:t>
      </w:r>
      <w:r>
        <w:rPr>
          <w:rFonts w:ascii="Times New Roman" w:hAnsi="Times New Roman"/>
          <w:outline w:val="0"/>
          <w:color w:val="000000"/>
          <w:sz w:val="24"/>
          <w:szCs w:val="24"/>
          <w:u w:color="000000"/>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"https://eprints.soton.ac.uk/428405/1/Improving_outcomes_for_older_people_with_cancer.pdf"</w:instrText>
      </w:r>
      <w:r>
        <w:rPr>
          <w:rStyle w:val="Hyperlink.0"/>
        </w:rPr>
        <w:fldChar w:fldCharType="separate" w:fldLock="0"/>
      </w:r>
      <w:r>
        <w:rPr>
          <w:rStyle w:val="Hyperlink.0"/>
          <w:rtl w:val="0"/>
          <w:lang w:val="en-US"/>
        </w:rPr>
        <w:t>https://eprints.soton.ac.uk/428405/1/Improving_outcomes_for_older_people_with_cancer.pdf</w:t>
      </w:r>
      <w:r>
        <w:rPr/>
        <w:fldChar w:fldCharType="end" w:fldLock="0"/>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Asad, M., Le Dantec, C.A., Nielsen, B. and Diedrick, K., 2017, May. Creating a sociotechnical API: Designing city-scale community engagement. In Proceedings of the 2017 CHI conference on human factors in computing systems (pp. 2295-2306). Available at: https://dl.acm.org/doi/pdf/10.1145/3025453.3025963</w:t>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Chung, B.G., Ehrhart, K.H., Shore, L.M., Randel, A.E., Dean, M.A. and Kedharnath, U., 2020. Work group inclusion: Test of a scale and model. Group &amp; Organization Management, 45(1), pp.75-102.Available at: https://journals.sagepub.com/doi/pdf/10.1177/1059601119839858</w:t>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Iacobucci, G., 2020. Covid-19 makes the future of UK clinical research uncertain. </w:t>
      </w:r>
      <w:r>
        <w:rPr>
          <w:rStyle w:val="None"/>
          <w:rFonts w:ascii="Times New Roman" w:hAnsi="Times New Roman"/>
          <w:i w:val="1"/>
          <w:iCs w:val="1"/>
          <w:outline w:val="0"/>
          <w:color w:val="000000"/>
          <w:sz w:val="24"/>
          <w:szCs w:val="24"/>
          <w:u w:color="000000"/>
          <w:shd w:val="clear" w:color="auto" w:fill="ffffff"/>
          <w:rtl w:val="0"/>
          <w14:textFill>
            <w14:solidFill>
              <w14:srgbClr w14:val="000000"/>
            </w14:solidFill>
          </w14:textFill>
        </w:rPr>
        <w:t>BMJ</w:t>
      </w:r>
      <w:r>
        <w:rPr>
          <w:rStyle w:val="None"/>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shd w:val="clear" w:color="auto" w:fill="ffffff"/>
          <w:rtl w:val="0"/>
          <w14:textFill>
            <w14:solidFill>
              <w14:srgbClr w14:val="000000"/>
            </w14:solidFill>
          </w14:textFill>
        </w:rPr>
        <w:t>369</w:t>
      </w:r>
      <w:r>
        <w:rPr>
          <w:rStyle w:val="None"/>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"https://web.archive.org/web/20200710024820id_/https://www.bmj.com/content/bmj/369/bmj.m1619.full.pdf"</w:instrText>
      </w:r>
      <w:r>
        <w:rPr>
          <w:rStyle w:val="Hyperlink.0"/>
        </w:rPr>
        <w:fldChar w:fldCharType="separate" w:fldLock="0"/>
      </w:r>
      <w:r>
        <w:rPr>
          <w:rStyle w:val="Hyperlink.0"/>
          <w:rtl w:val="0"/>
          <w:lang w:val="en-US"/>
        </w:rPr>
        <w:t>https://web.archive.org/web/20200710024820id_/https://www.bmj.com/content/bmj/369/bmj.m1619.full.pdf</w:t>
      </w:r>
      <w:r>
        <w:rPr/>
        <w:fldChar w:fldCharType="end" w:fldLock="0"/>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Matheson, D.W., Rempe, G., Saltis, M.N. and Nowag, A.D., 2020. Community engagement: mentor beliefs across training and experience. Mentoring &amp; Tutoring: Partnership in Learning, 28(1), pp.26-43. Available at: https://www.researchgate.net/profile/Michelle-Saltis/publication/339745250_Community_engagement_mentor_beliefs_across_training_and_experience/links/5e947401a6fdcca78913344e/Community-engagement-mentor-beliefs-across-training-and-experience.pdf</w:t>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Pratt, B., Cheah, P.Y. and Marsh, V., 2020. Solidarity and community engagement in global health research. The American Journal of Bioethics, 20(5), pp.43-56. Available at: https://www.tandfonline.com/doi/pdf/10.1080/15265161.2020.1745930</w:t>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rtl w:val="0"/>
          <w:lang w:val="en-US"/>
          <w14:textFill>
            <w14:solidFill>
              <w14:srgbClr w14:val="000000"/>
            </w14:solidFill>
          </w14:textFill>
        </w:rPr>
        <w:t>Ratna, H., 2019. The importance of effective communication in healthcare practice. Harvard Public Health Review, 23, pp.1-6. Available at: https://harvardpublichealthreview.org/wp-content/uploads/2019/09/Vol-23_Effective-Communication-in-Healthcare_HPHR.pdf</w:t>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outline w:val="0"/>
          <w:color w:val="000000"/>
          <w:sz w:val="24"/>
          <w:szCs w:val="24"/>
          <w:u w:color="000000"/>
          <w:shd w:val="clear" w:color="auto" w:fill="ffffff"/>
          <w:rtl w:val="0"/>
          <w:lang w:val="en-US"/>
          <w14:textFill>
            <w14:solidFill>
              <w14:srgbClr w14:val="000000"/>
            </w14:solidFill>
          </w14:textFill>
        </w:rPr>
        <w:t>Zhou, C.D., Head, M.G., Marshall, D.C., Gilbert, B.J., El-Harasis, M.A., Raine, R., O</w:t>
      </w:r>
      <w:r>
        <w:rPr>
          <w:rStyle w:val="None"/>
          <w:rFonts w:ascii="Times New Roman" w:hAnsi="Times New Roman" w:hint="default"/>
          <w:outline w:val="0"/>
          <w:color w:val="000000"/>
          <w:sz w:val="24"/>
          <w:szCs w:val="24"/>
          <w:u w:color="000000"/>
          <w:shd w:val="clear" w:color="auto" w:fill="ffffff"/>
          <w:rtl w:val="0"/>
          <w:lang w:val="en-US"/>
          <w14:textFill>
            <w14:solidFill>
              <w14:srgbClr w14:val="000000"/>
            </w14:solidFill>
          </w14:textFill>
        </w:rPr>
        <w:t>’</w:t>
      </w:r>
      <w:r>
        <w:rPr>
          <w:rStyle w:val="None"/>
          <w:rFonts w:ascii="Times New Roman" w:hAnsi="Times New Roman"/>
          <w:outline w:val="0"/>
          <w:color w:val="000000"/>
          <w:sz w:val="24"/>
          <w:szCs w:val="24"/>
          <w:u w:color="000000"/>
          <w:shd w:val="clear" w:color="auto" w:fill="ffffff"/>
          <w:rtl w:val="0"/>
          <w:lang w:val="en-US"/>
          <w14:textFill>
            <w14:solidFill>
              <w14:srgbClr w14:val="000000"/>
            </w14:solidFill>
          </w14:textFill>
        </w:rPr>
        <w:t xml:space="preserve">Connor, H., Atun, R. and Maruthappu, M., 2018. A systematic analysis of UK cancer research funding by gender of primary investigator. </w:t>
      </w:r>
      <w:r>
        <w:rPr>
          <w:rStyle w:val="None"/>
          <w:rFonts w:ascii="Times New Roman" w:hAnsi="Times New Roman"/>
          <w:i w:val="1"/>
          <w:iCs w:val="1"/>
          <w:outline w:val="0"/>
          <w:color w:val="000000"/>
          <w:sz w:val="24"/>
          <w:szCs w:val="24"/>
          <w:u w:color="000000"/>
          <w:shd w:val="clear" w:color="auto" w:fill="ffffff"/>
          <w:rtl w:val="0"/>
          <w:lang w:val="en-US"/>
          <w14:textFill>
            <w14:solidFill>
              <w14:srgbClr w14:val="000000"/>
            </w14:solidFill>
          </w14:textFill>
        </w:rPr>
        <w:t>BMJ open</w:t>
      </w:r>
      <w:r>
        <w:rPr>
          <w:rStyle w:val="None"/>
          <w:rFonts w:ascii="Times New Roman" w:hAnsi="Times New Roman"/>
          <w:outline w:val="0"/>
          <w:color w:val="000000"/>
          <w:sz w:val="24"/>
          <w:szCs w:val="24"/>
          <w:u w:color="000000"/>
          <w:shd w:val="clear" w:color="auto" w:fill="ffffff"/>
          <w:rtl w:val="0"/>
          <w14:textFill>
            <w14:solidFill>
              <w14:srgbClr w14:val="000000"/>
            </w14:solidFill>
          </w14:textFill>
        </w:rPr>
        <w:t xml:space="preserve">, </w:t>
      </w:r>
      <w:r>
        <w:rPr>
          <w:rStyle w:val="None"/>
          <w:rFonts w:ascii="Times New Roman" w:hAnsi="Times New Roman"/>
          <w:i w:val="1"/>
          <w:iCs w:val="1"/>
          <w:outline w:val="0"/>
          <w:color w:val="000000"/>
          <w:sz w:val="24"/>
          <w:szCs w:val="24"/>
          <w:u w:color="000000"/>
          <w:shd w:val="clear" w:color="auto" w:fill="ffffff"/>
          <w:rtl w:val="0"/>
          <w14:textFill>
            <w14:solidFill>
              <w14:srgbClr w14:val="000000"/>
            </w14:solidFill>
          </w14:textFill>
        </w:rPr>
        <w:t>8</w:t>
      </w:r>
      <w:r>
        <w:rPr>
          <w:rStyle w:val="None"/>
          <w:rFonts w:ascii="Times New Roman" w:hAnsi="Times New Roman"/>
          <w:outline w:val="0"/>
          <w:color w:val="000000"/>
          <w:sz w:val="24"/>
          <w:szCs w:val="24"/>
          <w:u w:color="000000"/>
          <w:shd w:val="clear" w:color="auto" w:fill="ffffff"/>
          <w:rtl w:val="0"/>
          <w14:textFill>
            <w14:solidFill>
              <w14:srgbClr w14:val="000000"/>
            </w14:solidFill>
          </w14:textFill>
        </w:rPr>
        <w:t xml:space="preserve">(4), p.e018625. </w:t>
      </w:r>
      <w:r>
        <w:rPr>
          <w:rStyle w:val="None"/>
          <w:rFonts w:ascii="Times New Roman" w:hAnsi="Times New Roman"/>
          <w:outline w:val="0"/>
          <w:color w:val="000000"/>
          <w:sz w:val="24"/>
          <w:szCs w:val="24"/>
          <w:u w:color="000000"/>
          <w:rtl w:val="0"/>
          <w:lang w:val="en-US"/>
          <w14:textFill>
            <w14:solidFill>
              <w14:srgbClr w14:val="000000"/>
            </w14:solidFill>
          </w14:textFill>
        </w:rPr>
        <w:t xml:space="preserve">Available at: </w:t>
      </w:r>
      <w:r>
        <w:rPr>
          <w:rStyle w:val="Hyperlink.0"/>
        </w:rPr>
        <w:fldChar w:fldCharType="begin" w:fldLock="0"/>
      </w:r>
      <w:r>
        <w:rPr>
          <w:rStyle w:val="Hyperlink.0"/>
        </w:rPr>
        <w:instrText xml:space="preserve"> HYPERLINK "https://bmjopen.bmj.com/content/bmjopen/8/4/e018625.full.pdf"</w:instrText>
      </w:r>
      <w:r>
        <w:rPr>
          <w:rStyle w:val="Hyperlink.0"/>
        </w:rPr>
        <w:fldChar w:fldCharType="separate" w:fldLock="0"/>
      </w:r>
      <w:r>
        <w:rPr>
          <w:rStyle w:val="Hyperlink.0"/>
          <w:rtl w:val="0"/>
        </w:rPr>
        <w:t>https://bmjopen.bmj.com/content/bmjopen/8/4/e018625.full.pdf</w:t>
      </w:r>
      <w:r>
        <w:rPr/>
        <w:fldChar w:fldCharType="end" w:fldLock="0"/>
      </w:r>
    </w:p>
    <w:p>
      <w:pPr>
        <w:pStyle w:val="Body"/>
        <w:spacing w:line="360" w:lineRule="auto"/>
        <w:jc w:val="both"/>
        <w:rPr>
          <w:rStyle w:val="None"/>
          <w:rFonts w:ascii="Times New Roman" w:cs="Times New Roman" w:hAnsi="Times New Roman" w:eastAsia="Times New Roman"/>
          <w:outline w:val="0"/>
          <w:color w:val="000000"/>
          <w:sz w:val="24"/>
          <w:szCs w:val="24"/>
          <w:u w:color="000000"/>
          <w14:textFill>
            <w14:solidFill>
              <w14:srgbClr w14:val="000000"/>
            </w14:solidFill>
          </w14:textFill>
        </w:rPr>
      </w:pPr>
      <w:r>
        <w:rPr>
          <w:rStyle w:val="None"/>
          <w:rFonts w:ascii="Times New Roman" w:hAnsi="Times New Roman"/>
          <w:b w:val="1"/>
          <w:bCs w:val="1"/>
          <w:outline w:val="0"/>
          <w:color w:val="000000"/>
          <w:sz w:val="24"/>
          <w:szCs w:val="24"/>
          <w:u w:color="000000"/>
          <w:rtl w:val="0"/>
          <w14:textFill>
            <w14:solidFill>
              <w14:srgbClr w14:val="000000"/>
            </w14:solidFill>
          </w14:textFill>
        </w:rPr>
        <w:t>Website</w:t>
      </w:r>
      <w:r>
        <w:rPr>
          <w:rStyle w:val="None"/>
          <w:rFonts w:ascii="Times New Roman" w:hAnsi="Times New Roman"/>
          <w:outline w:val="0"/>
          <w:color w:val="000000"/>
          <w:sz w:val="24"/>
          <w:szCs w:val="24"/>
          <w:u w:color="000000"/>
          <w:rtl w:val="0"/>
          <w14:textFill>
            <w14:solidFill>
              <w14:srgbClr w14:val="000000"/>
            </w14:solidFill>
          </w14:textFill>
        </w:rPr>
        <w:t xml:space="preserve"> </w:t>
      </w:r>
    </w:p>
    <w:p>
      <w:pPr>
        <w:pStyle w:val="Body"/>
        <w:spacing w:line="360" w:lineRule="auto"/>
        <w:jc w:val="both"/>
      </w:pPr>
      <w:r>
        <w:rPr>
          <w:rStyle w:val="None"/>
          <w:rFonts w:ascii="Times New Roman" w:hAnsi="Times New Roman"/>
          <w:outline w:val="0"/>
          <w:color w:val="000000"/>
          <w:sz w:val="24"/>
          <w:szCs w:val="24"/>
          <w:u w:color="000000"/>
          <w:rtl w:val="0"/>
          <w:lang w:val="en-US"/>
          <w14:textFill>
            <w14:solidFill>
              <w14:srgbClr w14:val="000000"/>
            </w14:solidFill>
          </w14:textFill>
        </w:rPr>
        <w:t xml:space="preserve">cancerresearchuk.org, 2021, </w:t>
      </w:r>
      <w:r>
        <w:rPr>
          <w:rStyle w:val="None"/>
          <w:rFonts w:ascii="Times New Roman" w:hAnsi="Times New Roman"/>
          <w:i w:val="1"/>
          <w:iCs w:val="1"/>
          <w:outline w:val="0"/>
          <w:color w:val="000000"/>
          <w:sz w:val="24"/>
          <w:szCs w:val="24"/>
          <w:u w:color="000000"/>
          <w:rtl w:val="0"/>
          <w:lang w:val="en-US"/>
          <w14:textFill>
            <w14:solidFill>
              <w14:srgbClr w14:val="000000"/>
            </w14:solidFill>
          </w14:textFill>
        </w:rPr>
        <w:t xml:space="preserve">about the events, </w:t>
      </w:r>
      <w:r>
        <w:rPr>
          <w:rStyle w:val="None"/>
          <w:rFonts w:ascii="Times New Roman" w:hAnsi="Times New Roman"/>
          <w:outline w:val="0"/>
          <w:color w:val="000000"/>
          <w:sz w:val="24"/>
          <w:szCs w:val="24"/>
          <w:u w:color="000000"/>
          <w:rtl w:val="0"/>
          <w:lang w:val="en-US"/>
          <w14:textFill>
            <w14:solidFill>
              <w14:srgbClr w14:val="000000"/>
            </w14:solidFill>
          </w14:textFill>
        </w:rPr>
        <w:t>Available at: https://www.cancerresearchuk.org/ [accessed on: 17.08.2021]</w:t>
      </w:r>
    </w:p>
    <w:sectPr>
      <w:headerReference w:type="default" r:id="rId8"/>
      <w:footerReference w:type="default" r:id="rId9"/>
      <w:pgSz w:w="11900" w:h="16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000"/>
        <w:tab w:val="clear" w:pos="9026"/>
      </w:tabs>
      <w:jc w:val="right"/>
    </w:pPr>
    <w:r>
      <w:rPr>
        <w:rtl w:val="0"/>
        <w:lang w:val="en-US"/>
      </w:rPr>
      <w:t xml:space="preserve">Page </w:t>
    </w:r>
    <w:r>
      <w:rPr>
        <w:b w:val="1"/>
        <w:bCs w:val="1"/>
        <w:rtl w:val="0"/>
      </w:rPr>
      <w:fldChar w:fldCharType="begin" w:fldLock="0"/>
    </w:r>
    <w:r>
      <w:rPr>
        <w:b w:val="1"/>
        <w:bCs w:val="1"/>
        <w:rtl w:val="0"/>
      </w:rPr>
      <w:instrText xml:space="preserve"> PAGE </w:instrText>
    </w:r>
    <w:r>
      <w:rPr>
        <w:b w:val="1"/>
        <w:bCs w:val="1"/>
        <w:rtl w:val="0"/>
      </w:rPr>
      <w:fldChar w:fldCharType="separate" w:fldLock="0"/>
    </w:r>
    <w:r>
      <w:rPr>
        <w:b w:val="1"/>
        <w:bCs w:val="1"/>
        <w:rtl w:val="0"/>
      </w:rPr>
    </w:r>
    <w:r>
      <w:rPr>
        <w:b w:val="1"/>
        <w:bCs w:val="1"/>
        <w:rtl w:val="0"/>
      </w:rPr>
      <w:fldChar w:fldCharType="end" w:fldLock="0"/>
    </w:r>
    <w:r>
      <w:rPr>
        <w:rtl w:val="0"/>
        <w:lang w:val="en-US"/>
      </w:rPr>
      <w:t xml:space="preserve"> of </w:t>
    </w:r>
    <w:r>
      <w:rPr>
        <w:b w:val="1"/>
        <w:bCs w:val="1"/>
        <w:rtl w:val="0"/>
      </w:rPr>
      <w:fldChar w:fldCharType="begin" w:fldLock="0"/>
    </w:r>
    <w:r>
      <w:rPr>
        <w:b w:val="1"/>
        <w:bCs w:val="1"/>
        <w:rtl w:val="0"/>
      </w:rPr>
      <w:instrText xml:space="preserve"> NUMPAGES </w:instrText>
    </w:r>
    <w:r>
      <w:rPr>
        <w:b w:val="1"/>
        <w:bCs w:val="1"/>
        <w:rtl w:val="0"/>
      </w:rPr>
      <w:fldChar w:fldCharType="separate" w:fldLock="0"/>
    </w:r>
    <w:r>
      <w:rPr>
        <w:b w:val="1"/>
        <w:bCs w:val="1"/>
        <w:rtl w:val="0"/>
      </w:rPr>
    </w:r>
    <w:r>
      <w:rPr>
        <w:b w:val="1"/>
        <w:bCs w:val="1"/>
        <w:rtl w:val="0"/>
      </w:rPr>
      <w:fldChar w:fldCharType="end" w:fldLock="0"/>
    </w: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7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Imported Style 2"/>
  </w:abstractNum>
  <w:abstractNum w:abstractNumId="3">
    <w:multiLevelType w:val="hybridMultilevel"/>
    <w:styleLink w:val="Imported Style 2"/>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
    <w:multiLevelType w:val="hybridMultilevel"/>
    <w:numStyleLink w:val="Imported Style 3"/>
  </w:abstractNum>
  <w:abstractNum w:abstractNumId="5">
    <w:multiLevelType w:val="hybridMultilevel"/>
    <w:styleLink w:val="Imported Style 3"/>
    <w:lvl w:ilvl="0">
      <w:start w:val="1"/>
      <w:numFmt w:val="bullet"/>
      <w:suff w:val="tab"/>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3"/>
  </w:num>
  <w:num w:numId="4">
    <w:abstractNumId w:val="2"/>
  </w:num>
  <w:num w:numId="5">
    <w:abstractNumId w:val="5"/>
  </w:num>
  <w:num w:numId="6">
    <w:abstractNumId w:val="4"/>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513"/>
        <w:tab w:val="right" w:pos="9026"/>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360" w:lineRule="auto"/>
      <w:ind w:left="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400" w:after="120" w:line="276" w:lineRule="auto"/>
      <w:ind w:left="0" w:right="0" w:firstLine="0"/>
      <w:jc w:val="left"/>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noFill/>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360" w:lineRule="auto"/>
      <w:ind w:left="220" w:right="0" w:firstLine="0"/>
      <w:jc w:val="both"/>
      <w:outlineLvl w:val="9"/>
    </w:pP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360" w:after="120" w:line="276" w:lineRule="auto"/>
      <w:ind w:left="0" w:right="0" w:firstLine="0"/>
      <w:jc w:val="left"/>
      <w:outlineLvl w:val="1"/>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numbering" w:styleId="Imported Style 1">
    <w:name w:val="Imported Style 1"/>
    <w:pPr>
      <w:numPr>
        <w:numId w:val="1"/>
      </w:numPr>
    </w:pPr>
  </w:style>
  <w:style w:type="numbering" w:styleId="Imported Style 2">
    <w:name w:val="Imported Style 2"/>
    <w:pPr>
      <w:numPr>
        <w:numId w:val="3"/>
      </w:numPr>
    </w:pPr>
  </w:style>
  <w:style w:type="numbering" w:styleId="Imported Style 3">
    <w:name w:val="Imported Style 3"/>
    <w:pPr>
      <w:numPr>
        <w:numId w:val="5"/>
      </w:numPr>
    </w:pPr>
  </w:style>
  <w:style w:type="character" w:styleId="None">
    <w:name w:val="None"/>
  </w:style>
  <w:style w:type="character" w:styleId="Hyperlink.0">
    <w:name w:val="Hyperlink.0"/>
    <w:basedOn w:val="None"/>
    <w:next w:val="Hyperlink.0"/>
    <w:rPr>
      <w:rFonts w:ascii="Times New Roman" w:cs="Times New Roman" w:hAnsi="Times New Roman" w:eastAsia="Times New Roman"/>
      <w:outline w:val="0"/>
      <w:color w:val="000000"/>
      <w:sz w:val="24"/>
      <w:szCs w:val="24"/>
      <w:u w:val="single" w:color="000000"/>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1.jpeg"/><Relationship Id="rId6" Type="http://schemas.openxmlformats.org/officeDocument/2006/relationships/image" Target="media/image2.png"/><Relationship Id="rId7" Type="http://schemas.openxmlformats.org/officeDocument/2006/relationships/image" Target="media/image2.jpe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numbering" Target="numbering.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