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2C5F6B" w:rsidRPr="008A739B" w:rsidRDefault="002C5F6B" w:rsidP="00C979BC">
      <w:pPr>
        <w:spacing w:line="360" w:lineRule="auto"/>
        <w:jc w:val="right"/>
        <w:rPr>
          <w:rFonts w:ascii="Times New Roman" w:hAnsi="Times New Roman" w:cs="Times New Roman"/>
          <w:b/>
          <w:color w:val="000000" w:themeColor="text1"/>
          <w:spacing w:val="2"/>
          <w:sz w:val="32"/>
          <w:szCs w:val="32"/>
          <w:shd w:val="clear" w:color="auto" w:fill="FFFFFF"/>
        </w:rPr>
      </w:pPr>
    </w:p>
    <w:p w:rsidR="002C5F6B" w:rsidRPr="008A739B" w:rsidRDefault="00984C6F" w:rsidP="00C979BC">
      <w:pPr>
        <w:spacing w:line="360" w:lineRule="auto"/>
        <w:jc w:val="center"/>
        <w:rPr>
          <w:rFonts w:ascii="Times New Roman" w:eastAsia="Times New Roman" w:hAnsi="Times New Roman" w:cs="Times New Roman"/>
          <w:b/>
          <w:color w:val="000000" w:themeColor="text1"/>
          <w:sz w:val="32"/>
          <w:szCs w:val="32"/>
          <w:lang w:val="en-GB"/>
        </w:rPr>
      </w:pPr>
      <w:r w:rsidRPr="008A739B">
        <w:rPr>
          <w:rFonts w:ascii="Times New Roman" w:hAnsi="Times New Roman" w:cs="Times New Roman"/>
          <w:b/>
          <w:color w:val="000000" w:themeColor="text1"/>
          <w:spacing w:val="2"/>
          <w:sz w:val="32"/>
          <w:szCs w:val="32"/>
          <w:shd w:val="clear" w:color="auto" w:fill="FFFFFF"/>
        </w:rPr>
        <w:t>DEVELOPMENT OF A PLAN BY MEETING THE IDENTIFIED PERSONAL DEVELOPMENT NEEDS AND EXPECTATIONS OF INDIVIDUAL EMPLOYEES IN ASSOCIATED BRITISH FOODS</w:t>
      </w:r>
      <w:r w:rsidRPr="008A739B">
        <w:rPr>
          <w:rFonts w:ascii="Times New Roman" w:eastAsia="Times New Roman" w:hAnsi="Times New Roman" w:cs="Times New Roman"/>
          <w:b/>
          <w:color w:val="000000" w:themeColor="text1"/>
          <w:sz w:val="32"/>
          <w:szCs w:val="32"/>
          <w:lang w:val="en-GB"/>
        </w:rPr>
        <w:br w:type="page"/>
      </w:r>
    </w:p>
    <w:p w:rsidR="006B27FF" w:rsidRPr="008A739B" w:rsidRDefault="006B27FF" w:rsidP="00C979BC">
      <w:pPr>
        <w:pStyle w:val="Normal1"/>
        <w:spacing w:line="360" w:lineRule="auto"/>
        <w:jc w:val="both"/>
        <w:rPr>
          <w:rFonts w:ascii="Times New Roman" w:eastAsia="Times New Roman" w:hAnsi="Times New Roman" w:cs="Times New Roman"/>
          <w:b/>
          <w:color w:val="000000" w:themeColor="text1"/>
          <w:sz w:val="24"/>
          <w:szCs w:val="24"/>
          <w:lang w:val="en-GB"/>
        </w:rPr>
      </w:pPr>
    </w:p>
    <w:p w:rsidR="002C5F6B" w:rsidRPr="008A739B" w:rsidRDefault="00984C6F" w:rsidP="00C979BC">
      <w:pPr>
        <w:pStyle w:val="Normal1"/>
        <w:spacing w:line="360" w:lineRule="auto"/>
        <w:jc w:val="center"/>
        <w:rPr>
          <w:rFonts w:ascii="Times New Roman" w:eastAsia="Times New Roman" w:hAnsi="Times New Roman" w:cs="Times New Roman"/>
          <w:b/>
          <w:color w:val="000000" w:themeColor="text1"/>
          <w:sz w:val="24"/>
          <w:szCs w:val="24"/>
          <w:lang w:val="en-GB"/>
        </w:rPr>
      </w:pPr>
      <w:r w:rsidRPr="008A739B">
        <w:rPr>
          <w:rFonts w:ascii="Times New Roman" w:eastAsia="Times New Roman" w:hAnsi="Times New Roman" w:cs="Times New Roman"/>
          <w:b/>
          <w:color w:val="000000" w:themeColor="text1"/>
          <w:sz w:val="24"/>
          <w:szCs w:val="24"/>
          <w:lang w:val="en-GB"/>
        </w:rPr>
        <w:t xml:space="preserve">Table of Contents </w:t>
      </w:r>
    </w:p>
    <w:p w:rsidR="007D4D74" w:rsidRDefault="00FF6332">
      <w:pPr>
        <w:pStyle w:val="TableofFigures"/>
        <w:tabs>
          <w:tab w:val="right" w:leader="dot" w:pos="9019"/>
        </w:tabs>
        <w:rPr>
          <w:rFonts w:asciiTheme="minorHAnsi" w:eastAsiaTheme="minorEastAsia" w:hAnsiTheme="minorHAnsi" w:cstheme="minorBidi"/>
          <w:noProof/>
          <w:color w:val="auto"/>
          <w:sz w:val="22"/>
          <w:lang w:eastAsia="en-IN"/>
        </w:rPr>
      </w:pPr>
      <w:r w:rsidRPr="008A739B">
        <w:rPr>
          <w:lang w:val="en-GB"/>
        </w:rPr>
        <w:fldChar w:fldCharType="begin"/>
      </w:r>
      <w:r w:rsidR="00984C6F" w:rsidRPr="008A739B">
        <w:rPr>
          <w:lang w:val="en-GB"/>
        </w:rPr>
        <w:instrText xml:space="preserve"> TOC \h \z \t "Heading 1" \c </w:instrText>
      </w:r>
      <w:r w:rsidRPr="008A739B">
        <w:rPr>
          <w:lang w:val="en-GB"/>
        </w:rPr>
        <w:fldChar w:fldCharType="separate"/>
      </w:r>
      <w:hyperlink w:anchor="_Toc87095822" w:history="1">
        <w:r w:rsidR="007D4D74" w:rsidRPr="002F7DBB">
          <w:rPr>
            <w:rStyle w:val="Hyperlink"/>
            <w:noProof/>
            <w:lang w:val="en-GB"/>
          </w:rPr>
          <w:t>Introduction</w:t>
        </w:r>
        <w:r w:rsidR="007D4D74">
          <w:rPr>
            <w:noProof/>
            <w:webHidden/>
          </w:rPr>
          <w:tab/>
        </w:r>
        <w:r w:rsidR="007D4D74">
          <w:rPr>
            <w:noProof/>
            <w:webHidden/>
          </w:rPr>
          <w:fldChar w:fldCharType="begin"/>
        </w:r>
        <w:r w:rsidR="007D4D74">
          <w:rPr>
            <w:noProof/>
            <w:webHidden/>
          </w:rPr>
          <w:instrText xml:space="preserve"> PAGEREF _Toc87095822 \h </w:instrText>
        </w:r>
        <w:r w:rsidR="007D4D74">
          <w:rPr>
            <w:noProof/>
            <w:webHidden/>
          </w:rPr>
        </w:r>
        <w:r w:rsidR="007D4D74">
          <w:rPr>
            <w:noProof/>
            <w:webHidden/>
          </w:rPr>
          <w:fldChar w:fldCharType="separate"/>
        </w:r>
        <w:r w:rsidR="007D4D74">
          <w:rPr>
            <w:noProof/>
            <w:webHidden/>
          </w:rPr>
          <w:t>2</w:t>
        </w:r>
        <w:r w:rsidR="007D4D74">
          <w:rPr>
            <w:noProof/>
            <w:webHidden/>
          </w:rPr>
          <w:fldChar w:fldCharType="end"/>
        </w:r>
      </w:hyperlink>
    </w:p>
    <w:p w:rsidR="007D4D74" w:rsidRDefault="007D4D74">
      <w:pPr>
        <w:pStyle w:val="TableofFigures"/>
        <w:tabs>
          <w:tab w:val="right" w:leader="dot" w:pos="9019"/>
        </w:tabs>
        <w:rPr>
          <w:rFonts w:asciiTheme="minorHAnsi" w:eastAsiaTheme="minorEastAsia" w:hAnsiTheme="minorHAnsi" w:cstheme="minorBidi"/>
          <w:noProof/>
          <w:color w:val="auto"/>
          <w:sz w:val="22"/>
          <w:lang w:eastAsia="en-IN"/>
        </w:rPr>
      </w:pPr>
      <w:hyperlink w:anchor="_Toc87095823" w:history="1">
        <w:r w:rsidRPr="002F7DBB">
          <w:rPr>
            <w:rStyle w:val="Hyperlink"/>
            <w:noProof/>
            <w:lang w:val="en-GB"/>
          </w:rPr>
          <w:t>A. Critical evaluation of development vehicles (</w:t>
        </w:r>
        <w:r w:rsidRPr="002F7DBB">
          <w:rPr>
            <w:rStyle w:val="Hyperlink"/>
            <w:i/>
            <w:noProof/>
            <w:lang w:val="en-GB"/>
          </w:rPr>
          <w:t>performance appraisal tools and techniques</w:t>
        </w:r>
        <w:r w:rsidRPr="002F7DBB">
          <w:rPr>
            <w:rStyle w:val="Hyperlink"/>
            <w:noProof/>
            <w:lang w:val="en-GB"/>
          </w:rPr>
          <w:t>) available in Associated British Foods plc</w:t>
        </w:r>
        <w:r>
          <w:rPr>
            <w:noProof/>
            <w:webHidden/>
          </w:rPr>
          <w:tab/>
        </w:r>
        <w:r>
          <w:rPr>
            <w:noProof/>
            <w:webHidden/>
          </w:rPr>
          <w:fldChar w:fldCharType="begin"/>
        </w:r>
        <w:r>
          <w:rPr>
            <w:noProof/>
            <w:webHidden/>
          </w:rPr>
          <w:instrText xml:space="preserve"> PAGEREF _Toc87095823 \h </w:instrText>
        </w:r>
        <w:r>
          <w:rPr>
            <w:noProof/>
            <w:webHidden/>
          </w:rPr>
        </w:r>
        <w:r>
          <w:rPr>
            <w:noProof/>
            <w:webHidden/>
          </w:rPr>
          <w:fldChar w:fldCharType="separate"/>
        </w:r>
        <w:r>
          <w:rPr>
            <w:noProof/>
            <w:webHidden/>
          </w:rPr>
          <w:t>2</w:t>
        </w:r>
        <w:r>
          <w:rPr>
            <w:noProof/>
            <w:webHidden/>
          </w:rPr>
          <w:fldChar w:fldCharType="end"/>
        </w:r>
      </w:hyperlink>
    </w:p>
    <w:p w:rsidR="007D4D74" w:rsidRDefault="007D4D74">
      <w:pPr>
        <w:pStyle w:val="TableofFigures"/>
        <w:tabs>
          <w:tab w:val="right" w:leader="dot" w:pos="9019"/>
        </w:tabs>
        <w:rPr>
          <w:rFonts w:asciiTheme="minorHAnsi" w:eastAsiaTheme="minorEastAsia" w:hAnsiTheme="minorHAnsi" w:cstheme="minorBidi"/>
          <w:noProof/>
          <w:color w:val="auto"/>
          <w:sz w:val="22"/>
          <w:lang w:eastAsia="en-IN"/>
        </w:rPr>
      </w:pPr>
      <w:hyperlink w:anchor="_Toc87095824" w:history="1">
        <w:r w:rsidRPr="002F7DBB">
          <w:rPr>
            <w:rStyle w:val="Hyperlink"/>
            <w:noProof/>
            <w:lang w:val="en-GB"/>
          </w:rPr>
          <w:t>References</w:t>
        </w:r>
        <w:r>
          <w:rPr>
            <w:noProof/>
            <w:webHidden/>
          </w:rPr>
          <w:tab/>
        </w:r>
        <w:r>
          <w:rPr>
            <w:noProof/>
            <w:webHidden/>
          </w:rPr>
          <w:fldChar w:fldCharType="begin"/>
        </w:r>
        <w:r>
          <w:rPr>
            <w:noProof/>
            <w:webHidden/>
          </w:rPr>
          <w:instrText xml:space="preserve"> PAGEREF _Toc87095824 \h </w:instrText>
        </w:r>
        <w:r>
          <w:rPr>
            <w:noProof/>
            <w:webHidden/>
          </w:rPr>
        </w:r>
        <w:r>
          <w:rPr>
            <w:noProof/>
            <w:webHidden/>
          </w:rPr>
          <w:fldChar w:fldCharType="separate"/>
        </w:r>
        <w:r>
          <w:rPr>
            <w:noProof/>
            <w:webHidden/>
          </w:rPr>
          <w:t>4</w:t>
        </w:r>
        <w:r>
          <w:rPr>
            <w:noProof/>
            <w:webHidden/>
          </w:rPr>
          <w:fldChar w:fldCharType="end"/>
        </w:r>
      </w:hyperlink>
    </w:p>
    <w:p w:rsidR="006B27FF" w:rsidRPr="008A739B" w:rsidRDefault="00FF6332" w:rsidP="00C979BC">
      <w:pPr>
        <w:pStyle w:val="Normal1"/>
        <w:spacing w:line="360" w:lineRule="auto"/>
        <w:jc w:val="center"/>
        <w:rPr>
          <w:rFonts w:ascii="Times New Roman" w:eastAsia="Times New Roman" w:hAnsi="Times New Roman" w:cs="Times New Roman"/>
          <w:b/>
          <w:color w:val="000000" w:themeColor="text1"/>
          <w:sz w:val="24"/>
          <w:szCs w:val="24"/>
          <w:lang w:val="en-GB"/>
        </w:rPr>
      </w:pPr>
      <w:r w:rsidRPr="008A739B">
        <w:rPr>
          <w:color w:val="000000" w:themeColor="text1"/>
          <w:lang w:val="en-GB"/>
        </w:rPr>
        <w:fldChar w:fldCharType="end"/>
      </w:r>
      <w:bookmarkStart w:id="0" w:name="_GoBack"/>
      <w:bookmarkEnd w:id="0"/>
      <w:r w:rsidR="00A444DE" w:rsidRPr="008A739B">
        <w:rPr>
          <w:color w:val="000000" w:themeColor="text1"/>
          <w:lang w:val="en-GB"/>
        </w:rPr>
        <w:br w:type="page"/>
      </w:r>
    </w:p>
    <w:p w:rsidR="006B27FF" w:rsidRPr="008A739B" w:rsidRDefault="00984C6F" w:rsidP="00C979BC">
      <w:pPr>
        <w:pStyle w:val="Heading1"/>
        <w:rPr>
          <w:lang w:val="en-GB"/>
        </w:rPr>
      </w:pPr>
      <w:bookmarkStart w:id="1" w:name="_Toc87095822"/>
      <w:r w:rsidRPr="008A739B">
        <w:rPr>
          <w:lang w:val="en-GB"/>
        </w:rPr>
        <w:lastRenderedPageBreak/>
        <w:t>Introduction</w:t>
      </w:r>
      <w:bookmarkEnd w:id="1"/>
      <w:r w:rsidRPr="008A739B">
        <w:rPr>
          <w:lang w:val="en-GB"/>
        </w:rPr>
        <w:t xml:space="preserve"> </w:t>
      </w:r>
    </w:p>
    <w:p w:rsidR="006B27FF" w:rsidRPr="008A739B" w:rsidRDefault="00984C6F" w:rsidP="00C979BC">
      <w:pPr>
        <w:pStyle w:val="Normal1"/>
        <w:spacing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 xml:space="preserve">Employee acquisition and retention amidst a volatile and highly competitive atmosphere is the greatest challenge to human resource department of organisations, while appearance of Covid 19 has exacerbated this situation. This study has </w:t>
      </w:r>
      <w:r w:rsidR="002C5F6B" w:rsidRPr="008A739B">
        <w:rPr>
          <w:rFonts w:ascii="Times New Roman" w:eastAsia="Times New Roman" w:hAnsi="Times New Roman" w:cs="Times New Roman"/>
          <w:color w:val="000000" w:themeColor="text1"/>
          <w:sz w:val="24"/>
          <w:szCs w:val="24"/>
          <w:lang w:val="en-GB"/>
        </w:rPr>
        <w:t>aims</w:t>
      </w:r>
      <w:r w:rsidRPr="008A739B">
        <w:rPr>
          <w:rFonts w:ascii="Times New Roman" w:eastAsia="Times New Roman" w:hAnsi="Times New Roman" w:cs="Times New Roman"/>
          <w:color w:val="000000" w:themeColor="text1"/>
          <w:sz w:val="24"/>
          <w:szCs w:val="24"/>
          <w:lang w:val="en-GB"/>
        </w:rPr>
        <w:t xml:space="preserve"> on analysing personal development and mitigation of personal requirements of employees associated with Associated British Foods plc and importance of development is going to be emphasized in detail. On the other hand, in terms of discussing effectiveness of development vehicles like Strategic Contingency Theory and McClelland's acquired needs theory would be evaluated. Detailed analysis of development vehicles would lead towards proposing a professional development plan. ‍</w:t>
      </w:r>
    </w:p>
    <w:p w:rsidR="006B27FF" w:rsidRPr="008A739B" w:rsidRDefault="00984C6F" w:rsidP="00C979BC">
      <w:pPr>
        <w:pStyle w:val="Heading1"/>
        <w:rPr>
          <w:lang w:val="en-GB"/>
        </w:rPr>
      </w:pPr>
      <w:bookmarkStart w:id="2" w:name="_Toc87095823"/>
      <w:r w:rsidRPr="008A739B">
        <w:rPr>
          <w:lang w:val="en-GB"/>
        </w:rPr>
        <w:t>A. Critical evaluation of development vehicles (</w:t>
      </w:r>
      <w:r w:rsidRPr="008A739B">
        <w:rPr>
          <w:i/>
          <w:lang w:val="en-GB"/>
        </w:rPr>
        <w:t>performance appraisal tools and techniques</w:t>
      </w:r>
      <w:r w:rsidRPr="008A739B">
        <w:rPr>
          <w:lang w:val="en-GB"/>
        </w:rPr>
        <w:t>) available in Associated British Foods plc</w:t>
      </w:r>
      <w:bookmarkEnd w:id="2"/>
      <w:r w:rsidRPr="008A739B">
        <w:rPr>
          <w:lang w:val="en-GB"/>
        </w:rPr>
        <w:t xml:space="preserve">  </w:t>
      </w:r>
    </w:p>
    <w:p w:rsidR="006B27FF" w:rsidRPr="008A739B" w:rsidRDefault="00984C6F" w:rsidP="00C979BC">
      <w:pPr>
        <w:pStyle w:val="Normal1"/>
        <w:spacing w:line="360" w:lineRule="auto"/>
        <w:jc w:val="both"/>
        <w:rPr>
          <w:rFonts w:ascii="Times New Roman" w:eastAsia="Times New Roman" w:hAnsi="Times New Roman" w:cs="Times New Roman"/>
          <w:b/>
          <w:i/>
          <w:color w:val="000000" w:themeColor="text1"/>
          <w:sz w:val="24"/>
          <w:szCs w:val="24"/>
          <w:lang w:val="en-GB"/>
        </w:rPr>
      </w:pPr>
      <w:r w:rsidRPr="008A739B">
        <w:rPr>
          <w:rFonts w:ascii="Times New Roman" w:eastAsia="Times New Roman" w:hAnsi="Times New Roman" w:cs="Times New Roman"/>
          <w:b/>
          <w:i/>
          <w:color w:val="000000" w:themeColor="text1"/>
          <w:sz w:val="24"/>
          <w:szCs w:val="24"/>
          <w:lang w:val="en-GB"/>
        </w:rPr>
        <w:t xml:space="preserve">Importance of performance appraisal tools and techniques </w:t>
      </w:r>
    </w:p>
    <w:p w:rsidR="006B27FF" w:rsidRPr="008A739B" w:rsidRDefault="00984C6F" w:rsidP="00C979BC">
      <w:pPr>
        <w:pStyle w:val="Normal1"/>
        <w:spacing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 xml:space="preserve">Workplace and work culture are ceaselessly evolving in contemporary era due to advent of disruptive technological equipment and shift to remote working from traditional working environment. </w:t>
      </w:r>
      <w:r w:rsidR="002C5F6B" w:rsidRPr="008A739B">
        <w:rPr>
          <w:rFonts w:ascii="Times New Roman" w:eastAsia="Times New Roman" w:hAnsi="Times New Roman" w:cs="Times New Roman"/>
          <w:color w:val="000000" w:themeColor="text1"/>
          <w:sz w:val="24"/>
          <w:szCs w:val="24"/>
          <w:lang w:val="en-GB"/>
        </w:rPr>
        <w:t xml:space="preserve">Whysall </w:t>
      </w:r>
      <w:r w:rsidR="002C5F6B" w:rsidRPr="008A739B">
        <w:rPr>
          <w:rFonts w:ascii="Times New Roman" w:eastAsia="Times New Roman" w:hAnsi="Times New Roman" w:cs="Times New Roman"/>
          <w:i/>
          <w:color w:val="000000" w:themeColor="text1"/>
          <w:sz w:val="24"/>
          <w:szCs w:val="24"/>
          <w:lang w:val="en-GB"/>
        </w:rPr>
        <w:t>et</w:t>
      </w:r>
      <w:r w:rsidRPr="008A739B">
        <w:rPr>
          <w:rFonts w:ascii="Times New Roman" w:eastAsia="Times New Roman" w:hAnsi="Times New Roman" w:cs="Times New Roman"/>
          <w:i/>
          <w:color w:val="000000" w:themeColor="text1"/>
          <w:sz w:val="24"/>
          <w:szCs w:val="24"/>
          <w:lang w:val="en-GB"/>
        </w:rPr>
        <w:t xml:space="preserve"> al. </w:t>
      </w:r>
      <w:r w:rsidRPr="008A739B">
        <w:rPr>
          <w:rFonts w:ascii="Times New Roman" w:eastAsia="Times New Roman" w:hAnsi="Times New Roman" w:cs="Times New Roman"/>
          <w:color w:val="000000" w:themeColor="text1"/>
          <w:sz w:val="24"/>
          <w:szCs w:val="24"/>
          <w:lang w:val="en-GB"/>
        </w:rPr>
        <w:t xml:space="preserve">(2019, p.2) found that development of workers at both personal and professional levels is of utmost importance as skills and definitions of talents are continually altering leaving no room to lag behind. This author further mentioned that multi-skilling and </w:t>
      </w:r>
      <w:r w:rsidR="002C5F6B" w:rsidRPr="008A739B">
        <w:rPr>
          <w:rFonts w:ascii="Times New Roman" w:eastAsia="Times New Roman" w:hAnsi="Times New Roman" w:cs="Times New Roman"/>
          <w:color w:val="000000" w:themeColor="text1"/>
          <w:sz w:val="24"/>
          <w:szCs w:val="24"/>
          <w:lang w:val="en-GB"/>
        </w:rPr>
        <w:t>upskilling</w:t>
      </w:r>
      <w:r w:rsidRPr="008A739B">
        <w:rPr>
          <w:rFonts w:ascii="Times New Roman" w:eastAsia="Times New Roman" w:hAnsi="Times New Roman" w:cs="Times New Roman"/>
          <w:color w:val="000000" w:themeColor="text1"/>
          <w:sz w:val="24"/>
          <w:szCs w:val="24"/>
          <w:lang w:val="en-GB"/>
        </w:rPr>
        <w:t xml:space="preserve"> needs are escalating and prompting managers to embrace alternative ways of convincing employees to increase their level of adaptability. Performance appraisal has entered the organisational periphery as a catalyst of superior performance, coupled with commitment towards organisational authority and work duties. Ali </w:t>
      </w:r>
      <w:r w:rsidRPr="008A739B">
        <w:rPr>
          <w:rFonts w:ascii="Times New Roman" w:eastAsia="Times New Roman" w:hAnsi="Times New Roman" w:cs="Times New Roman"/>
          <w:i/>
          <w:color w:val="000000" w:themeColor="text1"/>
          <w:sz w:val="24"/>
          <w:szCs w:val="24"/>
          <w:lang w:val="en-GB"/>
        </w:rPr>
        <w:t xml:space="preserve">et al. </w:t>
      </w:r>
      <w:r w:rsidRPr="008A739B">
        <w:rPr>
          <w:rFonts w:ascii="Times New Roman" w:eastAsia="Times New Roman" w:hAnsi="Times New Roman" w:cs="Times New Roman"/>
          <w:color w:val="000000" w:themeColor="text1"/>
          <w:sz w:val="24"/>
          <w:szCs w:val="24"/>
          <w:lang w:val="en-GB"/>
        </w:rPr>
        <w:t xml:space="preserve">(2019, pp.112) suggested that performance appraisal is an </w:t>
      </w:r>
      <w:r w:rsidR="002C5F6B" w:rsidRPr="008A739B">
        <w:rPr>
          <w:rFonts w:ascii="Times New Roman" w:eastAsia="Times New Roman" w:hAnsi="Times New Roman" w:cs="Times New Roman"/>
          <w:color w:val="000000" w:themeColor="text1"/>
          <w:sz w:val="24"/>
          <w:szCs w:val="24"/>
          <w:lang w:val="en-GB"/>
        </w:rPr>
        <w:t>interface,</w:t>
      </w:r>
      <w:r w:rsidRPr="008A739B">
        <w:rPr>
          <w:rFonts w:ascii="Times New Roman" w:eastAsia="Times New Roman" w:hAnsi="Times New Roman" w:cs="Times New Roman"/>
          <w:color w:val="000000" w:themeColor="text1"/>
          <w:sz w:val="24"/>
          <w:szCs w:val="24"/>
          <w:lang w:val="en-GB"/>
        </w:rPr>
        <w:t xml:space="preserve"> where both managers and employees get the chance to recognise their underlying strengths and weaknesses. For instance, in performance appraisal meetings workers get to know about benchmark of work that is required to be achieved for ascension to higher positions. On contrary, managers get to know how much improvement needs to be introduced in organisational policies and styles of leadership to boost overall performance of individuals. </w:t>
      </w:r>
    </w:p>
    <w:p w:rsidR="006B27FF" w:rsidRPr="008A739B" w:rsidRDefault="00984C6F" w:rsidP="00C979BC">
      <w:pPr>
        <w:pStyle w:val="Normal1"/>
        <w:spacing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 xml:space="preserve">Performance Appraisal connotes the crucial process of evaluating performance or productivity of each employee in a stipulated time frame. Through this strategy, HR Managers and executive members of an organisation intend to push employees towards achievement of a shared goal and immense success in this process. Ali </w:t>
      </w:r>
      <w:r w:rsidRPr="008A739B">
        <w:rPr>
          <w:rFonts w:ascii="Times New Roman" w:eastAsia="Times New Roman" w:hAnsi="Times New Roman" w:cs="Times New Roman"/>
          <w:i/>
          <w:color w:val="000000" w:themeColor="text1"/>
          <w:sz w:val="24"/>
          <w:szCs w:val="24"/>
          <w:lang w:val="en-GB"/>
        </w:rPr>
        <w:t>et al</w:t>
      </w:r>
      <w:r w:rsidRPr="008A739B">
        <w:rPr>
          <w:rFonts w:ascii="Times New Roman" w:eastAsia="Times New Roman" w:hAnsi="Times New Roman" w:cs="Times New Roman"/>
          <w:color w:val="000000" w:themeColor="text1"/>
          <w:sz w:val="24"/>
          <w:szCs w:val="24"/>
          <w:lang w:val="en-GB"/>
        </w:rPr>
        <w:t xml:space="preserve">. (2019, p.112) </w:t>
      </w:r>
      <w:r w:rsidRPr="008A739B">
        <w:rPr>
          <w:rFonts w:ascii="Times New Roman" w:eastAsia="Times New Roman" w:hAnsi="Times New Roman" w:cs="Times New Roman"/>
          <w:color w:val="000000" w:themeColor="text1"/>
          <w:sz w:val="24"/>
          <w:szCs w:val="24"/>
          <w:lang w:val="en-GB"/>
        </w:rPr>
        <w:lastRenderedPageBreak/>
        <w:t xml:space="preserve">stated that formal workplace framework, performance appraisal strategies are manifested in annual or quarterly wage rise or promotion of workers. This procedure within an organisation has different motives to </w:t>
      </w:r>
      <w:r w:rsidR="002C5F6B" w:rsidRPr="008A739B">
        <w:rPr>
          <w:rFonts w:ascii="Times New Roman" w:eastAsia="Times New Roman" w:hAnsi="Times New Roman" w:cs="Times New Roman"/>
          <w:color w:val="000000" w:themeColor="text1"/>
          <w:sz w:val="24"/>
          <w:szCs w:val="24"/>
          <w:lang w:val="en-GB"/>
        </w:rPr>
        <w:t>fulfil</w:t>
      </w:r>
      <w:r w:rsidRPr="008A739B">
        <w:rPr>
          <w:rFonts w:ascii="Times New Roman" w:eastAsia="Times New Roman" w:hAnsi="Times New Roman" w:cs="Times New Roman"/>
          <w:color w:val="000000" w:themeColor="text1"/>
          <w:sz w:val="24"/>
          <w:szCs w:val="24"/>
          <w:lang w:val="en-GB"/>
        </w:rPr>
        <w:t xml:space="preserve"> like employee satisfaction and motivation, tracing out areas of acute development </w:t>
      </w:r>
      <w:r w:rsidR="002C5F6B" w:rsidRPr="008A739B">
        <w:rPr>
          <w:rFonts w:ascii="Times New Roman" w:eastAsia="Times New Roman" w:hAnsi="Times New Roman" w:cs="Times New Roman"/>
          <w:color w:val="000000" w:themeColor="text1"/>
          <w:sz w:val="24"/>
          <w:szCs w:val="24"/>
          <w:lang w:val="en-GB"/>
        </w:rPr>
        <w:t>and for</w:t>
      </w:r>
      <w:r w:rsidRPr="008A739B">
        <w:rPr>
          <w:rFonts w:ascii="Times New Roman" w:eastAsia="Times New Roman" w:hAnsi="Times New Roman" w:cs="Times New Roman"/>
          <w:color w:val="000000" w:themeColor="text1"/>
          <w:sz w:val="24"/>
          <w:szCs w:val="24"/>
          <w:lang w:val="en-GB"/>
        </w:rPr>
        <w:t xml:space="preserve"> formulation of better work policies. Aburumman </w:t>
      </w:r>
      <w:r w:rsidRPr="008A739B">
        <w:rPr>
          <w:rFonts w:ascii="Times New Roman" w:eastAsia="Times New Roman" w:hAnsi="Times New Roman" w:cs="Times New Roman"/>
          <w:i/>
          <w:color w:val="000000" w:themeColor="text1"/>
          <w:sz w:val="24"/>
          <w:szCs w:val="24"/>
          <w:lang w:val="en-GB"/>
        </w:rPr>
        <w:t xml:space="preserve">et al. </w:t>
      </w:r>
      <w:r w:rsidRPr="008A739B">
        <w:rPr>
          <w:rFonts w:ascii="Times New Roman" w:eastAsia="Times New Roman" w:hAnsi="Times New Roman" w:cs="Times New Roman"/>
          <w:color w:val="000000" w:themeColor="text1"/>
          <w:sz w:val="24"/>
          <w:szCs w:val="24"/>
          <w:lang w:val="en-GB"/>
        </w:rPr>
        <w:t xml:space="preserve">(2020, pp.641) stated that performance appraisal practices within organisations demand close observation and it seems to be highly hectic for managers of organisations. For instance, in the meetings conducted for performance appraisals pinpoint flawed areas of employees, while their good work and efforts are praised by material or nonmaterial rewards. </w:t>
      </w:r>
    </w:p>
    <w:p w:rsidR="006B27FF" w:rsidRPr="008A739B" w:rsidRDefault="00984C6F" w:rsidP="00C979BC">
      <w:pPr>
        <w:pStyle w:val="Normal1"/>
        <w:spacing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 xml:space="preserve">Regular and systematically structured performance appraisal programmes inspire workers to deliver their best for attaining success and boosting profit margin organisation. Aburumman </w:t>
      </w:r>
      <w:r w:rsidRPr="008A739B">
        <w:rPr>
          <w:rFonts w:ascii="Times New Roman" w:eastAsia="Times New Roman" w:hAnsi="Times New Roman" w:cs="Times New Roman"/>
          <w:i/>
          <w:color w:val="000000" w:themeColor="text1"/>
          <w:sz w:val="24"/>
          <w:szCs w:val="24"/>
          <w:lang w:val="en-GB"/>
        </w:rPr>
        <w:t>et al.</w:t>
      </w:r>
      <w:r w:rsidRPr="008A739B">
        <w:rPr>
          <w:rFonts w:ascii="Times New Roman" w:eastAsia="Times New Roman" w:hAnsi="Times New Roman" w:cs="Times New Roman"/>
          <w:color w:val="000000" w:themeColor="text1"/>
          <w:sz w:val="24"/>
          <w:szCs w:val="24"/>
          <w:lang w:val="en-GB"/>
        </w:rPr>
        <w:t xml:space="preserve"> (2020, p.641-652) suggested that organizations can review and scrutinise performance appraisal sheets to enable and motivate employees to involve in training and development sessions. Data related to performance appraisal also prompts the HR managers to strategize better recruitment plans for future and to reduce rotation of attrition.  </w:t>
      </w:r>
    </w:p>
    <w:p w:rsidR="006B27FF" w:rsidRPr="008A739B" w:rsidRDefault="00984C6F" w:rsidP="00C979BC">
      <w:pPr>
        <w:pStyle w:val="Normal1"/>
        <w:spacing w:line="360" w:lineRule="auto"/>
        <w:jc w:val="both"/>
        <w:rPr>
          <w:rFonts w:ascii="Times New Roman" w:eastAsia="Times New Roman" w:hAnsi="Times New Roman" w:cs="Times New Roman"/>
          <w:color w:val="000000" w:themeColor="text1"/>
          <w:sz w:val="24"/>
          <w:szCs w:val="24"/>
          <w:lang w:val="en-GB"/>
        </w:rPr>
      </w:pPr>
      <w:r w:rsidRPr="008A739B">
        <w:rPr>
          <w:color w:val="000000" w:themeColor="text1"/>
          <w:lang w:val="en-GB"/>
        </w:rPr>
        <w:br w:type="page"/>
      </w:r>
    </w:p>
    <w:p w:rsidR="006B27FF" w:rsidRPr="008A739B" w:rsidRDefault="00984C6F" w:rsidP="00C979BC">
      <w:pPr>
        <w:pStyle w:val="Heading1"/>
        <w:rPr>
          <w:lang w:val="en-GB"/>
        </w:rPr>
      </w:pPr>
      <w:bookmarkStart w:id="3" w:name="_Toc87095824"/>
      <w:r w:rsidRPr="008A739B">
        <w:rPr>
          <w:lang w:val="en-GB"/>
        </w:rPr>
        <w:lastRenderedPageBreak/>
        <w:t>References</w:t>
      </w:r>
      <w:bookmarkEnd w:id="3"/>
      <w:r w:rsidRPr="008A739B">
        <w:rPr>
          <w:lang w:val="en-GB"/>
        </w:rPr>
        <w:t xml:space="preserve"> </w:t>
      </w:r>
    </w:p>
    <w:p w:rsidR="007D257A" w:rsidRPr="008A739B" w:rsidRDefault="007D257A" w:rsidP="00C979B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Ali, Z., Mahmood, B. and Mehreen, A., (2019). Linking succession planning to employee performance: The mediating roles of career development and performance appraisal. Australian Journal of Career Development, 28(2), pp.112-121.</w:t>
      </w:r>
    </w:p>
    <w:p w:rsidR="007D257A" w:rsidRPr="008A739B" w:rsidRDefault="007D257A" w:rsidP="00C979B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Whysall, Z., Owtram, M. and Brittain, S., (2019). The new talent management challenges of Industry 4.0. Journal of Management Development, p.2.</w:t>
      </w:r>
    </w:p>
    <w:p w:rsidR="007D257A" w:rsidRPr="008A739B" w:rsidRDefault="007D257A" w:rsidP="00C979BC">
      <w:pPr>
        <w:pStyle w:val="Normal1"/>
        <w:spacing w:after="200" w:line="360" w:lineRule="auto"/>
        <w:jc w:val="both"/>
        <w:rPr>
          <w:rFonts w:ascii="Times New Roman" w:eastAsia="Times New Roman" w:hAnsi="Times New Roman" w:cs="Times New Roman"/>
          <w:color w:val="000000" w:themeColor="text1"/>
          <w:sz w:val="24"/>
          <w:szCs w:val="24"/>
          <w:lang w:val="en-GB"/>
        </w:rPr>
      </w:pPr>
      <w:r w:rsidRPr="008A739B">
        <w:rPr>
          <w:rFonts w:ascii="Times New Roman" w:eastAsia="Times New Roman" w:hAnsi="Times New Roman" w:cs="Times New Roman"/>
          <w:color w:val="000000" w:themeColor="text1"/>
          <w:sz w:val="24"/>
          <w:szCs w:val="24"/>
          <w:lang w:val="en-GB"/>
        </w:rPr>
        <w:t>Yu, W., Chavez, R., Feng, M., Wong, C.Y. and Fynes, B., (2020). Green human resource management and environmental cooperation: An ability-motivation-opportunity and contingency perspective. International Journal of Production Economics, 219, pp.224-235.</w:t>
      </w:r>
    </w:p>
    <w:sectPr w:rsidR="007D257A" w:rsidRPr="008A739B" w:rsidSect="002C5F6B">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712" w:rsidRDefault="00844712" w:rsidP="00FF6332">
      <w:pPr>
        <w:spacing w:line="240" w:lineRule="auto"/>
      </w:pPr>
      <w:r>
        <w:separator/>
      </w:r>
    </w:p>
  </w:endnote>
  <w:endnote w:type="continuationSeparator" w:id="0">
    <w:p w:rsidR="00844712" w:rsidRDefault="00844712" w:rsidP="00FF63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4"/>
      </w:rPr>
      <w:id w:val="5802798"/>
      <w:docPartObj>
        <w:docPartGallery w:val="Page Numbers (Bottom of Page)"/>
        <w:docPartUnique/>
      </w:docPartObj>
    </w:sdtPr>
    <w:sdtEndPr/>
    <w:sdtContent>
      <w:p w:rsidR="002C5F6B" w:rsidRPr="008A739B" w:rsidRDefault="00FF6332">
        <w:pPr>
          <w:pStyle w:val="Footer"/>
          <w:jc w:val="right"/>
          <w:rPr>
            <w:rFonts w:ascii="Times New Roman" w:hAnsi="Times New Roman" w:cs="Times New Roman"/>
            <w:sz w:val="24"/>
          </w:rPr>
        </w:pPr>
        <w:r w:rsidRPr="008A739B">
          <w:rPr>
            <w:rFonts w:ascii="Times New Roman" w:hAnsi="Times New Roman" w:cs="Times New Roman"/>
            <w:sz w:val="24"/>
          </w:rPr>
          <w:fldChar w:fldCharType="begin"/>
        </w:r>
        <w:r w:rsidR="00984C6F" w:rsidRPr="008A739B">
          <w:rPr>
            <w:rFonts w:ascii="Times New Roman" w:hAnsi="Times New Roman" w:cs="Times New Roman"/>
            <w:sz w:val="24"/>
          </w:rPr>
          <w:instrText xml:space="preserve"> PAGE   \* MERGEFORMAT </w:instrText>
        </w:r>
        <w:r w:rsidRPr="008A739B">
          <w:rPr>
            <w:rFonts w:ascii="Times New Roman" w:hAnsi="Times New Roman" w:cs="Times New Roman"/>
            <w:sz w:val="24"/>
          </w:rPr>
          <w:fldChar w:fldCharType="separate"/>
        </w:r>
        <w:r w:rsidR="007D4D74">
          <w:rPr>
            <w:rFonts w:ascii="Times New Roman" w:hAnsi="Times New Roman" w:cs="Times New Roman"/>
            <w:noProof/>
            <w:sz w:val="24"/>
          </w:rPr>
          <w:t>1</w:t>
        </w:r>
        <w:r w:rsidRPr="008A739B">
          <w:rPr>
            <w:rFonts w:ascii="Times New Roman" w:hAnsi="Times New Roman" w:cs="Times New Roman"/>
            <w:noProof/>
            <w:sz w:val="24"/>
          </w:rPr>
          <w:fldChar w:fldCharType="end"/>
        </w:r>
      </w:p>
    </w:sdtContent>
  </w:sdt>
  <w:p w:rsidR="006B27FF" w:rsidRPr="008A739B" w:rsidRDefault="006B27FF">
    <w:pPr>
      <w:pStyle w:val="Normal1"/>
      <w:jc w:val="right"/>
      <w:rPr>
        <w:rFonts w:ascii="Times New Roman" w:eastAsia="Times New Roman" w:hAnsi="Times New Roman" w:cs="Times New Roman"/>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712" w:rsidRDefault="00844712" w:rsidP="00FF6332">
      <w:pPr>
        <w:spacing w:line="240" w:lineRule="auto"/>
      </w:pPr>
      <w:r>
        <w:separator/>
      </w:r>
    </w:p>
  </w:footnote>
  <w:footnote w:type="continuationSeparator" w:id="0">
    <w:p w:rsidR="00844712" w:rsidRDefault="00844712" w:rsidP="00FF63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F5211"/>
    <w:multiLevelType w:val="multilevel"/>
    <w:tmpl w:val="4DAE91D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132C3200"/>
    <w:multiLevelType w:val="multilevel"/>
    <w:tmpl w:val="BDE45DA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27FB08E0"/>
    <w:multiLevelType w:val="multilevel"/>
    <w:tmpl w:val="5DC4C66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3C815742"/>
    <w:multiLevelType w:val="multilevel"/>
    <w:tmpl w:val="7D383C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427F54E7"/>
    <w:multiLevelType w:val="multilevel"/>
    <w:tmpl w:val="B06EF992"/>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5" w15:restartNumberingAfterBreak="0">
    <w:nsid w:val="4D0A4B78"/>
    <w:multiLevelType w:val="multilevel"/>
    <w:tmpl w:val="F148E19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50D710EF"/>
    <w:multiLevelType w:val="multilevel"/>
    <w:tmpl w:val="B9A216F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51711B20"/>
    <w:multiLevelType w:val="multilevel"/>
    <w:tmpl w:val="82A80D1E"/>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5D456CB1"/>
    <w:multiLevelType w:val="multilevel"/>
    <w:tmpl w:val="29284B3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9" w15:restartNumberingAfterBreak="0">
    <w:nsid w:val="644C0D46"/>
    <w:multiLevelType w:val="multilevel"/>
    <w:tmpl w:val="E37A79E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num w:numId="1">
    <w:abstractNumId w:val="2"/>
  </w:num>
  <w:num w:numId="2">
    <w:abstractNumId w:val="9"/>
  </w:num>
  <w:num w:numId="3">
    <w:abstractNumId w:val="4"/>
  </w:num>
  <w:num w:numId="4">
    <w:abstractNumId w:val="0"/>
  </w:num>
  <w:num w:numId="5">
    <w:abstractNumId w:val="6"/>
  </w:num>
  <w:num w:numId="6">
    <w:abstractNumId w:val="1"/>
  </w:num>
  <w:num w:numId="7">
    <w:abstractNumId w:val="8"/>
  </w:num>
  <w:num w:numId="8">
    <w:abstractNumId w:val="7"/>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B27FF"/>
    <w:rsid w:val="00127EF0"/>
    <w:rsid w:val="002C5F6B"/>
    <w:rsid w:val="006B27FF"/>
    <w:rsid w:val="006B2935"/>
    <w:rsid w:val="007D257A"/>
    <w:rsid w:val="007D4D74"/>
    <w:rsid w:val="00844712"/>
    <w:rsid w:val="008A739B"/>
    <w:rsid w:val="00984C6F"/>
    <w:rsid w:val="00A444DE"/>
    <w:rsid w:val="00C979BC"/>
    <w:rsid w:val="00D33F33"/>
    <w:rsid w:val="00E56D74"/>
    <w:rsid w:val="00FF6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E938EA-45EF-40FA-889F-5CF3103E9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IN" w:eastAsia="zh-TW"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332"/>
  </w:style>
  <w:style w:type="paragraph" w:styleId="Heading1">
    <w:name w:val="heading 1"/>
    <w:basedOn w:val="Normal1"/>
    <w:next w:val="Normal1"/>
    <w:rsid w:val="002C5F6B"/>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6B27FF"/>
    <w:pPr>
      <w:keepNext/>
      <w:keepLines/>
      <w:spacing w:before="360" w:after="120"/>
      <w:outlineLvl w:val="1"/>
    </w:pPr>
    <w:rPr>
      <w:sz w:val="32"/>
      <w:szCs w:val="32"/>
    </w:rPr>
  </w:style>
  <w:style w:type="paragraph" w:styleId="Heading3">
    <w:name w:val="heading 3"/>
    <w:basedOn w:val="Normal1"/>
    <w:next w:val="Normal1"/>
    <w:rsid w:val="006B27FF"/>
    <w:pPr>
      <w:keepNext/>
      <w:keepLines/>
      <w:spacing w:before="320" w:after="80"/>
      <w:outlineLvl w:val="2"/>
    </w:pPr>
    <w:rPr>
      <w:color w:val="434343"/>
      <w:sz w:val="28"/>
      <w:szCs w:val="28"/>
    </w:rPr>
  </w:style>
  <w:style w:type="paragraph" w:styleId="Heading4">
    <w:name w:val="heading 4"/>
    <w:basedOn w:val="Normal1"/>
    <w:next w:val="Normal1"/>
    <w:rsid w:val="006B27FF"/>
    <w:pPr>
      <w:keepNext/>
      <w:keepLines/>
      <w:spacing w:before="280" w:after="80"/>
      <w:outlineLvl w:val="3"/>
    </w:pPr>
    <w:rPr>
      <w:color w:val="666666"/>
      <w:sz w:val="24"/>
      <w:szCs w:val="24"/>
    </w:rPr>
  </w:style>
  <w:style w:type="paragraph" w:styleId="Heading5">
    <w:name w:val="heading 5"/>
    <w:basedOn w:val="Normal1"/>
    <w:next w:val="Normal1"/>
    <w:rsid w:val="006B27FF"/>
    <w:pPr>
      <w:keepNext/>
      <w:keepLines/>
      <w:spacing w:before="240" w:after="80"/>
      <w:outlineLvl w:val="4"/>
    </w:pPr>
    <w:rPr>
      <w:color w:val="666666"/>
    </w:rPr>
  </w:style>
  <w:style w:type="paragraph" w:styleId="Heading6">
    <w:name w:val="heading 6"/>
    <w:basedOn w:val="Normal1"/>
    <w:next w:val="Normal1"/>
    <w:rsid w:val="006B27F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27FF"/>
  </w:style>
  <w:style w:type="paragraph" w:styleId="Title">
    <w:name w:val="Title"/>
    <w:basedOn w:val="Normal1"/>
    <w:next w:val="Normal1"/>
    <w:rsid w:val="006B27FF"/>
    <w:pPr>
      <w:keepNext/>
      <w:keepLines/>
      <w:spacing w:after="60"/>
    </w:pPr>
    <w:rPr>
      <w:sz w:val="52"/>
      <w:szCs w:val="52"/>
    </w:rPr>
  </w:style>
  <w:style w:type="paragraph" w:styleId="Subtitle">
    <w:name w:val="Subtitle"/>
    <w:basedOn w:val="Normal1"/>
    <w:next w:val="Normal1"/>
    <w:rsid w:val="006B27FF"/>
    <w:pPr>
      <w:keepNext/>
      <w:keepLines/>
      <w:spacing w:after="320"/>
    </w:pPr>
    <w:rPr>
      <w:color w:val="666666"/>
      <w:sz w:val="30"/>
      <w:szCs w:val="30"/>
    </w:rPr>
  </w:style>
  <w:style w:type="table" w:customStyle="1" w:styleId="a">
    <w:name w:val="a"/>
    <w:basedOn w:val="TableNormal"/>
    <w:rsid w:val="006B27F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B27FF"/>
    <w:pPr>
      <w:spacing w:line="240" w:lineRule="auto"/>
    </w:pPr>
    <w:rPr>
      <w:sz w:val="20"/>
      <w:szCs w:val="20"/>
    </w:rPr>
  </w:style>
  <w:style w:type="character" w:customStyle="1" w:styleId="CommentTextChar">
    <w:name w:val="Comment Text Char"/>
    <w:basedOn w:val="DefaultParagraphFont"/>
    <w:link w:val="CommentText"/>
    <w:uiPriority w:val="99"/>
    <w:semiHidden/>
    <w:rsid w:val="006B27FF"/>
    <w:rPr>
      <w:sz w:val="20"/>
      <w:szCs w:val="20"/>
    </w:rPr>
  </w:style>
  <w:style w:type="character" w:styleId="CommentReference">
    <w:name w:val="annotation reference"/>
    <w:basedOn w:val="DefaultParagraphFont"/>
    <w:uiPriority w:val="99"/>
    <w:semiHidden/>
    <w:unhideWhenUsed/>
    <w:rsid w:val="006B27FF"/>
    <w:rPr>
      <w:sz w:val="16"/>
      <w:szCs w:val="16"/>
    </w:rPr>
  </w:style>
  <w:style w:type="paragraph" w:styleId="BalloonText">
    <w:name w:val="Balloon Text"/>
    <w:basedOn w:val="Normal"/>
    <w:link w:val="BalloonTextChar"/>
    <w:uiPriority w:val="99"/>
    <w:semiHidden/>
    <w:unhideWhenUsed/>
    <w:rsid w:val="002C5F6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5F6B"/>
    <w:rPr>
      <w:rFonts w:ascii="Tahoma" w:hAnsi="Tahoma" w:cs="Tahoma"/>
      <w:sz w:val="16"/>
      <w:szCs w:val="16"/>
    </w:rPr>
  </w:style>
  <w:style w:type="character" w:styleId="Hyperlink">
    <w:name w:val="Hyperlink"/>
    <w:basedOn w:val="DefaultParagraphFont"/>
    <w:uiPriority w:val="99"/>
    <w:unhideWhenUsed/>
    <w:rsid w:val="002C5F6B"/>
    <w:rPr>
      <w:color w:val="0000FF" w:themeColor="hyperlink"/>
      <w:u w:val="single"/>
    </w:rPr>
  </w:style>
  <w:style w:type="paragraph" w:styleId="TableofFigures">
    <w:name w:val="table of figures"/>
    <w:basedOn w:val="Normal"/>
    <w:next w:val="Normal"/>
    <w:uiPriority w:val="99"/>
    <w:unhideWhenUsed/>
    <w:rsid w:val="002C5F6B"/>
    <w:pPr>
      <w:spacing w:line="360" w:lineRule="auto"/>
      <w:jc w:val="both"/>
    </w:pPr>
    <w:rPr>
      <w:rFonts w:ascii="Times New Roman" w:hAnsi="Times New Roman"/>
      <w:color w:val="000000" w:themeColor="text1"/>
      <w:sz w:val="24"/>
    </w:rPr>
  </w:style>
  <w:style w:type="paragraph" w:styleId="Header">
    <w:name w:val="header"/>
    <w:basedOn w:val="Normal"/>
    <w:link w:val="HeaderChar"/>
    <w:uiPriority w:val="99"/>
    <w:semiHidden/>
    <w:unhideWhenUsed/>
    <w:rsid w:val="002C5F6B"/>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2C5F6B"/>
  </w:style>
  <w:style w:type="paragraph" w:styleId="Footer">
    <w:name w:val="footer"/>
    <w:basedOn w:val="Normal"/>
    <w:link w:val="FooterChar"/>
    <w:uiPriority w:val="99"/>
    <w:unhideWhenUsed/>
    <w:rsid w:val="002C5F6B"/>
    <w:pPr>
      <w:tabs>
        <w:tab w:val="center" w:pos="4513"/>
        <w:tab w:val="right" w:pos="9026"/>
      </w:tabs>
      <w:spacing w:line="240" w:lineRule="auto"/>
    </w:pPr>
  </w:style>
  <w:style w:type="character" w:customStyle="1" w:styleId="FooterChar">
    <w:name w:val="Footer Char"/>
    <w:basedOn w:val="DefaultParagraphFont"/>
    <w:link w:val="Footer"/>
    <w:uiPriority w:val="99"/>
    <w:rsid w:val="002C5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123BF-CBE4-48BA-970E-A74B492D9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747</Words>
  <Characters>4264</Characters>
  <Application>Microsoft Office Word</Application>
  <DocSecurity>0</DocSecurity>
  <Lines>35</Lines>
  <Paragraphs>10</Paragraphs>
  <ScaleCrop>false</ScaleCrop>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System-3</dc:creator>
  <cp:lastModifiedBy>USER</cp:lastModifiedBy>
  <cp:revision>10</cp:revision>
  <dcterms:created xsi:type="dcterms:W3CDTF">2021-11-05T12:26:00Z</dcterms:created>
  <dcterms:modified xsi:type="dcterms:W3CDTF">2021-11-06T07:26:00Z</dcterms:modified>
</cp:coreProperties>
</file>