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CCB47D" w14:textId="44250B4A" w:rsidR="000D4C57" w:rsidRDefault="000D4C57">
      <w:r>
        <w:rPr>
          <w:noProof/>
        </w:rPr>
        <w:drawing>
          <wp:anchor distT="0" distB="0" distL="114300" distR="114300" simplePos="0" relativeHeight="251658240" behindDoc="0" locked="0" layoutInCell="1" allowOverlap="1" wp14:anchorId="16B4DCAA" wp14:editId="75E8AF03">
            <wp:simplePos x="914400" y="914400"/>
            <wp:positionH relativeFrom="column">
              <wp:align>left</wp:align>
            </wp:positionH>
            <wp:positionV relativeFrom="paragraph">
              <wp:align>top</wp:align>
            </wp:positionV>
            <wp:extent cx="3209925" cy="1428750"/>
            <wp:effectExtent l="0" t="0" r="9525" b="0"/>
            <wp:wrapSquare wrapText="bothSides"/>
            <wp:docPr id="380625830" name="Picture 1" descr="Trinity Saint David.&#10;&#10;AI-generated content may be incorrect."/>
            <wp:cNvGraphicFramePr/>
            <a:graphic xmlns:a="http://schemas.openxmlformats.org/drawingml/2006/main">
              <a:graphicData uri="http://schemas.openxmlformats.org/drawingml/2006/picture">
                <pic:pic xmlns:pic="http://schemas.openxmlformats.org/drawingml/2006/picture">
                  <pic:nvPicPr>
                    <pic:cNvPr id="380625830" name="Picture 1" descr="Trinity Saint David.&#10;&#10;AI-generated content may be incorrect."/>
                    <pic:cNvPicPr/>
                  </pic:nvPicPr>
                  <pic:blipFill>
                    <a:blip r:embed="rId6">
                      <a:extLst>
                        <a:ext uri="{28A0092B-C50C-407E-A947-70E740481C1C}">
                          <a14:useLocalDpi xmlns:a14="http://schemas.microsoft.com/office/drawing/2010/main" val="0"/>
                        </a:ext>
                      </a:extLst>
                    </a:blip>
                    <a:srcRect/>
                    <a:stretch>
                      <a:fillRect/>
                    </a:stretch>
                  </pic:blipFill>
                  <pic:spPr>
                    <a:xfrm>
                      <a:off x="0" y="0"/>
                      <a:ext cx="3209925" cy="1428750"/>
                    </a:xfrm>
                    <a:prstGeom prst="rect">
                      <a:avLst/>
                    </a:prstGeom>
                    <a:noFill/>
                    <a:ln>
                      <a:noFill/>
                      <a:prstDash/>
                    </a:ln>
                  </pic:spPr>
                </pic:pic>
              </a:graphicData>
            </a:graphic>
          </wp:anchor>
        </w:drawing>
      </w:r>
      <w:r w:rsidR="005376E1">
        <w:br w:type="textWrapping" w:clear="all"/>
      </w:r>
    </w:p>
    <w:p w14:paraId="2C46A449" w14:textId="77777777" w:rsidR="000D4C57" w:rsidRPr="00522E8A" w:rsidRDefault="000D4C57" w:rsidP="000D4C57">
      <w:pPr>
        <w:tabs>
          <w:tab w:val="left" w:pos="6540"/>
        </w:tabs>
        <w:spacing w:line="360" w:lineRule="auto"/>
        <w:rPr>
          <w:rFonts w:ascii="Arial" w:hAnsi="Arial" w:cs="Arial"/>
          <w:b/>
          <w:bCs/>
          <w:sz w:val="28"/>
          <w:szCs w:val="28"/>
        </w:rPr>
      </w:pPr>
      <w:r w:rsidRPr="00522E8A">
        <w:rPr>
          <w:rFonts w:ascii="Arial" w:hAnsi="Arial" w:cs="Arial"/>
          <w:b/>
          <w:bCs/>
          <w:sz w:val="28"/>
          <w:szCs w:val="28"/>
        </w:rPr>
        <w:t>Student name</w:t>
      </w:r>
      <w:r w:rsidRPr="00522E8A">
        <w:rPr>
          <w:rFonts w:ascii="Arial" w:hAnsi="Arial" w:cs="Arial"/>
          <w:sz w:val="28"/>
          <w:szCs w:val="28"/>
        </w:rPr>
        <w:t xml:space="preserve">: </w:t>
      </w:r>
      <w:r w:rsidRPr="00522E8A">
        <w:rPr>
          <w:rFonts w:ascii="Arial" w:hAnsi="Arial" w:cs="Arial"/>
          <w:b/>
          <w:bCs/>
          <w:sz w:val="28"/>
          <w:szCs w:val="28"/>
        </w:rPr>
        <w:t>Bernardita Rodriguez Brown</w:t>
      </w:r>
    </w:p>
    <w:p w14:paraId="2D195046" w14:textId="77777777" w:rsidR="000D4C57" w:rsidRPr="00522E8A" w:rsidRDefault="000D4C57" w:rsidP="000D4C57">
      <w:pPr>
        <w:tabs>
          <w:tab w:val="left" w:pos="6540"/>
        </w:tabs>
        <w:spacing w:line="360" w:lineRule="auto"/>
        <w:rPr>
          <w:rFonts w:ascii="Arial" w:hAnsi="Arial" w:cs="Arial"/>
          <w:b/>
          <w:bCs/>
          <w:sz w:val="28"/>
          <w:szCs w:val="28"/>
        </w:rPr>
      </w:pPr>
      <w:r w:rsidRPr="00522E8A">
        <w:rPr>
          <w:rFonts w:ascii="Arial" w:hAnsi="Arial" w:cs="Arial"/>
          <w:b/>
          <w:bCs/>
          <w:sz w:val="28"/>
          <w:szCs w:val="28"/>
        </w:rPr>
        <w:t>Student ID: 2508289</w:t>
      </w:r>
    </w:p>
    <w:p w14:paraId="3F295968" w14:textId="19A13600" w:rsidR="000D4C57" w:rsidRPr="00522E8A" w:rsidRDefault="000D4C57" w:rsidP="000D4C57">
      <w:pPr>
        <w:tabs>
          <w:tab w:val="left" w:pos="6540"/>
        </w:tabs>
        <w:spacing w:line="360" w:lineRule="auto"/>
        <w:rPr>
          <w:rFonts w:ascii="Arial" w:hAnsi="Arial" w:cs="Arial"/>
          <w:b/>
          <w:bCs/>
          <w:sz w:val="28"/>
          <w:szCs w:val="28"/>
        </w:rPr>
      </w:pPr>
      <w:r w:rsidRPr="00522E8A">
        <w:rPr>
          <w:rFonts w:ascii="Arial" w:hAnsi="Arial" w:cs="Arial"/>
          <w:b/>
          <w:bCs/>
          <w:sz w:val="28"/>
          <w:szCs w:val="28"/>
        </w:rPr>
        <w:t>Module name: Introduction to Public Health</w:t>
      </w:r>
    </w:p>
    <w:p w14:paraId="3057CBAA" w14:textId="3FCB067A" w:rsidR="000D4C57" w:rsidRPr="000403A0" w:rsidRDefault="000D4C57" w:rsidP="000D4C57">
      <w:pPr>
        <w:tabs>
          <w:tab w:val="left" w:pos="6540"/>
        </w:tabs>
        <w:spacing w:line="360" w:lineRule="auto"/>
        <w:rPr>
          <w:rFonts w:ascii="Arial" w:hAnsi="Arial" w:cs="Arial"/>
          <w:b/>
          <w:bCs/>
          <w:sz w:val="28"/>
          <w:szCs w:val="28"/>
          <w:lang w:val="fr-FR"/>
        </w:rPr>
      </w:pPr>
      <w:r w:rsidRPr="000403A0">
        <w:rPr>
          <w:rFonts w:ascii="Arial" w:hAnsi="Arial" w:cs="Arial"/>
          <w:b/>
          <w:bCs/>
          <w:sz w:val="28"/>
          <w:szCs w:val="28"/>
          <w:lang w:val="fr-FR"/>
        </w:rPr>
        <w:t>Module code: LCHS4008</w:t>
      </w:r>
    </w:p>
    <w:p w14:paraId="332D0D47" w14:textId="4EBF1DA6" w:rsidR="000D4C57" w:rsidRPr="000403A0" w:rsidRDefault="004741AC" w:rsidP="000D4C57">
      <w:pPr>
        <w:spacing w:line="360" w:lineRule="auto"/>
        <w:rPr>
          <w:rFonts w:ascii="Arial" w:hAnsi="Arial" w:cs="Arial"/>
          <w:b/>
          <w:bCs/>
          <w:sz w:val="28"/>
          <w:szCs w:val="28"/>
          <w:lang w:val="fr-FR"/>
        </w:rPr>
      </w:pPr>
      <w:r w:rsidRPr="000403A0">
        <w:rPr>
          <w:rFonts w:ascii="Arial" w:hAnsi="Arial" w:cs="Arial"/>
          <w:b/>
          <w:bCs/>
          <w:sz w:val="28"/>
          <w:szCs w:val="28"/>
          <w:lang w:val="fr-FR"/>
        </w:rPr>
        <w:t>Lecture</w:t>
      </w:r>
      <w:r>
        <w:rPr>
          <w:rFonts w:ascii="Arial" w:hAnsi="Arial" w:cs="Arial"/>
          <w:b/>
          <w:bCs/>
          <w:sz w:val="28"/>
          <w:szCs w:val="28"/>
          <w:lang w:val="fr-FR"/>
        </w:rPr>
        <w:t>r’s</w:t>
      </w:r>
      <w:r w:rsidR="000D4C57" w:rsidRPr="000403A0">
        <w:rPr>
          <w:rFonts w:ascii="Arial" w:hAnsi="Arial" w:cs="Arial"/>
          <w:b/>
          <w:bCs/>
          <w:sz w:val="28"/>
          <w:szCs w:val="28"/>
          <w:lang w:val="fr-FR"/>
        </w:rPr>
        <w:t xml:space="preserve"> </w:t>
      </w:r>
      <w:proofErr w:type="spellStart"/>
      <w:r w:rsidR="005376E1">
        <w:rPr>
          <w:rFonts w:ascii="Arial" w:hAnsi="Arial" w:cs="Arial"/>
          <w:b/>
          <w:bCs/>
          <w:sz w:val="28"/>
          <w:szCs w:val="28"/>
          <w:lang w:val="fr-FR"/>
        </w:rPr>
        <w:t>n</w:t>
      </w:r>
      <w:r w:rsidRPr="000403A0">
        <w:rPr>
          <w:rFonts w:ascii="Arial" w:hAnsi="Arial" w:cs="Arial"/>
          <w:b/>
          <w:bCs/>
          <w:sz w:val="28"/>
          <w:szCs w:val="28"/>
          <w:lang w:val="fr-FR"/>
        </w:rPr>
        <w:t>ame</w:t>
      </w:r>
      <w:proofErr w:type="spellEnd"/>
      <w:r w:rsidR="000D4C57" w:rsidRPr="000403A0">
        <w:rPr>
          <w:rFonts w:ascii="Arial" w:hAnsi="Arial" w:cs="Arial"/>
          <w:b/>
          <w:bCs/>
          <w:sz w:val="28"/>
          <w:szCs w:val="28"/>
          <w:lang w:val="fr-FR"/>
        </w:rPr>
        <w:t> : Ms. Odette Jack</w:t>
      </w:r>
    </w:p>
    <w:p w14:paraId="6263326F" w14:textId="5F4557CB" w:rsidR="000D4C57" w:rsidRDefault="000D4C57" w:rsidP="000D4C57">
      <w:pPr>
        <w:spacing w:line="360" w:lineRule="auto"/>
        <w:rPr>
          <w:rFonts w:ascii="Arial" w:hAnsi="Arial" w:cs="Arial"/>
          <w:b/>
          <w:bCs/>
          <w:sz w:val="28"/>
          <w:szCs w:val="28"/>
        </w:rPr>
      </w:pPr>
      <w:r w:rsidRPr="00522E8A">
        <w:rPr>
          <w:rFonts w:ascii="Arial" w:hAnsi="Arial" w:cs="Arial"/>
          <w:b/>
          <w:bCs/>
          <w:sz w:val="28"/>
          <w:szCs w:val="28"/>
        </w:rPr>
        <w:t>Assignment Title</w:t>
      </w:r>
      <w:r w:rsidRPr="00522E8A">
        <w:rPr>
          <w:rFonts w:ascii="Arial" w:hAnsi="Arial" w:cs="Arial"/>
          <w:sz w:val="28"/>
          <w:szCs w:val="28"/>
        </w:rPr>
        <w:t xml:space="preserve">: </w:t>
      </w:r>
      <w:r w:rsidRPr="00522E8A">
        <w:rPr>
          <w:rFonts w:ascii="Arial" w:hAnsi="Arial" w:cs="Arial"/>
          <w:b/>
          <w:bCs/>
          <w:sz w:val="28"/>
          <w:szCs w:val="28"/>
        </w:rPr>
        <w:t>DEMENTIA</w:t>
      </w:r>
    </w:p>
    <w:p w14:paraId="0D5E2C7B" w14:textId="49FBF1D8" w:rsidR="00522E8A" w:rsidRPr="00522E8A" w:rsidRDefault="00522E8A" w:rsidP="000D4C57">
      <w:pPr>
        <w:spacing w:line="360" w:lineRule="auto"/>
        <w:rPr>
          <w:rFonts w:ascii="Arial" w:hAnsi="Arial" w:cs="Arial"/>
          <w:b/>
          <w:bCs/>
          <w:sz w:val="28"/>
          <w:szCs w:val="28"/>
        </w:rPr>
      </w:pPr>
      <w:r>
        <w:rPr>
          <w:rFonts w:ascii="Arial" w:hAnsi="Arial" w:cs="Arial"/>
          <w:b/>
          <w:bCs/>
          <w:sz w:val="28"/>
          <w:szCs w:val="28"/>
        </w:rPr>
        <w:t xml:space="preserve">Word-Count:  </w:t>
      </w:r>
      <w:r w:rsidR="00240D89">
        <w:rPr>
          <w:rFonts w:ascii="Arial" w:hAnsi="Arial" w:cs="Arial"/>
          <w:b/>
          <w:bCs/>
          <w:sz w:val="28"/>
          <w:szCs w:val="28"/>
        </w:rPr>
        <w:t>15</w:t>
      </w:r>
      <w:r w:rsidR="0058076E">
        <w:rPr>
          <w:rFonts w:ascii="Arial" w:hAnsi="Arial" w:cs="Arial"/>
          <w:b/>
          <w:bCs/>
          <w:sz w:val="28"/>
          <w:szCs w:val="28"/>
        </w:rPr>
        <w:t>47</w:t>
      </w:r>
      <w:r w:rsidR="00240D89">
        <w:rPr>
          <w:rFonts w:ascii="Arial" w:hAnsi="Arial" w:cs="Arial"/>
          <w:b/>
          <w:bCs/>
          <w:sz w:val="28"/>
          <w:szCs w:val="28"/>
        </w:rPr>
        <w:t xml:space="preserve"> </w:t>
      </w:r>
      <w:r>
        <w:rPr>
          <w:rFonts w:ascii="Arial" w:hAnsi="Arial" w:cs="Arial"/>
          <w:b/>
          <w:bCs/>
          <w:sz w:val="28"/>
          <w:szCs w:val="28"/>
        </w:rPr>
        <w:t>words</w:t>
      </w:r>
    </w:p>
    <w:p w14:paraId="62A3F9E9" w14:textId="77777777" w:rsidR="000D4C57" w:rsidRPr="00522E8A" w:rsidRDefault="000D4C57">
      <w:pPr>
        <w:rPr>
          <w:rFonts w:ascii="Arial" w:hAnsi="Arial" w:cs="Arial"/>
          <w:sz w:val="28"/>
          <w:szCs w:val="28"/>
        </w:rPr>
      </w:pPr>
    </w:p>
    <w:p w14:paraId="7A91975B" w14:textId="77777777" w:rsidR="00EB0567" w:rsidRPr="00522E8A" w:rsidRDefault="00EB0567">
      <w:pPr>
        <w:rPr>
          <w:rFonts w:ascii="Arial" w:hAnsi="Arial" w:cs="Arial"/>
          <w:sz w:val="28"/>
          <w:szCs w:val="28"/>
        </w:rPr>
      </w:pPr>
    </w:p>
    <w:p w14:paraId="4B810DE9" w14:textId="77777777" w:rsidR="00EB0567" w:rsidRDefault="00EB0567"/>
    <w:p w14:paraId="56DC546E" w14:textId="77777777" w:rsidR="00EB0567" w:rsidRDefault="00EB0567"/>
    <w:p w14:paraId="5A4DA9CE" w14:textId="77777777" w:rsidR="00EB0567" w:rsidRDefault="00EB0567"/>
    <w:p w14:paraId="4C9B560F" w14:textId="77777777" w:rsidR="00EB0567" w:rsidRDefault="00EB0567"/>
    <w:p w14:paraId="2E8D2339" w14:textId="77777777" w:rsidR="00EB0567" w:rsidRDefault="00EB0567"/>
    <w:p w14:paraId="7C2A12BC" w14:textId="77777777" w:rsidR="00EB0567" w:rsidRDefault="00EB0567"/>
    <w:p w14:paraId="0E2332F1" w14:textId="77777777" w:rsidR="00EB0567" w:rsidRDefault="00EB0567"/>
    <w:p w14:paraId="206CF56C" w14:textId="77777777" w:rsidR="00EB0567" w:rsidRDefault="00EB0567"/>
    <w:p w14:paraId="70ECFFC9" w14:textId="77777777" w:rsidR="00EB0567" w:rsidRDefault="00EB0567"/>
    <w:p w14:paraId="40F935C0" w14:textId="77777777" w:rsidR="00EB0567" w:rsidRDefault="00EB0567"/>
    <w:p w14:paraId="329C2789" w14:textId="77777777" w:rsidR="00EB0567" w:rsidRDefault="00EB0567"/>
    <w:p w14:paraId="61C09D41" w14:textId="314EED4F" w:rsidR="00EB0567" w:rsidRPr="00AA318E" w:rsidRDefault="00AA318E">
      <w:pPr>
        <w:rPr>
          <w:rFonts w:ascii="Arial" w:hAnsi="Arial" w:cs="Arial"/>
          <w:b/>
          <w:bCs/>
          <w:sz w:val="32"/>
          <w:szCs w:val="32"/>
        </w:rPr>
      </w:pPr>
      <w:r w:rsidRPr="00AA318E">
        <w:rPr>
          <w:rFonts w:ascii="Arial" w:hAnsi="Arial" w:cs="Arial"/>
          <w:b/>
          <w:bCs/>
          <w:sz w:val="32"/>
          <w:szCs w:val="32"/>
        </w:rPr>
        <w:lastRenderedPageBreak/>
        <w:t>Dementia: Prevalence, Monitoring and Community Support</w:t>
      </w:r>
    </w:p>
    <w:p w14:paraId="2B9AE764" w14:textId="27017A5D" w:rsidR="002B3BB1" w:rsidRDefault="00772CC0" w:rsidP="002B3BB1">
      <w:pPr>
        <w:spacing w:line="360" w:lineRule="auto"/>
        <w:rPr>
          <w:rFonts w:ascii="Arial" w:eastAsia="Times New Roman" w:hAnsi="Arial" w:cs="Arial"/>
          <w:kern w:val="0"/>
          <w:lang w:eastAsia="en-GB"/>
          <w14:ligatures w14:val="none"/>
        </w:rPr>
      </w:pPr>
      <w:r w:rsidRPr="00AA318E">
        <w:rPr>
          <w:rFonts w:ascii="Arial" w:hAnsi="Arial" w:cs="Arial"/>
          <w:b/>
          <w:bCs/>
          <w:sz w:val="32"/>
          <w:szCs w:val="32"/>
        </w:rPr>
        <w:t>INTRODUCTION</w:t>
      </w:r>
    </w:p>
    <w:p w14:paraId="13832B2F" w14:textId="7EBFFB07" w:rsidR="00772CC0" w:rsidRDefault="005376E1" w:rsidP="005376E1">
      <w:pPr>
        <w:spacing w:after="0" w:line="360" w:lineRule="auto"/>
        <w:rPr>
          <w:rFonts w:ascii="Times New Roman" w:eastAsia="Times New Roman" w:hAnsi="Times New Roman" w:cs="Times New Roman"/>
          <w:kern w:val="0"/>
          <w:lang w:eastAsia="en-GB"/>
          <w14:ligatures w14:val="none"/>
        </w:rPr>
      </w:pPr>
      <w:r w:rsidRPr="005376E1">
        <w:rPr>
          <w:rFonts w:ascii="Arial" w:eastAsia="Times New Roman" w:hAnsi="Arial" w:cs="Arial"/>
          <w:color w:val="222222"/>
          <w:kern w:val="0"/>
          <w:shd w:val="clear" w:color="auto" w:fill="FFFFFF"/>
          <w:lang w:eastAsia="en-GB"/>
          <w14:ligatures w14:val="none"/>
        </w:rPr>
        <w:t>Dementia represents a clinical syndrome defined by the gradual loss of cognitive abilities, including memory, logical reasoning, and verbal communication. This deterioration profoundly impacts a person’s capacity to manage everyday tasks (World Health Organization [WHO], 2025). The condition stems from various primary diseases, with Alzheimer’s disease being the most prevalent, representing roughly 60-70% of all diagnoses (WHO, 2025). Initial symptoms often present as minor forgetfulness, disorientation in well-known environments, and shifts in emotional temperament (WHO, 2025).</w:t>
      </w:r>
      <w:r w:rsidRPr="005376E1">
        <w:rPr>
          <w:rFonts w:ascii="Arial" w:eastAsia="Times New Roman" w:hAnsi="Arial" w:cs="Arial"/>
          <w:color w:val="222222"/>
          <w:kern w:val="0"/>
          <w:lang w:eastAsia="en-GB"/>
          <w14:ligatures w14:val="none"/>
        </w:rPr>
        <w:br/>
      </w:r>
      <w:r w:rsidRPr="005376E1">
        <w:rPr>
          <w:rFonts w:ascii="Arial" w:eastAsia="Times New Roman" w:hAnsi="Arial" w:cs="Arial"/>
          <w:color w:val="222222"/>
          <w:kern w:val="0"/>
          <w:lang w:eastAsia="en-GB"/>
          <w14:ligatures w14:val="none"/>
        </w:rPr>
        <w:br/>
      </w:r>
      <w:r w:rsidRPr="005376E1">
        <w:rPr>
          <w:rFonts w:ascii="Arial" w:eastAsia="Times New Roman" w:hAnsi="Arial" w:cs="Arial"/>
          <w:color w:val="222222"/>
          <w:kern w:val="0"/>
          <w:shd w:val="clear" w:color="auto" w:fill="FFFFFF"/>
          <w:lang w:eastAsia="en-GB"/>
          <w14:ligatures w14:val="none"/>
        </w:rPr>
        <w:t>On a global scale, the consequences are immense. In 2021, nearly 57 million individuals were affected by dementia, and this statistic is expected to climb to 153 million by the year 2050 as the global population ages (Livingston et al., 2024). Within the UK specifically, the disease has emerged as the primary cause of mortality. It is anticipated that more than 1 million citizens will be living with the syndrome by 2025 (Dementia Hub UK, 2025). According to recent data, roughly 483,000 individuals in England had received an official diagnosis by late 2024 (Gov.uk, 2025).</w:t>
      </w:r>
    </w:p>
    <w:p w14:paraId="09C96F24" w14:textId="77777777" w:rsidR="005376E1" w:rsidRPr="005376E1" w:rsidRDefault="005376E1" w:rsidP="005376E1">
      <w:pPr>
        <w:spacing w:after="0" w:line="360" w:lineRule="auto"/>
        <w:rPr>
          <w:rFonts w:ascii="Times New Roman" w:eastAsia="Times New Roman" w:hAnsi="Times New Roman" w:cs="Times New Roman"/>
          <w:kern w:val="0"/>
          <w:lang w:eastAsia="en-GB"/>
          <w14:ligatures w14:val="none"/>
        </w:rPr>
      </w:pPr>
    </w:p>
    <w:p w14:paraId="7E2BED08" w14:textId="56B78A1F" w:rsidR="0090547C" w:rsidRPr="00383660" w:rsidRDefault="00772CC0" w:rsidP="0090547C">
      <w:pPr>
        <w:spacing w:line="360" w:lineRule="auto"/>
        <w:rPr>
          <w:rFonts w:ascii="Arial" w:eastAsia="Times New Roman" w:hAnsi="Arial" w:cs="Arial"/>
          <w:color w:val="222222"/>
          <w:kern w:val="0"/>
          <w:lang w:eastAsia="en-GB"/>
          <w14:ligatures w14:val="none"/>
        </w:rPr>
      </w:pPr>
      <w:r w:rsidRPr="002B3BB1">
        <w:rPr>
          <w:rFonts w:ascii="Arial" w:eastAsia="Times New Roman" w:hAnsi="Arial" w:cs="Arial"/>
          <w:b/>
          <w:bCs/>
          <w:color w:val="222222"/>
          <w:kern w:val="0"/>
          <w:sz w:val="32"/>
          <w:szCs w:val="32"/>
          <w:lang w:eastAsia="en-GB"/>
          <w14:ligatures w14:val="none"/>
        </w:rPr>
        <w:t>MAIN BODY</w:t>
      </w:r>
      <w:r w:rsidRPr="002B3BB1">
        <w:rPr>
          <w:rFonts w:ascii="Arial" w:eastAsia="Times New Roman" w:hAnsi="Arial" w:cs="Arial"/>
          <w:color w:val="222222"/>
          <w:kern w:val="0"/>
          <w:sz w:val="32"/>
          <w:szCs w:val="32"/>
          <w:lang w:eastAsia="en-GB"/>
          <w14:ligatures w14:val="none"/>
        </w:rPr>
        <w:br/>
      </w:r>
      <w:r w:rsidR="002B3BB1" w:rsidRPr="002B3BB1">
        <w:rPr>
          <w:rFonts w:ascii="Arial" w:eastAsia="Times New Roman" w:hAnsi="Arial" w:cs="Arial"/>
          <w:b/>
          <w:bCs/>
          <w:color w:val="222222"/>
          <w:kern w:val="0"/>
          <w:sz w:val="32"/>
          <w:szCs w:val="32"/>
          <w:lang w:eastAsia="en-GB"/>
          <w14:ligatures w14:val="none"/>
        </w:rPr>
        <w:t>Approaches to Measuring Dementia Severity and Staging</w:t>
      </w:r>
      <w:r w:rsidRPr="001515C4">
        <w:rPr>
          <w:rFonts w:ascii="Arial" w:eastAsia="Times New Roman" w:hAnsi="Arial" w:cs="Arial"/>
          <w:color w:val="222222"/>
          <w:kern w:val="0"/>
          <w:lang w:eastAsia="en-GB"/>
          <w14:ligatures w14:val="none"/>
        </w:rPr>
        <w:br/>
      </w:r>
      <w:r w:rsidR="004A5E19">
        <w:rPr>
          <w:rFonts w:ascii="Arial" w:hAnsi="Arial" w:cs="Arial"/>
          <w:color w:val="222222"/>
          <w:shd w:val="clear" w:color="auto" w:fill="FFFFFF"/>
        </w:rPr>
        <w:t xml:space="preserve">The measurement of dementia focuses on establishing a clinical "snapshot" of a patient’s current cognitive and functional impairment through standardized diagnostic tools. In current UK practice, this is achieved through high-accuracy clinical biomarker assays. For instance, recent breakthroughs in blood tests for p-tau 217 </w:t>
      </w:r>
      <w:r w:rsidR="004A5E19">
        <w:rPr>
          <w:rFonts w:ascii="Arial" w:hAnsi="Arial" w:cs="Arial"/>
          <w:color w:val="222222"/>
          <w:shd w:val="clear" w:color="auto" w:fill="FFFFFF"/>
        </w:rPr>
        <w:t>(phosphorylated tau 217)</w:t>
      </w:r>
      <w:r w:rsidR="009D6514">
        <w:rPr>
          <w:rFonts w:ascii="Arial" w:hAnsi="Arial" w:cs="Arial"/>
          <w:color w:val="222222"/>
          <w:shd w:val="clear" w:color="auto" w:fill="FFFFFF"/>
        </w:rPr>
        <w:t>,</w:t>
      </w:r>
      <w:r w:rsidR="004A5E19">
        <w:rPr>
          <w:rFonts w:ascii="Arial" w:hAnsi="Arial" w:cs="Arial"/>
          <w:color w:val="222222"/>
          <w:shd w:val="clear" w:color="auto" w:fill="FFFFFF"/>
        </w:rPr>
        <w:t xml:space="preserve"> a specific protein found in the blood serve as a biological marker for Alzheimer’s disease.  It is highly significant because it indicates the presence of both amyloid plaques and tau tangles in the brain – the two hallmark pathologies of the condition – allowing clinicians to provide a non- invasive diagnosis that is nearly as accurate as expensive brain scans or painful spinal taps (UCLH, 2024). </w:t>
      </w:r>
      <w:r w:rsidR="004A5E19">
        <w:rPr>
          <w:rFonts w:ascii="Arial" w:hAnsi="Arial" w:cs="Arial"/>
          <w:color w:val="222222"/>
          <w:shd w:val="clear" w:color="auto" w:fill="FFFFFF"/>
        </w:rPr>
        <w:t xml:space="preserve"> Complementing these biological markers are digital cognitive batteries,</w:t>
      </w:r>
      <w:r w:rsidR="00EB3685">
        <w:rPr>
          <w:rFonts w:ascii="Arial" w:hAnsi="Arial" w:cs="Arial"/>
          <w:color w:val="222222"/>
          <w:shd w:val="clear" w:color="auto" w:fill="FFFFFF"/>
        </w:rPr>
        <w:t xml:space="preserve"> such </w:t>
      </w:r>
      <w:r w:rsidR="00EB3685">
        <w:rPr>
          <w:rFonts w:ascii="Arial" w:hAnsi="Arial" w:cs="Arial"/>
          <w:color w:val="222222"/>
          <w:shd w:val="clear" w:color="auto" w:fill="FFFFFF"/>
        </w:rPr>
        <w:lastRenderedPageBreak/>
        <w:t>as the Montreal Cognitive Assessment (</w:t>
      </w:r>
      <w:proofErr w:type="spellStart"/>
      <w:r w:rsidR="00EB3685">
        <w:rPr>
          <w:rFonts w:ascii="Arial" w:hAnsi="Arial" w:cs="Arial"/>
          <w:color w:val="222222"/>
          <w:shd w:val="clear" w:color="auto" w:fill="FFFFFF"/>
        </w:rPr>
        <w:t>MoCa</w:t>
      </w:r>
      <w:proofErr w:type="spellEnd"/>
      <w:r w:rsidR="00EB3685">
        <w:rPr>
          <w:rFonts w:ascii="Arial" w:hAnsi="Arial" w:cs="Arial"/>
          <w:color w:val="222222"/>
          <w:shd w:val="clear" w:color="auto" w:fill="FFFFFF"/>
        </w:rPr>
        <w:t>) or specialised computer-based tests,</w:t>
      </w:r>
      <w:r w:rsidR="004A5E19">
        <w:rPr>
          <w:rFonts w:ascii="Arial" w:hAnsi="Arial" w:cs="Arial"/>
          <w:color w:val="222222"/>
          <w:shd w:val="clear" w:color="auto" w:fill="FFFFFF"/>
        </w:rPr>
        <w:t xml:space="preserve"> which provide objective, numerical scores</w:t>
      </w:r>
      <w:r w:rsidR="00EB3685">
        <w:rPr>
          <w:rFonts w:ascii="Arial" w:hAnsi="Arial" w:cs="Arial"/>
          <w:color w:val="222222"/>
          <w:shd w:val="clear" w:color="auto" w:fill="FFFFFF"/>
        </w:rPr>
        <w:t xml:space="preserve"> to categorize the severity of impairment as mild, moderate, or severe.  </w:t>
      </w:r>
      <w:r w:rsidR="004A5E19">
        <w:rPr>
          <w:rFonts w:ascii="Arial" w:hAnsi="Arial" w:cs="Arial"/>
          <w:color w:val="222222"/>
          <w:shd w:val="clear" w:color="auto" w:fill="FFFFFF"/>
        </w:rPr>
        <w:t>These measurements are essential for the Quality and Outcomes Framework (QOF), a system that incentivizes GP surgeries to maintain accurate dementia registers and ensure patients receive annual reviews</w:t>
      </w:r>
      <w:r w:rsidR="00EB3685">
        <w:rPr>
          <w:rFonts w:ascii="Arial" w:hAnsi="Arial" w:cs="Arial"/>
          <w:color w:val="222222"/>
          <w:shd w:val="clear" w:color="auto" w:fill="FFFFFF"/>
        </w:rPr>
        <w:t xml:space="preserve"> based on their measured decline.  </w:t>
      </w:r>
      <w:r w:rsidR="004A5E19">
        <w:rPr>
          <w:rFonts w:ascii="Arial" w:hAnsi="Arial" w:cs="Arial"/>
          <w:color w:val="222222"/>
          <w:shd w:val="clear" w:color="auto" w:fill="FFFFFF"/>
        </w:rPr>
        <w:t xml:space="preserve"> By the end of 2024, the UK reached record-high diagnostic counts</w:t>
      </w:r>
      <w:r w:rsidR="00EB3685">
        <w:rPr>
          <w:rFonts w:ascii="Arial" w:hAnsi="Arial" w:cs="Arial"/>
          <w:color w:val="222222"/>
          <w:shd w:val="clear" w:color="auto" w:fill="FFFFFF"/>
        </w:rPr>
        <w:t xml:space="preserve"> due to these </w:t>
      </w:r>
      <w:r w:rsidR="00383660">
        <w:rPr>
          <w:rFonts w:ascii="Arial" w:hAnsi="Arial" w:cs="Arial"/>
          <w:color w:val="222222"/>
          <w:shd w:val="clear" w:color="auto" w:fill="FFFFFF"/>
        </w:rPr>
        <w:t xml:space="preserve">improve measurement techniques, providing a vital statistical baseline for the prevalence of the disease </w:t>
      </w:r>
      <w:r w:rsidR="004A5E19">
        <w:rPr>
          <w:rFonts w:ascii="Arial" w:hAnsi="Arial" w:cs="Arial"/>
          <w:color w:val="222222"/>
          <w:shd w:val="clear" w:color="auto" w:fill="FFFFFF"/>
        </w:rPr>
        <w:t xml:space="preserve"> across different age groups and ethnicities (Gov.uk, 2025). Furthermore, consistent measurement allows for the tracking of "diagnostic gaps"—the difference between the number of people estimated to have dementia and those with a formal diagnosis. </w:t>
      </w:r>
      <w:r w:rsidR="00383660">
        <w:rPr>
          <w:rFonts w:ascii="Arial" w:hAnsi="Arial" w:cs="Arial"/>
          <w:color w:val="222222"/>
          <w:shd w:val="clear" w:color="auto" w:fill="FFFFFF"/>
        </w:rPr>
        <w:t xml:space="preserve">Accurate measurement remains the primary  gateway for patients to access both pharmacological treatments and essential social care support. </w:t>
      </w:r>
    </w:p>
    <w:p w14:paraId="53ED82D4" w14:textId="5562154C" w:rsidR="00E60698" w:rsidRDefault="00772CC0" w:rsidP="00772CC0">
      <w:pPr>
        <w:spacing w:line="360" w:lineRule="auto"/>
        <w:rPr>
          <w:rFonts w:ascii="Arial" w:hAnsi="Arial" w:cs="Arial"/>
          <w:color w:val="222222"/>
          <w:shd w:val="clear" w:color="auto" w:fill="FFFFFF"/>
        </w:rPr>
      </w:pPr>
      <w:r w:rsidRPr="001515C4">
        <w:rPr>
          <w:rFonts w:ascii="Arial" w:eastAsia="Times New Roman" w:hAnsi="Arial" w:cs="Arial"/>
          <w:color w:val="222222"/>
          <w:kern w:val="0"/>
          <w:lang w:eastAsia="en-GB"/>
          <w14:ligatures w14:val="none"/>
        </w:rPr>
        <w:br/>
      </w:r>
      <w:r w:rsidRPr="0090547C">
        <w:rPr>
          <w:rFonts w:ascii="Arial" w:eastAsia="Times New Roman" w:hAnsi="Arial" w:cs="Arial"/>
          <w:b/>
          <w:bCs/>
          <w:color w:val="222222"/>
          <w:kern w:val="0"/>
          <w:sz w:val="32"/>
          <w:szCs w:val="32"/>
          <w:lang w:eastAsia="en-GB"/>
          <w14:ligatures w14:val="none"/>
        </w:rPr>
        <w:t>Monitoring Dementia: Tracking Care and Progression</w:t>
      </w:r>
    </w:p>
    <w:p w14:paraId="2DA56F1C" w14:textId="77777777" w:rsidR="00E60698" w:rsidRDefault="00E60698" w:rsidP="00772CC0">
      <w:pPr>
        <w:spacing w:line="360" w:lineRule="auto"/>
        <w:rPr>
          <w:rFonts w:ascii="Arial" w:eastAsia="Times New Roman" w:hAnsi="Arial" w:cs="Arial"/>
          <w:b/>
          <w:bCs/>
          <w:color w:val="222222"/>
          <w:kern w:val="0"/>
          <w:lang w:eastAsia="en-GB"/>
          <w14:ligatures w14:val="none"/>
        </w:rPr>
      </w:pPr>
      <w:r>
        <w:rPr>
          <w:rFonts w:ascii="Arial" w:hAnsi="Arial" w:cs="Arial"/>
          <w:color w:val="222222"/>
          <w:shd w:val="clear" w:color="auto" w:fill="FFFFFF"/>
        </w:rPr>
        <w:t>Monitoring is a longitudinal process designed to track the speed of decline and ensure day-to-day safety for those living in the community. A primary modern approach involves remote at-home monitoring, such as the NHS-backed "Minder Care" technology. This system utilizes a network of sensors and Artificial Intelligence to detect "soft signs" of deterioration, such as changes in mobility, sleep patterns, or the early onset of urinary tract infections, which are major causes of delirium (Pharmacy Business, 2025). On a clinical level, the RESTORE2 Mini framework has become the standard monitoring approach used by community carers to identify subtle health changes. This allows carers to identify fluctuations in appetite or mood and communicate these to healthcare professionals using the structured SBARD (Situation, Background, Assessment, Recommendation, Decision) method (</w:t>
      </w:r>
      <w:proofErr w:type="spellStart"/>
      <w:r>
        <w:rPr>
          <w:rFonts w:ascii="Arial" w:hAnsi="Arial" w:cs="Arial"/>
          <w:color w:val="222222"/>
          <w:shd w:val="clear" w:color="auto" w:fill="FFFFFF"/>
        </w:rPr>
        <w:t>Hometouch</w:t>
      </w:r>
      <w:proofErr w:type="spellEnd"/>
      <w:r>
        <w:rPr>
          <w:rFonts w:ascii="Arial" w:hAnsi="Arial" w:cs="Arial"/>
          <w:color w:val="222222"/>
          <w:shd w:val="clear" w:color="auto" w:fill="FFFFFF"/>
        </w:rPr>
        <w:t xml:space="preserve">, 2025). Additionally, the Global Dementia Observatory (GDO) emphasizes the importance of monitoring social participation and caregiver well-being alongside clinical symptoms. Advanced remote sensing technologies, including wearable devices, are currently being evaluated for their effectiveness in monitoring health parameters in real-time to prevent unnecessary emergency hospital admissions (Shaik et al., 2025). This continuous oversight ensures that care plans </w:t>
      </w:r>
      <w:r>
        <w:rPr>
          <w:rFonts w:ascii="Arial" w:hAnsi="Arial" w:cs="Arial"/>
          <w:color w:val="222222"/>
          <w:shd w:val="clear" w:color="auto" w:fill="FFFFFF"/>
        </w:rPr>
        <w:lastRenderedPageBreak/>
        <w:t>can be adjusted dynamically as the disease progresses.</w:t>
      </w:r>
      <w:r w:rsidR="00772CC0" w:rsidRPr="001515C4">
        <w:rPr>
          <w:rFonts w:ascii="Arial" w:eastAsia="Times New Roman" w:hAnsi="Arial" w:cs="Arial"/>
          <w:b/>
          <w:bCs/>
          <w:color w:val="222222"/>
          <w:kern w:val="0"/>
          <w:lang w:eastAsia="en-GB"/>
          <w14:ligatures w14:val="none"/>
        </w:rPr>
        <w:br/>
      </w:r>
    </w:p>
    <w:p w14:paraId="41BB74D3" w14:textId="1FCDF0E5" w:rsidR="00E60698" w:rsidRDefault="00772CC0" w:rsidP="00772CC0">
      <w:pPr>
        <w:spacing w:line="360" w:lineRule="auto"/>
        <w:rPr>
          <w:rFonts w:ascii="Arial" w:hAnsi="Arial" w:cs="Arial"/>
          <w:color w:val="222222"/>
          <w:shd w:val="clear" w:color="auto" w:fill="FFFFFF"/>
        </w:rPr>
      </w:pPr>
      <w:r w:rsidRPr="001515C4">
        <w:rPr>
          <w:rFonts w:ascii="Arial" w:eastAsia="Times New Roman" w:hAnsi="Arial" w:cs="Arial"/>
          <w:b/>
          <w:bCs/>
          <w:color w:val="222222"/>
          <w:kern w:val="0"/>
          <w:lang w:eastAsia="en-GB"/>
          <w14:ligatures w14:val="none"/>
        </w:rPr>
        <w:br/>
      </w:r>
      <w:r w:rsidR="006661FC" w:rsidRPr="006661FC">
        <w:rPr>
          <w:rFonts w:ascii="Arial" w:hAnsi="Arial" w:cs="Arial"/>
          <w:b/>
          <w:bCs/>
          <w:color w:val="222222"/>
          <w:sz w:val="32"/>
          <w:szCs w:val="32"/>
          <w:shd w:val="clear" w:color="auto" w:fill="FFFFFF"/>
        </w:rPr>
        <w:t>Controlling Dementia: Prevention and Risk Management</w:t>
      </w:r>
    </w:p>
    <w:p w14:paraId="396C0B79" w14:textId="0100F99A" w:rsidR="00EE4712" w:rsidRPr="00EE4712" w:rsidRDefault="00E60698" w:rsidP="00772CC0">
      <w:pPr>
        <w:spacing w:line="360" w:lineRule="auto"/>
        <w:rPr>
          <w:rFonts w:ascii="Arial" w:eastAsia="Times New Roman" w:hAnsi="Arial" w:cs="Arial"/>
          <w:color w:val="222222"/>
          <w:kern w:val="0"/>
          <w:lang w:eastAsia="en-GB"/>
          <w14:ligatures w14:val="none"/>
        </w:rPr>
      </w:pPr>
      <w:r>
        <w:rPr>
          <w:rFonts w:ascii="Arial" w:hAnsi="Arial" w:cs="Arial"/>
          <w:color w:val="222222"/>
          <w:shd w:val="clear" w:color="auto" w:fill="FFFFFF"/>
        </w:rPr>
        <w:t>Controlling dementia involves a dual strategy of primary prevention and secondary management. A landmark update from the Lancet Commission in 2024 identified that nearly 45% of dementia cases worldwide could be prevented or delayed by addressing 14 modifiable risk factors throughout the life course (Livingston et al., 2024). The report added two new critical factors: high LDL cholesterol in mid-life and untreated vision loss in later life (UCL News, 2024). In the UK, control is operationalized through the NHS Health Check, which targets vascular risks in adults aged 40–74 to prevent vascular-related cognitive decline (DHSC, 2023). Secondary control focuses on slowing the progression of symptoms and managing the social impact. The UK utilizes the Admiral Nurse model, providing specialist mental health support to families to prevent caregiver burnout and crisis points (Dementia UK, 2023). Furthermore, Dementia-Friendly Communities work as a social control tool to reduce the deep-seated stigma that leads many individuals to report experiences of discrimination</w:t>
      </w:r>
      <w:r w:rsidR="004C3DEC">
        <w:rPr>
          <w:rFonts w:ascii="Arial" w:hAnsi="Arial" w:cs="Arial"/>
          <w:color w:val="222222"/>
          <w:shd w:val="clear" w:color="auto" w:fill="FFFFFF"/>
        </w:rPr>
        <w:t>.  According to</w:t>
      </w:r>
      <w:r>
        <w:rPr>
          <w:rFonts w:ascii="Arial" w:hAnsi="Arial" w:cs="Arial"/>
          <w:color w:val="222222"/>
          <w:shd w:val="clear" w:color="auto" w:fill="FFFFFF"/>
        </w:rPr>
        <w:t xml:space="preserve"> </w:t>
      </w:r>
      <w:r w:rsidR="004C3DEC">
        <w:rPr>
          <w:rFonts w:ascii="Arial" w:hAnsi="Arial" w:cs="Arial"/>
          <w:color w:val="222222"/>
          <w:shd w:val="clear" w:color="auto" w:fill="FFFFFF"/>
        </w:rPr>
        <w:t xml:space="preserve">Alzheimer’s Disease International </w:t>
      </w:r>
      <w:r>
        <w:rPr>
          <w:rFonts w:ascii="Arial" w:hAnsi="Arial" w:cs="Arial"/>
          <w:color w:val="222222"/>
          <w:shd w:val="clear" w:color="auto" w:fill="FFFFFF"/>
        </w:rPr>
        <w:t>(ADI</w:t>
      </w:r>
      <w:r w:rsidR="00BF2CE8">
        <w:rPr>
          <w:rFonts w:ascii="Arial" w:hAnsi="Arial" w:cs="Arial"/>
          <w:color w:val="222222"/>
          <w:shd w:val="clear" w:color="auto" w:fill="FFFFFF"/>
        </w:rPr>
        <w:t>)</w:t>
      </w:r>
      <w:r w:rsidR="00FA3AE4">
        <w:rPr>
          <w:rFonts w:ascii="Arial" w:hAnsi="Arial" w:cs="Arial"/>
          <w:color w:val="222222"/>
          <w:shd w:val="clear" w:color="auto" w:fill="FFFFFF"/>
        </w:rPr>
        <w:t xml:space="preserve">, </w:t>
      </w:r>
      <w:r w:rsidR="00BF2CE8">
        <w:rPr>
          <w:rFonts w:ascii="Arial" w:hAnsi="Arial" w:cs="Arial"/>
          <w:color w:val="222222"/>
          <w:shd w:val="clear" w:color="auto" w:fill="FFFFFF"/>
        </w:rPr>
        <w:t xml:space="preserve">approximately 88% of people living with dementia globally have reported experiencing </w:t>
      </w:r>
      <w:r w:rsidR="00FA3AE4">
        <w:rPr>
          <w:rFonts w:ascii="Arial" w:hAnsi="Arial" w:cs="Arial"/>
          <w:color w:val="222222"/>
          <w:shd w:val="clear" w:color="auto" w:fill="FFFFFF"/>
        </w:rPr>
        <w:t xml:space="preserve">some form of social discrimination or stigma, highlighting the urgent need for these community-based interventions (2024).  </w:t>
      </w:r>
      <w:r>
        <w:rPr>
          <w:rFonts w:ascii="Arial" w:hAnsi="Arial" w:cs="Arial"/>
          <w:color w:val="222222"/>
          <w:shd w:val="clear" w:color="auto" w:fill="FFFFFF"/>
        </w:rPr>
        <w:t>However, the economic cost of dementia in the UK is forecast to rise to £90 billion by 2040, highlighting that current control measures must be scaled up significantly (Alzheimer’s Society, 2024). This includes government-level "passive" control measures, such as air quality regulations and legislation to reduce sugar and salt in processed foods</w:t>
      </w:r>
      <w:r w:rsidR="00095630">
        <w:rPr>
          <w:rFonts w:ascii="Arial" w:hAnsi="Arial" w:cs="Arial"/>
          <w:color w:val="222222"/>
          <w:shd w:val="clear" w:color="auto" w:fill="FFFFFF"/>
        </w:rPr>
        <w:t>.  Research from the National Institute for Health and Care Research (NIHR) suggests that these population-level policies could significantly reduce future dementia prevalence by addressing common risk factors across the whole community</w:t>
      </w:r>
      <w:r w:rsidR="00C74016">
        <w:rPr>
          <w:rFonts w:ascii="Arial" w:hAnsi="Arial" w:cs="Arial"/>
          <w:color w:val="222222"/>
          <w:shd w:val="clear" w:color="auto" w:fill="FFFFFF"/>
        </w:rPr>
        <w:t xml:space="preserve"> </w:t>
      </w:r>
      <w:r>
        <w:rPr>
          <w:rFonts w:ascii="Arial" w:hAnsi="Arial" w:cs="Arial"/>
          <w:color w:val="222222"/>
          <w:shd w:val="clear" w:color="auto" w:fill="FFFFFF"/>
        </w:rPr>
        <w:t>(NIHR, 2025).</w:t>
      </w:r>
    </w:p>
    <w:p w14:paraId="0E8F74CD" w14:textId="77777777" w:rsidR="00EE4712" w:rsidRDefault="00EE4712" w:rsidP="00772CC0">
      <w:pPr>
        <w:spacing w:line="360" w:lineRule="auto"/>
        <w:rPr>
          <w:rFonts w:ascii="Arial" w:hAnsi="Arial" w:cs="Arial"/>
          <w:b/>
          <w:bCs/>
          <w:color w:val="222222"/>
          <w:sz w:val="32"/>
          <w:szCs w:val="32"/>
          <w:shd w:val="clear" w:color="auto" w:fill="FFFFFF"/>
        </w:rPr>
      </w:pPr>
    </w:p>
    <w:p w14:paraId="4E34E97D" w14:textId="77777777" w:rsidR="00EE4712" w:rsidRDefault="00EE4712" w:rsidP="00772CC0">
      <w:pPr>
        <w:spacing w:line="360" w:lineRule="auto"/>
        <w:rPr>
          <w:rFonts w:ascii="Arial" w:hAnsi="Arial" w:cs="Arial"/>
          <w:b/>
          <w:bCs/>
          <w:color w:val="222222"/>
          <w:sz w:val="32"/>
          <w:szCs w:val="32"/>
          <w:shd w:val="clear" w:color="auto" w:fill="FFFFFF"/>
        </w:rPr>
      </w:pPr>
    </w:p>
    <w:p w14:paraId="2EA04CA5" w14:textId="308089D8" w:rsidR="00EE4712" w:rsidRDefault="00C306DA" w:rsidP="00772CC0">
      <w:pPr>
        <w:spacing w:line="360" w:lineRule="auto"/>
        <w:rPr>
          <w:rFonts w:ascii="Arial" w:hAnsi="Arial" w:cs="Arial"/>
          <w:color w:val="222222"/>
          <w:shd w:val="clear" w:color="auto" w:fill="FFFFFF"/>
        </w:rPr>
      </w:pPr>
      <w:r w:rsidRPr="00C306DA">
        <w:rPr>
          <w:rFonts w:ascii="Arial" w:hAnsi="Arial" w:cs="Arial"/>
          <w:b/>
          <w:bCs/>
          <w:color w:val="222222"/>
          <w:sz w:val="32"/>
          <w:szCs w:val="32"/>
          <w:shd w:val="clear" w:color="auto" w:fill="FFFFFF"/>
        </w:rPr>
        <w:lastRenderedPageBreak/>
        <w:t>Consequences of Dementia on the UK Community</w:t>
      </w:r>
    </w:p>
    <w:p w14:paraId="31141A6D" w14:textId="1ED5FA32" w:rsidR="00EE4712" w:rsidRDefault="00EE4712" w:rsidP="00772CC0">
      <w:pPr>
        <w:spacing w:line="360" w:lineRule="auto"/>
        <w:rPr>
          <w:rFonts w:ascii="Arial" w:hAnsi="Arial" w:cs="Arial"/>
          <w:color w:val="222222"/>
          <w:shd w:val="clear" w:color="auto" w:fill="FFFFFF"/>
        </w:rPr>
      </w:pPr>
      <w:r>
        <w:rPr>
          <w:rFonts w:ascii="Arial" w:hAnsi="Arial" w:cs="Arial"/>
          <w:color w:val="222222"/>
          <w:shd w:val="clear" w:color="auto" w:fill="FFFFFF"/>
        </w:rPr>
        <w:t>The effects of dementia are deeply ingrained within the UK’s economic and social structures, resulting in a "crisis of care" that reaches every part of society. From a financial perspective, the expenses associated with dementia support jeopardize the long-term viability of existing social care financing. Within the UK, projections suggest that overall expenditure will increase from £42 billion in 2024 to an overwhelming £90 billion by 2040—a fiscal strain that the present taxation framework is not yet equipped to manage (Alzheimer’s Society, 2024).</w:t>
      </w:r>
      <w:r>
        <w:rPr>
          <w:rFonts w:ascii="Arial" w:hAnsi="Arial" w:cs="Arial"/>
          <w:color w:val="222222"/>
        </w:rPr>
        <w:br/>
      </w:r>
      <w:r>
        <w:rPr>
          <w:rFonts w:ascii="Arial" w:hAnsi="Arial" w:cs="Arial"/>
          <w:color w:val="222222"/>
        </w:rPr>
        <w:br/>
      </w:r>
      <w:r>
        <w:rPr>
          <w:rFonts w:ascii="Arial" w:hAnsi="Arial" w:cs="Arial"/>
          <w:color w:val="222222"/>
          <w:shd w:val="clear" w:color="auto" w:fill="FFFFFF"/>
        </w:rPr>
        <w:t>Moving beyond financial costs, the disease imposes a massive emotional burden on the estimated 700,000 individuals providing unpaid family care. Evidence suggests that these "invisible" supporters frequently suffer from deteriorating health themselves, with high instances of physical burnout and clinical depression caused by the relentless, 24-hour demands of the position (CQC, 2025).</w:t>
      </w:r>
      <w:r>
        <w:rPr>
          <w:rFonts w:ascii="Arial" w:hAnsi="Arial" w:cs="Arial"/>
          <w:color w:val="222222"/>
        </w:rPr>
        <w:br/>
      </w:r>
      <w:r>
        <w:rPr>
          <w:rFonts w:ascii="Arial" w:hAnsi="Arial" w:cs="Arial"/>
          <w:color w:val="222222"/>
        </w:rPr>
        <w:br/>
      </w:r>
      <w:r>
        <w:rPr>
          <w:rFonts w:ascii="Arial" w:hAnsi="Arial" w:cs="Arial"/>
          <w:color w:val="222222"/>
          <w:shd w:val="clear" w:color="auto" w:fill="FFFFFF"/>
        </w:rPr>
        <w:t>Additionally, a major "postcode lottery" continues to exist throughout the UK, leading to profound health inequities. There are clear regional gaps in the availability of specialist beds; for example, certain areas in Southern England possess almost twice the care capacity of urban hubs like London, which causes inconsistent health results for the most at-risk citizens (Opera Beds, 2025). On a social level, these factors result in extreme loneliness, as 88% of people suffering from the condition describe encountering routine discrimination that restricts their involvement in local community life (Alzheimer’s Disease International [ADI], 2024).</w:t>
      </w:r>
    </w:p>
    <w:p w14:paraId="16545536" w14:textId="7B2A5BD1" w:rsidR="004741AC" w:rsidRDefault="00772CC0" w:rsidP="00772CC0">
      <w:pPr>
        <w:spacing w:line="360" w:lineRule="auto"/>
        <w:rPr>
          <w:rFonts w:ascii="Arial" w:eastAsia="Times New Roman" w:hAnsi="Arial" w:cs="Arial"/>
          <w:color w:val="222222"/>
          <w:kern w:val="0"/>
          <w:lang w:eastAsia="en-GB"/>
          <w14:ligatures w14:val="none"/>
        </w:rPr>
      </w:pPr>
      <w:r w:rsidRPr="001515C4">
        <w:rPr>
          <w:rFonts w:ascii="Arial" w:eastAsia="Times New Roman" w:hAnsi="Arial" w:cs="Arial"/>
          <w:color w:val="222222"/>
          <w:kern w:val="0"/>
          <w:lang w:eastAsia="en-GB"/>
          <w14:ligatures w14:val="none"/>
        </w:rPr>
        <w:br/>
      </w:r>
      <w:r w:rsidR="00C306DA" w:rsidRPr="00C306DA">
        <w:rPr>
          <w:rFonts w:ascii="Arial" w:hAnsi="Arial" w:cs="Arial"/>
          <w:b/>
          <w:bCs/>
          <w:color w:val="222222"/>
          <w:sz w:val="32"/>
          <w:szCs w:val="32"/>
          <w:shd w:val="clear" w:color="auto" w:fill="FFFFFF"/>
        </w:rPr>
        <w:t>Health and Social Care Support Services</w:t>
      </w:r>
    </w:p>
    <w:p w14:paraId="208D4A85" w14:textId="77777777" w:rsidR="00EE4712" w:rsidRDefault="004741AC" w:rsidP="00772CC0">
      <w:pPr>
        <w:spacing w:line="360" w:lineRule="auto"/>
        <w:rPr>
          <w:rFonts w:ascii="Arial" w:hAnsi="Arial" w:cs="Arial"/>
          <w:color w:val="222222"/>
          <w:shd w:val="clear" w:color="auto" w:fill="FFFFFF"/>
        </w:rPr>
      </w:pPr>
      <w:r>
        <w:rPr>
          <w:rFonts w:ascii="Arial" w:hAnsi="Arial" w:cs="Arial"/>
          <w:color w:val="222222"/>
          <w:shd w:val="clear" w:color="auto" w:fill="FFFFFF"/>
        </w:rPr>
        <w:t xml:space="preserve">To address these multi-layered challenges, the UK utilizes a structured network of services designed to support the "dyad"—both the patient and their caregiver. The primary gateway is the Memory Assessment Service (MAS). These clinics provide the essential pathway for a formal diagnosis, which is the "key" that unlocks further social care funding and medical treatment. While the National Health Service (NHS) aims for an 18-week waiting target, current strategies are focused on integrating these services more closely with primary care to speed up the process (NHS </w:t>
      </w:r>
      <w:r>
        <w:rPr>
          <w:rFonts w:ascii="Arial" w:hAnsi="Arial" w:cs="Arial"/>
          <w:color w:val="222222"/>
          <w:shd w:val="clear" w:color="auto" w:fill="FFFFFF"/>
        </w:rPr>
        <w:lastRenderedPageBreak/>
        <w:t xml:space="preserve">England, 2025). Once a diagnosis is established, the Admiral Nurse model serves as a cornerstone of community-based intervention. Provided by Dementia UK, these specialist mental health nurses offer emotional guidance and "clinical coaching" for families, helping them manage complex </w:t>
      </w:r>
      <w:r>
        <w:rPr>
          <w:rFonts w:ascii="Arial" w:hAnsi="Arial" w:cs="Arial"/>
          <w:color w:val="222222"/>
          <w:shd w:val="clear" w:color="auto" w:fill="FFFFFF"/>
        </w:rPr>
        <w:t>behavioural</w:t>
      </w:r>
      <w:r>
        <w:rPr>
          <w:rFonts w:ascii="Arial" w:hAnsi="Arial" w:cs="Arial"/>
          <w:color w:val="222222"/>
          <w:shd w:val="clear" w:color="auto" w:fill="FFFFFF"/>
        </w:rPr>
        <w:t xml:space="preserve"> symptoms and avoid caregiver burnout (Dementia UK, 2023). On a technological level, the NHS has accelerated the rollout of remote monitoring systems like "Minder Care." This innovation uses Artificial Intelligence (AI) and household sensors to track "soft signs" of deterioration, such as changes in sleep, gait, or hydration levels. By identifying these changes early, the system can prevent emergency hospital admissions caused by common issues like urinary tract infections or falls (Pharmacy Business, 2025). This combined approach ensures that support remains person-</w:t>
      </w:r>
      <w:r>
        <w:rPr>
          <w:rFonts w:ascii="Arial" w:hAnsi="Arial" w:cs="Arial"/>
          <w:color w:val="222222"/>
          <w:shd w:val="clear" w:color="auto" w:fill="FFFFFF"/>
        </w:rPr>
        <w:t>centred</w:t>
      </w:r>
      <w:r>
        <w:rPr>
          <w:rFonts w:ascii="Arial" w:hAnsi="Arial" w:cs="Arial"/>
          <w:color w:val="222222"/>
          <w:shd w:val="clear" w:color="auto" w:fill="FFFFFF"/>
        </w:rPr>
        <w:t xml:space="preserve"> and sustainable.</w:t>
      </w:r>
    </w:p>
    <w:p w14:paraId="66510851" w14:textId="77777777" w:rsidR="00EE4712" w:rsidRDefault="00EE4712" w:rsidP="00772CC0">
      <w:pPr>
        <w:spacing w:line="360" w:lineRule="auto"/>
        <w:rPr>
          <w:rFonts w:ascii="Arial" w:hAnsi="Arial" w:cs="Arial"/>
          <w:color w:val="222222"/>
          <w:shd w:val="clear" w:color="auto" w:fill="FFFFFF"/>
        </w:rPr>
      </w:pPr>
    </w:p>
    <w:p w14:paraId="792ADE3F" w14:textId="788CAFE9" w:rsidR="00772CC0" w:rsidRDefault="00772CC0" w:rsidP="00772CC0">
      <w:pPr>
        <w:spacing w:line="360" w:lineRule="auto"/>
        <w:rPr>
          <w:rFonts w:ascii="Arial" w:eastAsia="Times New Roman" w:hAnsi="Arial" w:cs="Arial"/>
          <w:color w:val="222222"/>
          <w:kern w:val="0"/>
          <w:lang w:eastAsia="en-GB"/>
          <w14:ligatures w14:val="none"/>
        </w:rPr>
      </w:pPr>
      <w:r w:rsidRPr="001515C4">
        <w:rPr>
          <w:rFonts w:ascii="Arial" w:eastAsia="Times New Roman" w:hAnsi="Arial" w:cs="Arial"/>
          <w:color w:val="222222"/>
          <w:kern w:val="0"/>
          <w:lang w:eastAsia="en-GB"/>
          <w14:ligatures w14:val="none"/>
        </w:rPr>
        <w:br/>
      </w:r>
      <w:r w:rsidRPr="00B31257">
        <w:rPr>
          <w:rFonts w:ascii="Arial" w:eastAsia="Times New Roman" w:hAnsi="Arial" w:cs="Arial"/>
          <w:color w:val="222222"/>
          <w:kern w:val="0"/>
          <w:sz w:val="32"/>
          <w:szCs w:val="32"/>
          <w:lang w:eastAsia="en-GB"/>
          <w14:ligatures w14:val="none"/>
        </w:rPr>
        <w:t xml:space="preserve"> </w:t>
      </w:r>
      <w:r w:rsidRPr="00B31257">
        <w:rPr>
          <w:rFonts w:ascii="Arial" w:eastAsia="Times New Roman" w:hAnsi="Arial" w:cs="Arial"/>
          <w:b/>
          <w:bCs/>
          <w:color w:val="222222"/>
          <w:kern w:val="0"/>
          <w:sz w:val="32"/>
          <w:szCs w:val="32"/>
          <w:lang w:eastAsia="en-GB"/>
          <w14:ligatures w14:val="none"/>
        </w:rPr>
        <w:t>Conclusion</w:t>
      </w:r>
    </w:p>
    <w:p w14:paraId="7072C89A" w14:textId="3D11D0D4" w:rsidR="00C30683" w:rsidRPr="007B2125" w:rsidRDefault="00C30683" w:rsidP="00772CC0">
      <w:pPr>
        <w:spacing w:line="360" w:lineRule="auto"/>
        <w:rPr>
          <w:rFonts w:ascii="Arial" w:hAnsi="Arial" w:cs="Arial"/>
          <w:color w:val="222222"/>
          <w:shd w:val="clear" w:color="auto" w:fill="FFFFFF"/>
        </w:rPr>
      </w:pPr>
      <w:r>
        <w:rPr>
          <w:rFonts w:ascii="Arial" w:hAnsi="Arial" w:cs="Arial"/>
          <w:color w:val="222222"/>
          <w:shd w:val="clear" w:color="auto" w:fill="FFFFFF"/>
        </w:rPr>
        <w:t>The surveillance and management of dementia require a synchronized approach that bridges the gap between clinical measurement and community support. Globally, the implementation of diagnostic standards such as the ICD-11 (11th Revision) offers the essential framework for ensuring that data collection remains precise and consistent on an international scale (WHO, 2022). While the UK has achieved record highs in formal diagnosis counts, reaching 483,000 in 2024, the "postcode lottery" of care and increasing wait times for assessments remain significant barriers (Gov.uk, 2025; Alzheimer’s Research UK, 2024). By prioritizing the fourteen adjustable risk elements highlighted in the 2024 report by the Lancet Commission, both British and international health organizations can shift from reactive treatment toward a model of early prevention. Ultimately, the integration of robust monitoring systems like the Quality and Outcomes Framework (QOF) and the Global Dementia Observatory (GDO) is vital to enhance the well-being of the millions of people living with this condition and to mitigate the staggering economic costs projected for the coming years.</w:t>
      </w:r>
    </w:p>
    <w:p w14:paraId="19C488B8" w14:textId="77777777" w:rsidR="00E8057A" w:rsidRDefault="00772CC0" w:rsidP="00772CC0">
      <w:pPr>
        <w:spacing w:line="360" w:lineRule="auto"/>
        <w:rPr>
          <w:rFonts w:ascii="Arial" w:eastAsia="Times New Roman" w:hAnsi="Arial" w:cs="Arial"/>
          <w:b/>
          <w:bCs/>
          <w:color w:val="222222"/>
          <w:kern w:val="0"/>
          <w:sz w:val="32"/>
          <w:szCs w:val="32"/>
          <w:lang w:eastAsia="en-GB"/>
          <w14:ligatures w14:val="none"/>
        </w:rPr>
      </w:pPr>
      <w:r w:rsidRPr="001515C4">
        <w:rPr>
          <w:rFonts w:ascii="Arial" w:eastAsia="Times New Roman" w:hAnsi="Arial" w:cs="Arial"/>
          <w:color w:val="222222"/>
          <w:kern w:val="0"/>
          <w:lang w:eastAsia="en-GB"/>
          <w14:ligatures w14:val="none"/>
        </w:rPr>
        <w:br/>
      </w:r>
    </w:p>
    <w:p w14:paraId="02430581" w14:textId="55BEF4DC" w:rsidR="00B878E7" w:rsidRDefault="00772CC0" w:rsidP="00772CC0">
      <w:pPr>
        <w:spacing w:line="360" w:lineRule="auto"/>
        <w:rPr>
          <w:rFonts w:ascii="Arial" w:eastAsia="Times New Roman" w:hAnsi="Arial" w:cs="Arial"/>
          <w:color w:val="222222"/>
          <w:kern w:val="0"/>
          <w:lang w:eastAsia="en-GB"/>
          <w14:ligatures w14:val="none"/>
        </w:rPr>
      </w:pPr>
      <w:r w:rsidRPr="00B31257">
        <w:rPr>
          <w:rFonts w:ascii="Arial" w:eastAsia="Times New Roman" w:hAnsi="Arial" w:cs="Arial"/>
          <w:b/>
          <w:bCs/>
          <w:color w:val="222222"/>
          <w:kern w:val="0"/>
          <w:sz w:val="32"/>
          <w:szCs w:val="32"/>
          <w:lang w:eastAsia="en-GB"/>
          <w14:ligatures w14:val="none"/>
        </w:rPr>
        <w:lastRenderedPageBreak/>
        <w:t>Reference</w:t>
      </w:r>
      <w:r w:rsidR="00B878E7">
        <w:rPr>
          <w:rFonts w:ascii="Arial" w:eastAsia="Times New Roman" w:hAnsi="Arial" w:cs="Arial"/>
          <w:b/>
          <w:bCs/>
          <w:color w:val="222222"/>
          <w:kern w:val="0"/>
          <w:sz w:val="32"/>
          <w:szCs w:val="32"/>
          <w:lang w:eastAsia="en-GB"/>
          <w14:ligatures w14:val="none"/>
        </w:rPr>
        <w:t>s</w:t>
      </w:r>
      <w:r w:rsidRPr="00B31257">
        <w:rPr>
          <w:rFonts w:ascii="Arial" w:eastAsia="Times New Roman" w:hAnsi="Arial" w:cs="Arial"/>
          <w:b/>
          <w:bCs/>
          <w:color w:val="222222"/>
          <w:kern w:val="0"/>
          <w:sz w:val="32"/>
          <w:szCs w:val="32"/>
          <w:lang w:eastAsia="en-GB"/>
          <w14:ligatures w14:val="none"/>
        </w:rPr>
        <w:t xml:space="preserve"> </w:t>
      </w:r>
    </w:p>
    <w:p w14:paraId="33FD479E" w14:textId="5478A641" w:rsidR="00B878E7" w:rsidRPr="001515C4" w:rsidRDefault="00B878E7" w:rsidP="00772CC0">
      <w:pPr>
        <w:spacing w:line="360" w:lineRule="auto"/>
        <w:rPr>
          <w:rFonts w:ascii="Arial" w:eastAsia="Times New Roman" w:hAnsi="Arial" w:cs="Arial"/>
          <w:color w:val="222222"/>
          <w:kern w:val="0"/>
          <w:lang w:eastAsia="en-GB"/>
          <w14:ligatures w14:val="none"/>
        </w:rPr>
      </w:pPr>
      <w:r>
        <w:rPr>
          <w:rFonts w:ascii="Arial" w:hAnsi="Arial" w:cs="Arial"/>
          <w:color w:val="222222"/>
          <w:shd w:val="clear" w:color="auto" w:fill="FFFFFF"/>
        </w:rPr>
        <w:t>Alzheimer’s Disease International [ADI] (2024). World Alzheimer Report 2024: Global changes in attitudes to dementia. London: Alzheimer’s Disease International.</w:t>
      </w:r>
      <w:r>
        <w:rPr>
          <w:rFonts w:ascii="Arial" w:hAnsi="Arial" w:cs="Arial"/>
          <w:color w:val="222222"/>
        </w:rPr>
        <w:br/>
      </w:r>
      <w:r>
        <w:rPr>
          <w:rFonts w:ascii="Arial" w:hAnsi="Arial" w:cs="Arial"/>
          <w:color w:val="222222"/>
        </w:rPr>
        <w:br/>
      </w:r>
      <w:r>
        <w:rPr>
          <w:rFonts w:ascii="Arial" w:hAnsi="Arial" w:cs="Arial"/>
          <w:color w:val="222222"/>
          <w:shd w:val="clear" w:color="auto" w:fill="FFFFFF"/>
        </w:rPr>
        <w:t>Alzheimer’s Research UK (2024). Five things we’ve learned from the 2024 Memory Assessment Services audit. [Online].</w:t>
      </w:r>
      <w:r>
        <w:rPr>
          <w:rFonts w:ascii="Arial" w:hAnsi="Arial" w:cs="Arial"/>
          <w:color w:val="222222"/>
        </w:rPr>
        <w:br/>
      </w:r>
      <w:r>
        <w:rPr>
          <w:rFonts w:ascii="Arial" w:hAnsi="Arial" w:cs="Arial"/>
          <w:color w:val="222222"/>
        </w:rPr>
        <w:br/>
      </w:r>
      <w:r>
        <w:rPr>
          <w:rFonts w:ascii="Arial" w:hAnsi="Arial" w:cs="Arial"/>
          <w:color w:val="222222"/>
          <w:shd w:val="clear" w:color="auto" w:fill="FFFFFF"/>
        </w:rPr>
        <w:t>Alzheimer’s Society (2024). The economic cost of dementia in the UK. London: Alzheimer's Society.</w:t>
      </w:r>
      <w:r>
        <w:rPr>
          <w:rFonts w:ascii="Arial" w:hAnsi="Arial" w:cs="Arial"/>
          <w:color w:val="222222"/>
        </w:rPr>
        <w:br/>
      </w:r>
      <w:r>
        <w:rPr>
          <w:rFonts w:ascii="Arial" w:hAnsi="Arial" w:cs="Arial"/>
          <w:color w:val="222222"/>
        </w:rPr>
        <w:br/>
      </w:r>
      <w:r>
        <w:rPr>
          <w:rFonts w:ascii="Arial" w:hAnsi="Arial" w:cs="Arial"/>
          <w:color w:val="222222"/>
          <w:shd w:val="clear" w:color="auto" w:fill="FFFFFF"/>
        </w:rPr>
        <w:t>Care Quality Commission [CQC] (2025). The state of health care and adult social care in England 2024/25. London: HMSOs.</w:t>
      </w:r>
      <w:r>
        <w:rPr>
          <w:rFonts w:ascii="Arial" w:hAnsi="Arial" w:cs="Arial"/>
          <w:color w:val="222222"/>
        </w:rPr>
        <w:br/>
      </w:r>
      <w:r>
        <w:rPr>
          <w:rFonts w:ascii="Arial" w:hAnsi="Arial" w:cs="Arial"/>
          <w:color w:val="222222"/>
        </w:rPr>
        <w:br/>
      </w:r>
      <w:r>
        <w:rPr>
          <w:rFonts w:ascii="Arial" w:hAnsi="Arial" w:cs="Arial"/>
          <w:color w:val="222222"/>
          <w:shd w:val="clear" w:color="auto" w:fill="FFFFFF"/>
        </w:rPr>
        <w:t>Dementia Hub UK (2025). Dementia Statistics UK. [Online].</w:t>
      </w:r>
      <w:r>
        <w:rPr>
          <w:rFonts w:ascii="Arial" w:hAnsi="Arial" w:cs="Arial"/>
          <w:color w:val="222222"/>
        </w:rPr>
        <w:br/>
      </w:r>
      <w:r>
        <w:rPr>
          <w:rFonts w:ascii="Arial" w:hAnsi="Arial" w:cs="Arial"/>
          <w:color w:val="222222"/>
        </w:rPr>
        <w:br/>
      </w:r>
      <w:r>
        <w:rPr>
          <w:rFonts w:ascii="Arial" w:hAnsi="Arial" w:cs="Arial"/>
          <w:color w:val="222222"/>
          <w:shd w:val="clear" w:color="auto" w:fill="FFFFFF"/>
        </w:rPr>
        <w:t>Dementia UK (2023). The Admiral Nurse model: Specialist support for families. London: Dementia UK.</w:t>
      </w:r>
      <w:r>
        <w:rPr>
          <w:rFonts w:ascii="Arial" w:hAnsi="Arial" w:cs="Arial"/>
          <w:color w:val="222222"/>
        </w:rPr>
        <w:br/>
      </w:r>
      <w:r>
        <w:rPr>
          <w:rFonts w:ascii="Arial" w:hAnsi="Arial" w:cs="Arial"/>
          <w:color w:val="222222"/>
        </w:rPr>
        <w:br/>
      </w:r>
      <w:r>
        <w:rPr>
          <w:rFonts w:ascii="Arial" w:hAnsi="Arial" w:cs="Arial"/>
          <w:color w:val="222222"/>
          <w:shd w:val="clear" w:color="auto" w:fill="FFFFFF"/>
        </w:rPr>
        <w:t>Department of Health and Social Care [DHSC] (2023). Dementia strategy and policy for England. London: HM Government.</w:t>
      </w:r>
      <w:r>
        <w:rPr>
          <w:rFonts w:ascii="Arial" w:hAnsi="Arial" w:cs="Arial"/>
          <w:color w:val="222222"/>
        </w:rPr>
        <w:br/>
      </w:r>
      <w:r>
        <w:rPr>
          <w:rFonts w:ascii="Arial" w:hAnsi="Arial" w:cs="Arial"/>
          <w:color w:val="222222"/>
        </w:rPr>
        <w:br/>
      </w:r>
      <w:r>
        <w:rPr>
          <w:rFonts w:ascii="Arial" w:hAnsi="Arial" w:cs="Arial"/>
          <w:color w:val="222222"/>
          <w:shd w:val="clear" w:color="auto" w:fill="FFFFFF"/>
        </w:rPr>
        <w:t>Gov.uk (2025). Dementia profile: Prevalence and diagnostic rates, March 2025. [Official Statistics].</w:t>
      </w:r>
      <w:r>
        <w:rPr>
          <w:rFonts w:ascii="Arial" w:hAnsi="Arial" w:cs="Arial"/>
          <w:color w:val="222222"/>
        </w:rPr>
        <w:br/>
      </w:r>
      <w:r>
        <w:rPr>
          <w:rFonts w:ascii="Arial" w:hAnsi="Arial" w:cs="Arial"/>
          <w:color w:val="222222"/>
        </w:rPr>
        <w:br/>
      </w:r>
      <w:proofErr w:type="spellStart"/>
      <w:r>
        <w:rPr>
          <w:rFonts w:ascii="Arial" w:hAnsi="Arial" w:cs="Arial"/>
          <w:color w:val="222222"/>
          <w:shd w:val="clear" w:color="auto" w:fill="FFFFFF"/>
        </w:rPr>
        <w:t>Hometouch</w:t>
      </w:r>
      <w:proofErr w:type="spellEnd"/>
      <w:r>
        <w:rPr>
          <w:rFonts w:ascii="Arial" w:hAnsi="Arial" w:cs="Arial"/>
          <w:color w:val="222222"/>
          <w:shd w:val="clear" w:color="auto" w:fill="FFFFFF"/>
        </w:rPr>
        <w:t xml:space="preserve"> (2025). The RESTORE2 framework in community dementia care. [Online].</w:t>
      </w:r>
      <w:r>
        <w:rPr>
          <w:rFonts w:ascii="Arial" w:hAnsi="Arial" w:cs="Arial"/>
          <w:color w:val="222222"/>
        </w:rPr>
        <w:br/>
      </w:r>
      <w:r>
        <w:rPr>
          <w:rFonts w:ascii="Arial" w:hAnsi="Arial" w:cs="Arial"/>
          <w:color w:val="222222"/>
        </w:rPr>
        <w:br/>
      </w:r>
      <w:r>
        <w:rPr>
          <w:rFonts w:ascii="Arial" w:hAnsi="Arial" w:cs="Arial"/>
          <w:color w:val="222222"/>
          <w:shd w:val="clear" w:color="auto" w:fill="FFFFFF"/>
        </w:rPr>
        <w:t>Livingston, G., et al. (2024). "Dementia prevention, intervention, and care: 2024 report of the Lancet Commission." The Lancet, 404(10452).</w:t>
      </w:r>
      <w:r>
        <w:rPr>
          <w:rFonts w:ascii="Arial" w:hAnsi="Arial" w:cs="Arial"/>
          <w:color w:val="222222"/>
        </w:rPr>
        <w:br/>
      </w:r>
      <w:r>
        <w:rPr>
          <w:rFonts w:ascii="Arial" w:hAnsi="Arial" w:cs="Arial"/>
          <w:color w:val="222222"/>
        </w:rPr>
        <w:br/>
      </w:r>
      <w:r>
        <w:rPr>
          <w:rFonts w:ascii="Arial" w:hAnsi="Arial" w:cs="Arial"/>
          <w:color w:val="222222"/>
          <w:shd w:val="clear" w:color="auto" w:fill="FFFFFF"/>
        </w:rPr>
        <w:t>National Institute for Health and Care Research [NIHR] (2025). Population-level policies on risk factors for dementia. [Online].</w:t>
      </w:r>
      <w:r>
        <w:rPr>
          <w:rFonts w:ascii="Arial" w:hAnsi="Arial" w:cs="Arial"/>
          <w:color w:val="222222"/>
        </w:rPr>
        <w:br/>
      </w:r>
      <w:r>
        <w:rPr>
          <w:rFonts w:ascii="Arial" w:hAnsi="Arial" w:cs="Arial"/>
          <w:color w:val="222222"/>
        </w:rPr>
        <w:br/>
      </w:r>
      <w:r>
        <w:rPr>
          <w:rFonts w:ascii="Arial" w:hAnsi="Arial" w:cs="Arial"/>
          <w:color w:val="222222"/>
          <w:shd w:val="clear" w:color="auto" w:fill="FFFFFF"/>
        </w:rPr>
        <w:lastRenderedPageBreak/>
        <w:t>NHS England (2025). Dementia: Diagnostic waiting times and integrated care pathways. [Official Reports].</w:t>
      </w:r>
      <w:r>
        <w:rPr>
          <w:rFonts w:ascii="Arial" w:hAnsi="Arial" w:cs="Arial"/>
          <w:color w:val="222222"/>
        </w:rPr>
        <w:br/>
      </w:r>
      <w:r>
        <w:rPr>
          <w:rFonts w:ascii="Arial" w:hAnsi="Arial" w:cs="Arial"/>
          <w:color w:val="222222"/>
        </w:rPr>
        <w:br/>
      </w:r>
      <w:r>
        <w:rPr>
          <w:rFonts w:ascii="Arial" w:hAnsi="Arial" w:cs="Arial"/>
          <w:color w:val="222222"/>
          <w:shd w:val="clear" w:color="auto" w:fill="FFFFFF"/>
        </w:rPr>
        <w:t>Opera Beds (2025). The Memory Care Report: Exploring Dementia Statistics in the UK. [Online].</w:t>
      </w:r>
      <w:r>
        <w:rPr>
          <w:rFonts w:ascii="Arial" w:hAnsi="Arial" w:cs="Arial"/>
          <w:color w:val="222222"/>
        </w:rPr>
        <w:br/>
      </w:r>
      <w:r>
        <w:rPr>
          <w:rFonts w:ascii="Arial" w:hAnsi="Arial" w:cs="Arial"/>
          <w:color w:val="222222"/>
        </w:rPr>
        <w:br/>
      </w:r>
      <w:r>
        <w:rPr>
          <w:rFonts w:ascii="Arial" w:hAnsi="Arial" w:cs="Arial"/>
          <w:color w:val="222222"/>
          <w:shd w:val="clear" w:color="auto" w:fill="FFFFFF"/>
        </w:rPr>
        <w:t>Pharmacy Business (2025). NHS Minder Care: Using AI to prevent hospital admissions. [Online].</w:t>
      </w:r>
      <w:r>
        <w:rPr>
          <w:rFonts w:ascii="Arial" w:hAnsi="Arial" w:cs="Arial"/>
          <w:color w:val="222222"/>
        </w:rPr>
        <w:br/>
      </w:r>
      <w:r>
        <w:rPr>
          <w:rFonts w:ascii="Arial" w:hAnsi="Arial" w:cs="Arial"/>
          <w:color w:val="222222"/>
        </w:rPr>
        <w:br/>
      </w:r>
      <w:r>
        <w:rPr>
          <w:rFonts w:ascii="Arial" w:hAnsi="Arial" w:cs="Arial"/>
          <w:color w:val="222222"/>
          <w:shd w:val="clear" w:color="auto" w:fill="FFFFFF"/>
        </w:rPr>
        <w:t>Shaik, A., et al. (2025). "The efficacy of wearable remote sensing technologies in dementia monitoring." Journal of Digital Health.</w:t>
      </w:r>
      <w:r>
        <w:rPr>
          <w:rFonts w:ascii="Arial" w:hAnsi="Arial" w:cs="Arial"/>
          <w:color w:val="222222"/>
        </w:rPr>
        <w:br/>
      </w:r>
      <w:r>
        <w:rPr>
          <w:rFonts w:ascii="Arial" w:hAnsi="Arial" w:cs="Arial"/>
          <w:color w:val="222222"/>
        </w:rPr>
        <w:br/>
      </w:r>
      <w:r>
        <w:rPr>
          <w:rFonts w:ascii="Arial" w:hAnsi="Arial" w:cs="Arial"/>
          <w:color w:val="222222"/>
          <w:shd w:val="clear" w:color="auto" w:fill="FFFFFF"/>
        </w:rPr>
        <w:t>UCL News (2024). Nearly half of dementia cases could be prevented or delayed by tackling 14 risk factors. University College London.</w:t>
      </w:r>
      <w:r>
        <w:rPr>
          <w:rFonts w:ascii="Arial" w:hAnsi="Arial" w:cs="Arial"/>
          <w:color w:val="222222"/>
        </w:rPr>
        <w:br/>
      </w:r>
      <w:r>
        <w:rPr>
          <w:rFonts w:ascii="Arial" w:hAnsi="Arial" w:cs="Arial"/>
          <w:color w:val="222222"/>
        </w:rPr>
        <w:br/>
      </w:r>
      <w:r>
        <w:rPr>
          <w:rFonts w:ascii="Arial" w:hAnsi="Arial" w:cs="Arial"/>
          <w:color w:val="222222"/>
          <w:shd w:val="clear" w:color="auto" w:fill="FFFFFF"/>
        </w:rPr>
        <w:t>University College London Hospitals [UCLH] (2024). Blood tests for diagnosing Alzheimer’s (p-tau 217) a step closer for the NHS. [Press Release].</w:t>
      </w:r>
      <w:r>
        <w:rPr>
          <w:rFonts w:ascii="Arial" w:hAnsi="Arial" w:cs="Arial"/>
          <w:color w:val="222222"/>
        </w:rPr>
        <w:br/>
      </w:r>
      <w:r>
        <w:rPr>
          <w:rFonts w:ascii="Arial" w:hAnsi="Arial" w:cs="Arial"/>
          <w:color w:val="222222"/>
        </w:rPr>
        <w:br/>
      </w:r>
      <w:r>
        <w:rPr>
          <w:rFonts w:ascii="Arial" w:hAnsi="Arial" w:cs="Arial"/>
          <w:color w:val="222222"/>
          <w:shd w:val="clear" w:color="auto" w:fill="FFFFFF"/>
        </w:rPr>
        <w:t>World Health Organization [WHO] (2022). ICD-11: International classification of diseases (11th revision). Geneva: WHO.</w:t>
      </w:r>
      <w:r>
        <w:rPr>
          <w:rFonts w:ascii="Arial" w:hAnsi="Arial" w:cs="Arial"/>
          <w:color w:val="222222"/>
        </w:rPr>
        <w:br/>
      </w:r>
      <w:r>
        <w:rPr>
          <w:rFonts w:ascii="Arial" w:hAnsi="Arial" w:cs="Arial"/>
          <w:color w:val="222222"/>
        </w:rPr>
        <w:br/>
      </w:r>
      <w:r>
        <w:rPr>
          <w:rFonts w:ascii="Arial" w:hAnsi="Arial" w:cs="Arial"/>
          <w:color w:val="222222"/>
          <w:shd w:val="clear" w:color="auto" w:fill="FFFFFF"/>
        </w:rPr>
        <w:t>World Health Organization [WHO] (2025). Dementia Fact Sheet. Geneva: World Health Organization.</w:t>
      </w:r>
    </w:p>
    <w:p w14:paraId="2EBCFF6F" w14:textId="77777777" w:rsidR="00772CC0" w:rsidRPr="001515C4" w:rsidRDefault="00772CC0" w:rsidP="00772CC0">
      <w:pPr>
        <w:spacing w:line="360" w:lineRule="auto"/>
        <w:rPr>
          <w:rFonts w:ascii="Arial" w:hAnsi="Arial" w:cs="Arial"/>
          <w:b/>
          <w:bCs/>
        </w:rPr>
      </w:pPr>
    </w:p>
    <w:p w14:paraId="23A02037" w14:textId="77777777" w:rsidR="00772CC0" w:rsidRDefault="00772CC0" w:rsidP="00772CC0"/>
    <w:p w14:paraId="74E599DC" w14:textId="77777777" w:rsidR="00C65044" w:rsidRPr="00C55B11" w:rsidRDefault="00C65044" w:rsidP="00C65044">
      <w:pPr>
        <w:pStyle w:val="NormalWeb"/>
        <w:spacing w:line="360" w:lineRule="auto"/>
        <w:rPr>
          <w:rFonts w:ascii="Arial" w:hAnsi="Arial" w:cs="Arial"/>
          <w:sz w:val="22"/>
          <w:szCs w:val="22"/>
        </w:rPr>
      </w:pPr>
    </w:p>
    <w:p w14:paraId="67736AAF" w14:textId="77777777" w:rsidR="00EB0567" w:rsidRPr="00C55B11" w:rsidRDefault="00EB0567">
      <w:pPr>
        <w:rPr>
          <w:rFonts w:ascii="Arial" w:hAnsi="Arial" w:cs="Arial"/>
          <w:sz w:val="22"/>
          <w:szCs w:val="22"/>
        </w:rPr>
      </w:pPr>
    </w:p>
    <w:sectPr w:rsidR="00EB0567" w:rsidRPr="00C55B11" w:rsidSect="00991DAA">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80E008" w14:textId="77777777" w:rsidR="00967ED0" w:rsidRDefault="00967ED0" w:rsidP="00EB0567">
      <w:pPr>
        <w:spacing w:after="0" w:line="240" w:lineRule="auto"/>
      </w:pPr>
      <w:r>
        <w:separator/>
      </w:r>
    </w:p>
  </w:endnote>
  <w:endnote w:type="continuationSeparator" w:id="0">
    <w:p w14:paraId="283AF684" w14:textId="77777777" w:rsidR="00967ED0" w:rsidRDefault="00967ED0" w:rsidP="00EB05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643819"/>
      <w:docPartObj>
        <w:docPartGallery w:val="Page Numbers (Bottom of Page)"/>
        <w:docPartUnique/>
      </w:docPartObj>
    </w:sdtPr>
    <w:sdtEndPr>
      <w:rPr>
        <w:noProof/>
      </w:rPr>
    </w:sdtEndPr>
    <w:sdtContent>
      <w:p w14:paraId="3A1E83C4" w14:textId="209E892A" w:rsidR="00991DAA" w:rsidRDefault="00991D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3EC6FB" w14:textId="77777777" w:rsidR="00EB0567" w:rsidRDefault="00EB05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3FB7B8" w14:textId="77777777" w:rsidR="00967ED0" w:rsidRDefault="00967ED0" w:rsidP="00EB0567">
      <w:pPr>
        <w:spacing w:after="0" w:line="240" w:lineRule="auto"/>
      </w:pPr>
      <w:r>
        <w:separator/>
      </w:r>
    </w:p>
  </w:footnote>
  <w:footnote w:type="continuationSeparator" w:id="0">
    <w:p w14:paraId="57C9DB3B" w14:textId="77777777" w:rsidR="00967ED0" w:rsidRDefault="00967ED0" w:rsidP="00EB05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C57"/>
    <w:rsid w:val="000403A0"/>
    <w:rsid w:val="00053AD6"/>
    <w:rsid w:val="00095630"/>
    <w:rsid w:val="000D4C57"/>
    <w:rsid w:val="000E097E"/>
    <w:rsid w:val="00182B69"/>
    <w:rsid w:val="001A72A3"/>
    <w:rsid w:val="001E0649"/>
    <w:rsid w:val="0020307A"/>
    <w:rsid w:val="0022664F"/>
    <w:rsid w:val="00240D89"/>
    <w:rsid w:val="002634C4"/>
    <w:rsid w:val="002939F4"/>
    <w:rsid w:val="002B3BB1"/>
    <w:rsid w:val="002B6DFC"/>
    <w:rsid w:val="00301900"/>
    <w:rsid w:val="0031172D"/>
    <w:rsid w:val="00320885"/>
    <w:rsid w:val="0035248F"/>
    <w:rsid w:val="00383660"/>
    <w:rsid w:val="003A2DFA"/>
    <w:rsid w:val="004741AC"/>
    <w:rsid w:val="004765D2"/>
    <w:rsid w:val="004A5E19"/>
    <w:rsid w:val="004C3DEC"/>
    <w:rsid w:val="00522E8A"/>
    <w:rsid w:val="00532759"/>
    <w:rsid w:val="005376E1"/>
    <w:rsid w:val="00547150"/>
    <w:rsid w:val="0058076E"/>
    <w:rsid w:val="005E6A3B"/>
    <w:rsid w:val="005F7548"/>
    <w:rsid w:val="0061406C"/>
    <w:rsid w:val="00631E21"/>
    <w:rsid w:val="0066550F"/>
    <w:rsid w:val="006661FC"/>
    <w:rsid w:val="00772CC0"/>
    <w:rsid w:val="007A114A"/>
    <w:rsid w:val="007B2125"/>
    <w:rsid w:val="00856E3B"/>
    <w:rsid w:val="008607ED"/>
    <w:rsid w:val="008704EF"/>
    <w:rsid w:val="008C28BC"/>
    <w:rsid w:val="008E3F8B"/>
    <w:rsid w:val="008F3FB7"/>
    <w:rsid w:val="0090547C"/>
    <w:rsid w:val="009401A8"/>
    <w:rsid w:val="00953931"/>
    <w:rsid w:val="00967ED0"/>
    <w:rsid w:val="00986A09"/>
    <w:rsid w:val="00991DAA"/>
    <w:rsid w:val="009D6514"/>
    <w:rsid w:val="009F1A00"/>
    <w:rsid w:val="00A96CA9"/>
    <w:rsid w:val="00A97C5F"/>
    <w:rsid w:val="00AA318E"/>
    <w:rsid w:val="00AD10EB"/>
    <w:rsid w:val="00B100EA"/>
    <w:rsid w:val="00B31257"/>
    <w:rsid w:val="00B53D79"/>
    <w:rsid w:val="00B878E7"/>
    <w:rsid w:val="00BB3C34"/>
    <w:rsid w:val="00BF2CE8"/>
    <w:rsid w:val="00C30683"/>
    <w:rsid w:val="00C306DA"/>
    <w:rsid w:val="00C55B11"/>
    <w:rsid w:val="00C65044"/>
    <w:rsid w:val="00C74016"/>
    <w:rsid w:val="00CC3031"/>
    <w:rsid w:val="00CF393D"/>
    <w:rsid w:val="00D55967"/>
    <w:rsid w:val="00D62FFE"/>
    <w:rsid w:val="00E07FE0"/>
    <w:rsid w:val="00E43C06"/>
    <w:rsid w:val="00E60698"/>
    <w:rsid w:val="00E8057A"/>
    <w:rsid w:val="00EB0567"/>
    <w:rsid w:val="00EB3685"/>
    <w:rsid w:val="00EC3C1F"/>
    <w:rsid w:val="00ED7DAD"/>
    <w:rsid w:val="00EE4712"/>
    <w:rsid w:val="00F00E92"/>
    <w:rsid w:val="00F16B4D"/>
    <w:rsid w:val="00F77911"/>
    <w:rsid w:val="00FA3A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953A9"/>
  <w15:chartTrackingRefBased/>
  <w15:docId w15:val="{E30720A7-4840-42EC-BEE2-848FF7941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4C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4C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4C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4C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4C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4C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4C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4C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4C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4C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4C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4C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4C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4C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4C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4C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4C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4C57"/>
    <w:rPr>
      <w:rFonts w:eastAsiaTheme="majorEastAsia" w:cstheme="majorBidi"/>
      <w:color w:val="272727" w:themeColor="text1" w:themeTint="D8"/>
    </w:rPr>
  </w:style>
  <w:style w:type="paragraph" w:styleId="Title">
    <w:name w:val="Title"/>
    <w:basedOn w:val="Normal"/>
    <w:next w:val="Normal"/>
    <w:link w:val="TitleChar"/>
    <w:uiPriority w:val="10"/>
    <w:qFormat/>
    <w:rsid w:val="000D4C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4C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4C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4C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4C57"/>
    <w:pPr>
      <w:spacing w:before="160"/>
      <w:jc w:val="center"/>
    </w:pPr>
    <w:rPr>
      <w:i/>
      <w:iCs/>
      <w:color w:val="404040" w:themeColor="text1" w:themeTint="BF"/>
    </w:rPr>
  </w:style>
  <w:style w:type="character" w:customStyle="1" w:styleId="QuoteChar">
    <w:name w:val="Quote Char"/>
    <w:basedOn w:val="DefaultParagraphFont"/>
    <w:link w:val="Quote"/>
    <w:uiPriority w:val="29"/>
    <w:rsid w:val="000D4C57"/>
    <w:rPr>
      <w:i/>
      <w:iCs/>
      <w:color w:val="404040" w:themeColor="text1" w:themeTint="BF"/>
    </w:rPr>
  </w:style>
  <w:style w:type="paragraph" w:styleId="ListParagraph">
    <w:name w:val="List Paragraph"/>
    <w:basedOn w:val="Normal"/>
    <w:uiPriority w:val="34"/>
    <w:qFormat/>
    <w:rsid w:val="000D4C57"/>
    <w:pPr>
      <w:ind w:left="720"/>
      <w:contextualSpacing/>
    </w:pPr>
  </w:style>
  <w:style w:type="character" w:styleId="IntenseEmphasis">
    <w:name w:val="Intense Emphasis"/>
    <w:basedOn w:val="DefaultParagraphFont"/>
    <w:uiPriority w:val="21"/>
    <w:qFormat/>
    <w:rsid w:val="000D4C57"/>
    <w:rPr>
      <w:i/>
      <w:iCs/>
      <w:color w:val="0F4761" w:themeColor="accent1" w:themeShade="BF"/>
    </w:rPr>
  </w:style>
  <w:style w:type="paragraph" w:styleId="IntenseQuote">
    <w:name w:val="Intense Quote"/>
    <w:basedOn w:val="Normal"/>
    <w:next w:val="Normal"/>
    <w:link w:val="IntenseQuoteChar"/>
    <w:uiPriority w:val="30"/>
    <w:qFormat/>
    <w:rsid w:val="000D4C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4C57"/>
    <w:rPr>
      <w:i/>
      <w:iCs/>
      <w:color w:val="0F4761" w:themeColor="accent1" w:themeShade="BF"/>
    </w:rPr>
  </w:style>
  <w:style w:type="character" w:styleId="IntenseReference">
    <w:name w:val="Intense Reference"/>
    <w:basedOn w:val="DefaultParagraphFont"/>
    <w:uiPriority w:val="32"/>
    <w:qFormat/>
    <w:rsid w:val="000D4C57"/>
    <w:rPr>
      <w:b/>
      <w:bCs/>
      <w:smallCaps/>
      <w:color w:val="0F4761" w:themeColor="accent1" w:themeShade="BF"/>
      <w:spacing w:val="5"/>
    </w:rPr>
  </w:style>
  <w:style w:type="paragraph" w:styleId="Header">
    <w:name w:val="header"/>
    <w:basedOn w:val="Normal"/>
    <w:link w:val="HeaderChar"/>
    <w:uiPriority w:val="99"/>
    <w:unhideWhenUsed/>
    <w:rsid w:val="00EB05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0567"/>
  </w:style>
  <w:style w:type="paragraph" w:styleId="Footer">
    <w:name w:val="footer"/>
    <w:basedOn w:val="Normal"/>
    <w:link w:val="FooterChar"/>
    <w:uiPriority w:val="99"/>
    <w:unhideWhenUsed/>
    <w:rsid w:val="00EB05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0567"/>
  </w:style>
  <w:style w:type="paragraph" w:styleId="NormalWeb">
    <w:name w:val="Normal (Web)"/>
    <w:basedOn w:val="Normal"/>
    <w:uiPriority w:val="99"/>
    <w:unhideWhenUsed/>
    <w:rsid w:val="0066550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856E3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1986</Words>
  <Characters>11321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Bernardita Rodriguez Brown (2508289)</dc:creator>
  <cp:keywords/>
  <dc:description/>
  <cp:lastModifiedBy>Bernardita Rodriguez Brown (2508289)</cp:lastModifiedBy>
  <cp:revision>2</cp:revision>
  <dcterms:created xsi:type="dcterms:W3CDTF">2026-04-18T14:43:00Z</dcterms:created>
  <dcterms:modified xsi:type="dcterms:W3CDTF">2026-04-18T14:43:00Z</dcterms:modified>
</cp:coreProperties>
</file>