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AD5D51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F5630">
              <w:rPr>
                <w:rFonts w:ascii="Times New Roman" w:hAnsi="Times New Roman" w:cs="Times New Roman"/>
                <w:sz w:val="48"/>
              </w:rPr>
              <w:t>Gethin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8A400D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F5630">
              <w:rPr>
                <w:rFonts w:ascii="Times New Roman" w:hAnsi="Times New Roman" w:cs="Times New Roman"/>
                <w:b/>
                <w:color w:val="auto"/>
                <w:sz w:val="48"/>
              </w:rPr>
              <w:t xml:space="preserve"> </w:t>
            </w:r>
            <w:r w:rsidR="00CF5630">
              <w:rPr>
                <w:rFonts w:ascii="Times New Roman" w:hAnsi="Times New Roman" w:cs="Times New Roman"/>
                <w:sz w:val="48"/>
              </w:rPr>
              <w:t>Gethin.davies@conwy.gov.uk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314D8E8" w14:textId="77777777" w:rsidR="00CF5630" w:rsidRPr="005D3F07" w:rsidRDefault="0085230E" w:rsidP="00CF5630">
            <w:pPr>
              <w:ind w:right="-957"/>
              <w:rPr>
                <w:rFonts w:ascii="Times New Roman" w:hAnsi="Times New Roman" w:cs="Times New Roman"/>
                <w:b/>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F5630">
              <w:rPr>
                <w:rFonts w:ascii="Times New Roman" w:hAnsi="Times New Roman" w:cs="Times New Roman"/>
                <w:b/>
                <w:color w:val="auto"/>
                <w:sz w:val="48"/>
              </w:rPr>
              <w:t xml:space="preserve"> </w:t>
            </w:r>
            <w:r w:rsidR="00CF5630" w:rsidRPr="00BC408B">
              <w:rPr>
                <w:sz w:val="32"/>
                <w:szCs w:val="32"/>
              </w:rPr>
              <w:t>2319563</w:t>
            </w:r>
          </w:p>
          <w:p w14:paraId="0DE696B2" w14:textId="36286AF3"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695288AC" w:rsidR="00FC0334" w:rsidRDefault="002B660A" w:rsidP="00FF7EBB">
            <w:pPr>
              <w:jc w:val="both"/>
              <w:rPr>
                <w:rFonts w:asciiTheme="minorHAnsi" w:hAnsiTheme="minorHAnsi" w:cstheme="minorHAnsi"/>
                <w:sz w:val="24"/>
                <w:szCs w:val="24"/>
              </w:rPr>
            </w:pPr>
            <w:r>
              <w:rPr>
                <w:rFonts w:asciiTheme="minorHAnsi" w:hAnsiTheme="minorHAnsi" w:cstheme="minorHAnsi"/>
                <w:sz w:val="24"/>
                <w:szCs w:val="24"/>
              </w:rPr>
              <w:t>The Wales Safeguarding (2</w:t>
            </w:r>
            <w:r w:rsidR="00CF5630">
              <w:rPr>
                <w:rFonts w:asciiTheme="minorHAnsi" w:hAnsiTheme="minorHAnsi" w:cstheme="minorHAnsi"/>
                <w:sz w:val="24"/>
                <w:szCs w:val="24"/>
              </w:rPr>
              <w:t>019</w:t>
            </w:r>
            <w:r>
              <w:rPr>
                <w:rFonts w:asciiTheme="minorHAnsi" w:hAnsiTheme="minorHAnsi" w:cstheme="minorHAnsi"/>
                <w:sz w:val="24"/>
                <w:szCs w:val="24"/>
              </w:rPr>
              <w:t>) practice principles states that ‘Safeguarding is everybody’s responsibility’. Regardless of whether a Social Worker directly works with children, in terms of assessment and intervention, they have a duty to identify and report the abuse or neglect of children.</w:t>
            </w:r>
          </w:p>
          <w:p w14:paraId="7D7FF599" w14:textId="10768182" w:rsidR="00A0218D" w:rsidRDefault="00A0218D" w:rsidP="00FF7EBB">
            <w:pPr>
              <w:jc w:val="both"/>
              <w:rPr>
                <w:rFonts w:asciiTheme="minorHAnsi" w:hAnsiTheme="minorHAnsi" w:cstheme="minorHAnsi"/>
                <w:sz w:val="24"/>
                <w:szCs w:val="24"/>
              </w:rPr>
            </w:pPr>
          </w:p>
          <w:p w14:paraId="2D532421" w14:textId="4133792D" w:rsidR="00A0218D" w:rsidRDefault="00A0218D" w:rsidP="00FF7EBB">
            <w:pPr>
              <w:jc w:val="both"/>
              <w:rPr>
                <w:rFonts w:asciiTheme="minorHAnsi" w:hAnsiTheme="minorHAnsi" w:cstheme="minorHAnsi"/>
                <w:sz w:val="24"/>
                <w:szCs w:val="24"/>
              </w:rPr>
            </w:pPr>
            <w:r>
              <w:rPr>
                <w:rFonts w:asciiTheme="minorHAnsi" w:hAnsiTheme="minorHAnsi" w:cstheme="minorHAnsi"/>
                <w:sz w:val="24"/>
                <w:szCs w:val="24"/>
              </w:rPr>
              <w:t xml:space="preserve">The Social Services and Wellbeing (Wales) Act 2014) outlines the legal roles, responsibilities and principles of child safeguarding practices. Section 130 (4) of The SSWBA (2014) defines a child at risk as </w:t>
            </w:r>
          </w:p>
          <w:p w14:paraId="6EBC7F9F" w14:textId="29048C5E" w:rsidR="00A0218D" w:rsidRDefault="00A0218D" w:rsidP="00FF7EBB">
            <w:pPr>
              <w:jc w:val="both"/>
              <w:rPr>
                <w:rFonts w:asciiTheme="minorHAnsi" w:hAnsiTheme="minorHAnsi" w:cstheme="minorHAnsi"/>
                <w:sz w:val="24"/>
                <w:szCs w:val="24"/>
              </w:rPr>
            </w:pPr>
          </w:p>
          <w:p w14:paraId="2E89C937" w14:textId="093FCC55" w:rsidR="00A0218D" w:rsidRPr="007526CF" w:rsidRDefault="00A0218D" w:rsidP="007526CF">
            <w:pPr>
              <w:pStyle w:val="ListParagraph"/>
              <w:numPr>
                <w:ilvl w:val="0"/>
                <w:numId w:val="54"/>
              </w:numPr>
              <w:jc w:val="both"/>
              <w:rPr>
                <w:rFonts w:asciiTheme="minorHAnsi" w:hAnsiTheme="minorHAnsi" w:cstheme="minorHAnsi"/>
                <w:sz w:val="24"/>
                <w:szCs w:val="24"/>
              </w:rPr>
            </w:pPr>
            <w:r w:rsidRPr="007526CF">
              <w:rPr>
                <w:rFonts w:asciiTheme="minorHAnsi" w:hAnsiTheme="minorHAnsi" w:cstheme="minorHAnsi"/>
                <w:sz w:val="24"/>
                <w:szCs w:val="24"/>
              </w:rPr>
              <w:t>“A child experiencing or is a risk of abuse, neglect or other kinds of harm.</w:t>
            </w:r>
          </w:p>
          <w:p w14:paraId="6F8E7D71" w14:textId="37254397" w:rsidR="00A0218D" w:rsidRPr="007526CF" w:rsidRDefault="00A0218D" w:rsidP="007526CF">
            <w:pPr>
              <w:pStyle w:val="ListParagraph"/>
              <w:numPr>
                <w:ilvl w:val="0"/>
                <w:numId w:val="54"/>
              </w:numPr>
              <w:jc w:val="both"/>
              <w:rPr>
                <w:rFonts w:asciiTheme="minorHAnsi" w:hAnsiTheme="minorHAnsi" w:cstheme="minorHAnsi"/>
                <w:sz w:val="24"/>
                <w:szCs w:val="24"/>
              </w:rPr>
            </w:pPr>
            <w:r w:rsidRPr="007526CF">
              <w:rPr>
                <w:rFonts w:asciiTheme="minorHAnsi" w:hAnsiTheme="minorHAnsi" w:cstheme="minorHAnsi"/>
                <w:sz w:val="24"/>
                <w:szCs w:val="24"/>
              </w:rPr>
              <w:t>Has needs for care and support (whether or not the authority is meeting any of those needs)”.</w:t>
            </w:r>
          </w:p>
          <w:p w14:paraId="2B9EB8AC" w14:textId="1456AB69" w:rsidR="00C87038" w:rsidRDefault="00C87038" w:rsidP="00FF7EBB">
            <w:pPr>
              <w:jc w:val="both"/>
              <w:rPr>
                <w:rFonts w:asciiTheme="minorHAnsi" w:hAnsiTheme="minorHAnsi" w:cstheme="minorHAnsi"/>
                <w:sz w:val="24"/>
                <w:szCs w:val="24"/>
              </w:rPr>
            </w:pPr>
          </w:p>
          <w:p w14:paraId="5BFA8F5E" w14:textId="6C66D873" w:rsidR="00C87038" w:rsidRDefault="00C87038" w:rsidP="00FF7EBB">
            <w:pPr>
              <w:jc w:val="both"/>
              <w:rPr>
                <w:rFonts w:asciiTheme="minorHAnsi" w:hAnsiTheme="minorHAnsi" w:cstheme="minorHAnsi"/>
                <w:sz w:val="24"/>
                <w:szCs w:val="24"/>
              </w:rPr>
            </w:pPr>
            <w:r>
              <w:rPr>
                <w:rFonts w:asciiTheme="minorHAnsi" w:hAnsiTheme="minorHAnsi" w:cstheme="minorHAnsi"/>
                <w:sz w:val="24"/>
                <w:szCs w:val="24"/>
              </w:rPr>
              <w:t xml:space="preserve">SSWABA (2014) </w:t>
            </w:r>
            <w:r w:rsidR="00FA77AC">
              <w:rPr>
                <w:rFonts w:asciiTheme="minorHAnsi" w:hAnsiTheme="minorHAnsi" w:cstheme="minorHAnsi"/>
                <w:sz w:val="24"/>
                <w:szCs w:val="24"/>
              </w:rPr>
              <w:t xml:space="preserve">defines harm as physical, intellectual, emotional, social or behavioural development. The definition used is similar to that in the </w:t>
            </w:r>
            <w:r w:rsidR="008C6D8A">
              <w:rPr>
                <w:rFonts w:asciiTheme="minorHAnsi" w:hAnsiTheme="minorHAnsi" w:cstheme="minorHAnsi"/>
                <w:sz w:val="24"/>
                <w:szCs w:val="24"/>
              </w:rPr>
              <w:t>Children’s</w:t>
            </w:r>
            <w:r w:rsidR="00FA77AC">
              <w:rPr>
                <w:rFonts w:asciiTheme="minorHAnsi" w:hAnsiTheme="minorHAnsi" w:cstheme="minorHAnsi"/>
                <w:sz w:val="24"/>
                <w:szCs w:val="24"/>
              </w:rPr>
              <w:t xml:space="preserve"> Act (1989) (SCW</w:t>
            </w:r>
            <w:r w:rsidR="008A5BB4">
              <w:rPr>
                <w:rFonts w:asciiTheme="minorHAnsi" w:hAnsiTheme="minorHAnsi" w:cstheme="minorHAnsi"/>
                <w:sz w:val="24"/>
                <w:szCs w:val="24"/>
              </w:rPr>
              <w:t>,</w:t>
            </w:r>
            <w:r w:rsidR="00FA77AC">
              <w:rPr>
                <w:rFonts w:asciiTheme="minorHAnsi" w:hAnsiTheme="minorHAnsi" w:cstheme="minorHAnsi"/>
                <w:sz w:val="24"/>
                <w:szCs w:val="24"/>
              </w:rPr>
              <w:t xml:space="preserve"> 2022)</w:t>
            </w:r>
            <w:r w:rsidR="008C6D8A">
              <w:rPr>
                <w:rFonts w:asciiTheme="minorHAnsi" w:hAnsiTheme="minorHAnsi" w:cstheme="minorHAnsi"/>
                <w:sz w:val="24"/>
                <w:szCs w:val="24"/>
              </w:rPr>
              <w:t>.</w:t>
            </w:r>
            <w:r w:rsidR="0032086A">
              <w:rPr>
                <w:rFonts w:asciiTheme="minorHAnsi" w:hAnsiTheme="minorHAnsi" w:cstheme="minorHAnsi"/>
                <w:sz w:val="24"/>
                <w:szCs w:val="24"/>
              </w:rPr>
              <w:t xml:space="preserve"> It is important to note that ‘at risk’ doesn’t mean abuse has occurred but early interventions to protect a child should be consi</w:t>
            </w:r>
            <w:r w:rsidR="008A5BB4">
              <w:rPr>
                <w:rFonts w:asciiTheme="minorHAnsi" w:hAnsiTheme="minorHAnsi" w:cstheme="minorHAnsi"/>
                <w:sz w:val="24"/>
                <w:szCs w:val="24"/>
              </w:rPr>
              <w:t>dered to prevent harm and abuse (SCW, 2022</w:t>
            </w:r>
            <w:r w:rsidR="0076543C">
              <w:rPr>
                <w:rFonts w:asciiTheme="minorHAnsi" w:hAnsiTheme="minorHAnsi" w:cstheme="minorHAnsi"/>
                <w:sz w:val="24"/>
                <w:szCs w:val="24"/>
              </w:rPr>
              <w:t>)</w:t>
            </w:r>
            <w:bookmarkStart w:id="0" w:name="_GoBack"/>
            <w:bookmarkEnd w:id="0"/>
          </w:p>
          <w:p w14:paraId="70B66498" w14:textId="3513E795" w:rsidR="0032086A" w:rsidRDefault="0032086A" w:rsidP="00FF7EBB">
            <w:pPr>
              <w:jc w:val="both"/>
              <w:rPr>
                <w:rFonts w:asciiTheme="minorHAnsi" w:hAnsiTheme="minorHAnsi" w:cstheme="minorHAnsi"/>
                <w:sz w:val="24"/>
                <w:szCs w:val="24"/>
              </w:rPr>
            </w:pPr>
          </w:p>
          <w:p w14:paraId="57A807BC" w14:textId="67033F28" w:rsidR="0032086A" w:rsidRDefault="00A82C6E" w:rsidP="00FF7EBB">
            <w:pPr>
              <w:jc w:val="both"/>
              <w:rPr>
                <w:rFonts w:asciiTheme="minorHAnsi" w:hAnsiTheme="minorHAnsi" w:cstheme="minorHAnsi"/>
                <w:sz w:val="24"/>
                <w:szCs w:val="24"/>
              </w:rPr>
            </w:pPr>
            <w:r>
              <w:rPr>
                <w:rFonts w:asciiTheme="minorHAnsi" w:hAnsiTheme="minorHAnsi" w:cstheme="minorHAnsi"/>
                <w:sz w:val="24"/>
                <w:szCs w:val="24"/>
              </w:rPr>
              <w:t>Section 162 of the SSWBA (2014) details the duty on Practitioners to report children, which includes those unborn, if they have cause to suspect the child is at risk of harm (SCW</w:t>
            </w:r>
            <w:r w:rsidR="008A5BB4">
              <w:rPr>
                <w:rFonts w:asciiTheme="minorHAnsi" w:hAnsiTheme="minorHAnsi" w:cstheme="minorHAnsi"/>
                <w:sz w:val="24"/>
                <w:szCs w:val="24"/>
              </w:rPr>
              <w:t>,</w:t>
            </w:r>
            <w:r>
              <w:rPr>
                <w:rFonts w:asciiTheme="minorHAnsi" w:hAnsiTheme="minorHAnsi" w:cstheme="minorHAnsi"/>
                <w:sz w:val="24"/>
                <w:szCs w:val="24"/>
              </w:rPr>
              <w:t xml:space="preserve"> 2022). </w:t>
            </w:r>
            <w:r w:rsidR="00B61823">
              <w:rPr>
                <w:rFonts w:asciiTheme="minorHAnsi" w:hAnsiTheme="minorHAnsi" w:cstheme="minorHAnsi"/>
                <w:sz w:val="24"/>
                <w:szCs w:val="24"/>
              </w:rPr>
              <w:t>Indicators can be difficult to identify as children often try to cover up the abuse, however, changes in behaviour or presentation, inappropriate age related behaviours can present as concerns of harm or abuse (Social Care Institute for Excellence, 2024).</w:t>
            </w:r>
          </w:p>
          <w:p w14:paraId="28EB3196" w14:textId="6681D96D" w:rsidR="00B61823" w:rsidRDefault="00B61823" w:rsidP="00FF7EBB">
            <w:pPr>
              <w:jc w:val="both"/>
              <w:rPr>
                <w:rFonts w:asciiTheme="minorHAnsi" w:hAnsiTheme="minorHAnsi" w:cstheme="minorHAnsi"/>
                <w:sz w:val="24"/>
                <w:szCs w:val="24"/>
              </w:rPr>
            </w:pPr>
          </w:p>
          <w:p w14:paraId="75DF59E2" w14:textId="249C2525" w:rsidR="00FC0334" w:rsidRDefault="00B61823" w:rsidP="00FF7EBB">
            <w:pPr>
              <w:jc w:val="both"/>
              <w:rPr>
                <w:rFonts w:asciiTheme="minorHAnsi" w:hAnsiTheme="minorHAnsi" w:cstheme="minorHAnsi"/>
                <w:sz w:val="24"/>
                <w:szCs w:val="24"/>
              </w:rPr>
            </w:pPr>
            <w:r>
              <w:rPr>
                <w:rFonts w:asciiTheme="minorHAnsi" w:hAnsiTheme="minorHAnsi" w:cstheme="minorHAnsi"/>
                <w:sz w:val="24"/>
                <w:szCs w:val="24"/>
              </w:rPr>
              <w:t xml:space="preserve">Upon receipt of a report of concern, the Local Authority has one working day to decide what action to proceed with. The Local Authority </w:t>
            </w:r>
            <w:r w:rsidR="00926D7D">
              <w:rPr>
                <w:rFonts w:asciiTheme="minorHAnsi" w:hAnsiTheme="minorHAnsi" w:cstheme="minorHAnsi"/>
                <w:sz w:val="24"/>
                <w:szCs w:val="24"/>
              </w:rPr>
              <w:t xml:space="preserve">uses this time to gather further information and this could be from family or other professionals involved. </w:t>
            </w:r>
            <w:r w:rsidR="00AC1EFE">
              <w:rPr>
                <w:rFonts w:asciiTheme="minorHAnsi" w:hAnsiTheme="minorHAnsi" w:cstheme="minorHAnsi"/>
                <w:sz w:val="24"/>
                <w:szCs w:val="24"/>
              </w:rPr>
              <w:t xml:space="preserve">The outcomes of this enquiry could result in a care and support assessment, no further action, immediate protection or a Section 47 under the Children’s Act 1989. </w:t>
            </w:r>
            <w:r w:rsidR="00AC1EFE">
              <w:rPr>
                <w:rFonts w:asciiTheme="minorHAnsi" w:hAnsiTheme="minorHAnsi" w:cstheme="minorHAnsi"/>
                <w:sz w:val="24"/>
                <w:szCs w:val="24"/>
              </w:rPr>
              <w:lastRenderedPageBreak/>
              <w:t xml:space="preserve">Section 47 </w:t>
            </w:r>
            <w:r w:rsidR="00CF5630">
              <w:rPr>
                <w:rFonts w:asciiTheme="minorHAnsi" w:hAnsiTheme="minorHAnsi" w:cstheme="minorHAnsi"/>
                <w:sz w:val="24"/>
                <w:szCs w:val="24"/>
              </w:rPr>
              <w:t>enquiries</w:t>
            </w:r>
            <w:r w:rsidR="00AC1EFE">
              <w:rPr>
                <w:rFonts w:asciiTheme="minorHAnsi" w:hAnsiTheme="minorHAnsi" w:cstheme="minorHAnsi"/>
                <w:sz w:val="24"/>
                <w:szCs w:val="24"/>
              </w:rPr>
              <w:t xml:space="preserve"> must be undertaken within ten working days following the strategy meeting which initiated the assessment.</w:t>
            </w:r>
          </w:p>
          <w:p w14:paraId="680169A0" w14:textId="3ECACC14" w:rsidR="00A30260" w:rsidRDefault="00A30260" w:rsidP="00FF7EBB">
            <w:pPr>
              <w:jc w:val="both"/>
              <w:rPr>
                <w:rFonts w:asciiTheme="minorHAnsi" w:hAnsiTheme="minorHAnsi" w:cstheme="minorHAnsi"/>
                <w:sz w:val="24"/>
                <w:szCs w:val="24"/>
              </w:rPr>
            </w:pPr>
          </w:p>
          <w:p w14:paraId="0503FB54" w14:textId="7C8B3EDB" w:rsidR="00A30260" w:rsidRDefault="00A30260" w:rsidP="00FF7EBB">
            <w:pPr>
              <w:jc w:val="both"/>
              <w:rPr>
                <w:rFonts w:asciiTheme="minorHAnsi" w:hAnsiTheme="minorHAnsi" w:cstheme="minorHAnsi"/>
                <w:sz w:val="24"/>
                <w:szCs w:val="24"/>
              </w:rPr>
            </w:pPr>
            <w:r>
              <w:rPr>
                <w:rFonts w:asciiTheme="minorHAnsi" w:hAnsiTheme="minorHAnsi" w:cstheme="minorHAnsi"/>
                <w:sz w:val="24"/>
                <w:szCs w:val="24"/>
              </w:rPr>
              <w:t xml:space="preserve">Section 1(1) Children’s Act (1989) stresses the best interest and welfare of the child is paramount. </w:t>
            </w:r>
            <w:r w:rsidR="00CF5630">
              <w:rPr>
                <w:rFonts w:asciiTheme="minorHAnsi" w:hAnsiTheme="minorHAnsi" w:cstheme="minorHAnsi"/>
                <w:sz w:val="24"/>
                <w:szCs w:val="24"/>
              </w:rPr>
              <w:t>Child Practice</w:t>
            </w:r>
            <w:r>
              <w:rPr>
                <w:rFonts w:asciiTheme="minorHAnsi" w:hAnsiTheme="minorHAnsi" w:cstheme="minorHAnsi"/>
                <w:sz w:val="24"/>
                <w:szCs w:val="24"/>
              </w:rPr>
              <w:t xml:space="preserve"> reviews (Ofsted, 2011) have highlighted failings where the child’s voice hasn’t been heard and as such Wales Safeguarding board emphasises the need for a more child centred approach throughout the process</w:t>
            </w:r>
            <w:r w:rsidR="00070F50">
              <w:rPr>
                <w:rFonts w:asciiTheme="minorHAnsi" w:hAnsiTheme="minorHAnsi" w:cstheme="minorHAnsi"/>
                <w:sz w:val="24"/>
                <w:szCs w:val="24"/>
              </w:rPr>
              <w:t xml:space="preserve">, their voice should be central </w:t>
            </w:r>
            <w:r w:rsidR="000F44DC">
              <w:rPr>
                <w:rFonts w:asciiTheme="minorHAnsi" w:hAnsiTheme="minorHAnsi" w:cstheme="minorHAnsi"/>
                <w:sz w:val="24"/>
                <w:szCs w:val="24"/>
              </w:rPr>
              <w:t>and the child may be offered an advocate to support them to be heard. H</w:t>
            </w:r>
            <w:r w:rsidR="00070F50">
              <w:rPr>
                <w:rFonts w:asciiTheme="minorHAnsi" w:hAnsiTheme="minorHAnsi" w:cstheme="minorHAnsi"/>
                <w:sz w:val="24"/>
                <w:szCs w:val="24"/>
              </w:rPr>
              <w:t xml:space="preserve">owever, their best interests must be paramount even though the outcome </w:t>
            </w:r>
            <w:r w:rsidR="00CF5630">
              <w:rPr>
                <w:rFonts w:asciiTheme="minorHAnsi" w:hAnsiTheme="minorHAnsi" w:cstheme="minorHAnsi"/>
                <w:sz w:val="24"/>
                <w:szCs w:val="24"/>
              </w:rPr>
              <w:t>may</w:t>
            </w:r>
            <w:r w:rsidR="00070F50">
              <w:rPr>
                <w:rFonts w:asciiTheme="minorHAnsi" w:hAnsiTheme="minorHAnsi" w:cstheme="minorHAnsi"/>
                <w:sz w:val="24"/>
                <w:szCs w:val="24"/>
              </w:rPr>
              <w:t xml:space="preserve"> differ to their wishes (SCW, 2022).</w:t>
            </w:r>
            <w:r w:rsidR="0049696D">
              <w:rPr>
                <w:rFonts w:asciiTheme="minorHAnsi" w:hAnsiTheme="minorHAnsi" w:cstheme="minorHAnsi"/>
                <w:sz w:val="24"/>
                <w:szCs w:val="24"/>
              </w:rPr>
              <w:t xml:space="preserve"> NSPCC (2024) identifies early intervention and prevention as a means to protect children from harm and reduce the requirement for a child protection referral and have a positive impact on a child’s wellbeing and preferred outcomes. Early intervention also promotes the United Nations Convention on the Rights of the Child (2022)</w:t>
            </w:r>
            <w:r w:rsidR="00D53422">
              <w:rPr>
                <w:rFonts w:asciiTheme="minorHAnsi" w:hAnsiTheme="minorHAnsi" w:cstheme="minorHAnsi"/>
                <w:sz w:val="24"/>
                <w:szCs w:val="24"/>
              </w:rPr>
              <w:t>, Article 3, where the best interests o</w:t>
            </w:r>
            <w:r w:rsidR="00CF5630">
              <w:rPr>
                <w:rFonts w:asciiTheme="minorHAnsi" w:hAnsiTheme="minorHAnsi" w:cstheme="minorHAnsi"/>
                <w:sz w:val="24"/>
                <w:szCs w:val="24"/>
              </w:rPr>
              <w:t>f</w:t>
            </w:r>
            <w:r w:rsidR="00D53422">
              <w:rPr>
                <w:rFonts w:asciiTheme="minorHAnsi" w:hAnsiTheme="minorHAnsi" w:cstheme="minorHAnsi"/>
                <w:sz w:val="24"/>
                <w:szCs w:val="24"/>
              </w:rPr>
              <w:t xml:space="preserve"> the child must be a priority.</w:t>
            </w:r>
          </w:p>
          <w:p w14:paraId="1A7CCB10" w14:textId="6A8091B4" w:rsidR="000F44DC" w:rsidRDefault="000F44DC" w:rsidP="00FF7EBB">
            <w:pPr>
              <w:jc w:val="both"/>
              <w:rPr>
                <w:rFonts w:asciiTheme="minorHAnsi" w:hAnsiTheme="minorHAnsi" w:cstheme="minorHAnsi"/>
                <w:sz w:val="24"/>
                <w:szCs w:val="24"/>
              </w:rPr>
            </w:pPr>
          </w:p>
          <w:p w14:paraId="6162A52B" w14:textId="6295E89F" w:rsidR="000F44DC" w:rsidRDefault="000F44DC" w:rsidP="00FF7EBB">
            <w:pPr>
              <w:jc w:val="both"/>
              <w:rPr>
                <w:rFonts w:asciiTheme="minorHAnsi" w:hAnsiTheme="minorHAnsi" w:cstheme="minorHAnsi"/>
                <w:sz w:val="24"/>
                <w:szCs w:val="24"/>
              </w:rPr>
            </w:pPr>
            <w:r>
              <w:rPr>
                <w:rFonts w:asciiTheme="minorHAnsi" w:hAnsiTheme="minorHAnsi" w:cstheme="minorHAnsi"/>
                <w:sz w:val="24"/>
                <w:szCs w:val="24"/>
              </w:rPr>
              <w:t xml:space="preserve">The SSWBA (2014) has </w:t>
            </w:r>
            <w:r w:rsidR="00823C0B">
              <w:rPr>
                <w:rFonts w:asciiTheme="minorHAnsi" w:hAnsiTheme="minorHAnsi" w:cstheme="minorHAnsi"/>
                <w:sz w:val="24"/>
                <w:szCs w:val="24"/>
              </w:rPr>
              <w:t>implemented a structure for Safeguarding Boards in Wales (SCW, 2022) which are responsible to ensuring there is inter-agency planning and implanting of child protection services and highlights the importance of information sharing and multi-agency support. When sharing information, the boards are subject to the General Data Protection Regulations and the Data Protection Act (2018)</w:t>
            </w:r>
          </w:p>
          <w:p w14:paraId="2C0A04E3" w14:textId="1C75AD13" w:rsidR="0010532A" w:rsidRPr="00E9656D" w:rsidRDefault="0010532A" w:rsidP="00FF7EBB">
            <w:pPr>
              <w:jc w:val="both"/>
              <w:rPr>
                <w:rFonts w:asciiTheme="minorHAnsi" w:hAnsiTheme="minorHAnsi" w:cstheme="minorHAnsi"/>
                <w:b/>
                <w:sz w:val="24"/>
                <w:szCs w:val="24"/>
              </w:rPr>
            </w:pPr>
          </w:p>
          <w:p w14:paraId="60D8C669" w14:textId="7855A66D" w:rsidR="00FC0334" w:rsidRPr="00E9656D" w:rsidRDefault="00E9656D" w:rsidP="00FF7EBB">
            <w:pPr>
              <w:jc w:val="both"/>
              <w:rPr>
                <w:b/>
                <w:sz w:val="24"/>
                <w:szCs w:val="24"/>
              </w:rPr>
            </w:pPr>
            <w:r w:rsidRPr="00E9656D">
              <w:rPr>
                <w:rFonts w:asciiTheme="minorHAnsi" w:hAnsiTheme="minorHAnsi" w:cstheme="minorHAnsi"/>
                <w:b/>
                <w:sz w:val="24"/>
                <w:szCs w:val="24"/>
              </w:rPr>
              <w:t xml:space="preserve">Words - </w:t>
            </w:r>
            <w:r w:rsidR="00D53422" w:rsidRPr="00E9656D">
              <w:rPr>
                <w:rFonts w:asciiTheme="minorHAnsi" w:hAnsiTheme="minorHAnsi" w:cstheme="minorHAnsi"/>
                <w:b/>
                <w:sz w:val="24"/>
                <w:szCs w:val="24"/>
              </w:rPr>
              <w:t>52</w:t>
            </w:r>
            <w:r w:rsidR="00A969F8">
              <w:rPr>
                <w:rFonts w:asciiTheme="minorHAnsi" w:hAnsiTheme="minorHAnsi" w:cstheme="minorHAnsi"/>
                <w:b/>
                <w:sz w:val="24"/>
                <w:szCs w:val="24"/>
              </w:rPr>
              <w:t>8</w:t>
            </w:r>
          </w:p>
          <w:p w14:paraId="774095BD" w14:textId="77777777" w:rsidR="00FC0334" w:rsidRPr="006108C9" w:rsidRDefault="00FC0334" w:rsidP="00FF7EBB">
            <w:pPr>
              <w:jc w:val="both"/>
              <w:rPr>
                <w:sz w:val="24"/>
                <w:szCs w:val="24"/>
              </w:rPr>
            </w:pPr>
          </w:p>
          <w:p w14:paraId="4FF8EBF3" w14:textId="77777777" w:rsidR="005A545C" w:rsidRPr="00D53422" w:rsidRDefault="005414F4" w:rsidP="00FF7EBB">
            <w:pPr>
              <w:jc w:val="both"/>
              <w:rPr>
                <w:b/>
                <w:sz w:val="24"/>
                <w:szCs w:val="24"/>
              </w:rPr>
            </w:pPr>
            <w:r w:rsidRPr="00D53422">
              <w:rPr>
                <w:b/>
                <w:i/>
                <w:sz w:val="24"/>
                <w:szCs w:val="24"/>
              </w:rPr>
              <w:t>5</w:t>
            </w:r>
            <w:r w:rsidR="00DA22EC" w:rsidRPr="00D53422">
              <w:rPr>
                <w:b/>
                <w:i/>
                <w:sz w:val="24"/>
                <w:szCs w:val="24"/>
              </w:rPr>
              <w:t>00 words</w:t>
            </w:r>
            <w:r w:rsidR="00DA22EC" w:rsidRPr="00D53422">
              <w:rPr>
                <w:b/>
                <w:sz w:val="24"/>
                <w:szCs w:val="24"/>
              </w:rPr>
              <w:t xml:space="preserve"> </w:t>
            </w:r>
            <w:r w:rsidR="008B28E7" w:rsidRPr="00D53422">
              <w:rPr>
                <w:b/>
                <w:sz w:val="24"/>
                <w:szCs w:val="24"/>
              </w:rPr>
              <w:t>(+/- 10%: include your actual word count at the end of each section)</w:t>
            </w:r>
            <w:r w:rsidR="007A628F" w:rsidRPr="00D53422">
              <w:rPr>
                <w:b/>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6B54B8AB" w:rsidR="00FC0334" w:rsidRDefault="00FC0334" w:rsidP="00FC0334">
            <w:pPr>
              <w:jc w:val="both"/>
              <w:rPr>
                <w:sz w:val="24"/>
                <w:szCs w:val="24"/>
              </w:rPr>
            </w:pPr>
          </w:p>
          <w:p w14:paraId="2C3D7B19" w14:textId="38ACE37A" w:rsidR="00B7119A" w:rsidRDefault="00B7119A" w:rsidP="00FC0334">
            <w:pPr>
              <w:jc w:val="both"/>
              <w:rPr>
                <w:rFonts w:asciiTheme="minorHAnsi" w:hAnsiTheme="minorHAnsi" w:cstheme="minorHAnsi"/>
                <w:sz w:val="24"/>
                <w:szCs w:val="24"/>
              </w:rPr>
            </w:pPr>
            <w:r>
              <w:rPr>
                <w:rFonts w:asciiTheme="minorHAnsi" w:hAnsiTheme="minorHAnsi" w:cstheme="minorHAnsi"/>
                <w:sz w:val="24"/>
                <w:szCs w:val="24"/>
              </w:rPr>
              <w:t>Every Local Authority in Wales has a statutory duty to investigate and respond to every safeguarding concern that is reported to them when abuse or neglect are suspected. This is no differen</w:t>
            </w:r>
            <w:r w:rsidR="000C18E3">
              <w:rPr>
                <w:rFonts w:asciiTheme="minorHAnsi" w:hAnsiTheme="minorHAnsi" w:cstheme="minorHAnsi"/>
                <w:sz w:val="24"/>
                <w:szCs w:val="24"/>
              </w:rPr>
              <w:t>ce</w:t>
            </w:r>
            <w:r>
              <w:rPr>
                <w:rFonts w:asciiTheme="minorHAnsi" w:hAnsiTheme="minorHAnsi" w:cstheme="minorHAnsi"/>
                <w:sz w:val="24"/>
                <w:szCs w:val="24"/>
              </w:rPr>
              <w:t xml:space="preserve"> to whether the abused is a child or an adult (SSWBA, 2014). </w:t>
            </w:r>
            <w:r w:rsidR="000C18E3">
              <w:rPr>
                <w:rFonts w:asciiTheme="minorHAnsi" w:hAnsiTheme="minorHAnsi" w:cstheme="minorHAnsi"/>
                <w:sz w:val="24"/>
                <w:szCs w:val="24"/>
              </w:rPr>
              <w:t>However, there are differences between safeguarding policies and procedures when investigating adults and children. There are separate ‘Wales Safeguarding Procedures’ guidance and Wales Safeguarding Boards. The definition of adult at risk is slightly different to that of a child and the types of abuse between the two are very similar but the impact of the abuse on the individual will also differ (SCW. 2022).</w:t>
            </w:r>
            <w:r w:rsidR="00BC5ED3">
              <w:rPr>
                <w:rFonts w:asciiTheme="minorHAnsi" w:hAnsiTheme="minorHAnsi" w:cstheme="minorHAnsi"/>
                <w:sz w:val="24"/>
                <w:szCs w:val="24"/>
              </w:rPr>
              <w:t xml:space="preserve"> For example the </w:t>
            </w:r>
            <w:r w:rsidR="00CF5630">
              <w:rPr>
                <w:rFonts w:asciiTheme="minorHAnsi" w:hAnsiTheme="minorHAnsi" w:cstheme="minorHAnsi"/>
                <w:sz w:val="24"/>
                <w:szCs w:val="24"/>
              </w:rPr>
              <w:t>abuse experienced as a child will</w:t>
            </w:r>
            <w:r w:rsidR="00BC5ED3">
              <w:rPr>
                <w:rFonts w:asciiTheme="minorHAnsi" w:hAnsiTheme="minorHAnsi" w:cstheme="minorHAnsi"/>
                <w:sz w:val="24"/>
                <w:szCs w:val="24"/>
              </w:rPr>
              <w:t xml:space="preserve"> impact upon their future development.</w:t>
            </w:r>
          </w:p>
          <w:p w14:paraId="1BAB41D0" w14:textId="3998AF15" w:rsidR="00153036" w:rsidRDefault="00153036" w:rsidP="00FC0334">
            <w:pPr>
              <w:jc w:val="both"/>
              <w:rPr>
                <w:rFonts w:asciiTheme="minorHAnsi" w:hAnsiTheme="minorHAnsi" w:cstheme="minorHAnsi"/>
                <w:sz w:val="24"/>
                <w:szCs w:val="24"/>
              </w:rPr>
            </w:pPr>
          </w:p>
          <w:p w14:paraId="257381C6" w14:textId="7412A279" w:rsidR="00153036" w:rsidRDefault="00153036" w:rsidP="00FC0334">
            <w:pPr>
              <w:jc w:val="both"/>
              <w:rPr>
                <w:rFonts w:asciiTheme="minorHAnsi" w:hAnsiTheme="minorHAnsi" w:cstheme="minorHAnsi"/>
                <w:sz w:val="24"/>
                <w:szCs w:val="24"/>
              </w:rPr>
            </w:pPr>
            <w:r>
              <w:rPr>
                <w:rFonts w:asciiTheme="minorHAnsi" w:hAnsiTheme="minorHAnsi" w:cstheme="minorHAnsi"/>
                <w:sz w:val="24"/>
                <w:szCs w:val="24"/>
              </w:rPr>
              <w:t>One of the main differences betwee</w:t>
            </w:r>
            <w:r w:rsidR="00F51F55">
              <w:rPr>
                <w:rFonts w:asciiTheme="minorHAnsi" w:hAnsiTheme="minorHAnsi" w:cstheme="minorHAnsi"/>
                <w:sz w:val="24"/>
                <w:szCs w:val="24"/>
              </w:rPr>
              <w:t xml:space="preserve">n adult and child safeguarding is there a duty to safeguard all children, however, some adults will not need safeguarding (Norfolk Safeguarding Children Partnership, 2021). The adult has the </w:t>
            </w:r>
            <w:r w:rsidR="00CF5630">
              <w:rPr>
                <w:rFonts w:asciiTheme="minorHAnsi" w:hAnsiTheme="minorHAnsi" w:cstheme="minorHAnsi"/>
                <w:sz w:val="24"/>
                <w:szCs w:val="24"/>
              </w:rPr>
              <w:t>right to make</w:t>
            </w:r>
            <w:r>
              <w:rPr>
                <w:rFonts w:asciiTheme="minorHAnsi" w:hAnsiTheme="minorHAnsi" w:cstheme="minorHAnsi"/>
                <w:sz w:val="24"/>
                <w:szCs w:val="24"/>
              </w:rPr>
              <w:t xml:space="preserve"> choices</w:t>
            </w:r>
            <w:r w:rsidR="00F51F55">
              <w:rPr>
                <w:rFonts w:asciiTheme="minorHAnsi" w:hAnsiTheme="minorHAnsi" w:cstheme="minorHAnsi"/>
                <w:sz w:val="24"/>
                <w:szCs w:val="24"/>
              </w:rPr>
              <w:t>, and a</w:t>
            </w:r>
            <w:r>
              <w:rPr>
                <w:rFonts w:asciiTheme="minorHAnsi" w:hAnsiTheme="minorHAnsi" w:cstheme="minorHAnsi"/>
                <w:sz w:val="24"/>
                <w:szCs w:val="24"/>
              </w:rPr>
              <w:t>n adult has the right to withhold consent to a safeguarding referral and they have the right to decide what action should be taken</w:t>
            </w:r>
            <w:r w:rsidR="00F51F55">
              <w:rPr>
                <w:rFonts w:asciiTheme="minorHAnsi" w:hAnsiTheme="minorHAnsi" w:cstheme="minorHAnsi"/>
                <w:sz w:val="24"/>
                <w:szCs w:val="24"/>
              </w:rPr>
              <w:t>. One of the five principles of the Mental Capacity Act (2005) is the right for adults to make unwise decisions.</w:t>
            </w:r>
            <w:r w:rsidR="004E05D2">
              <w:rPr>
                <w:rFonts w:asciiTheme="minorHAnsi" w:hAnsiTheme="minorHAnsi" w:cstheme="minorHAnsi"/>
                <w:sz w:val="24"/>
                <w:szCs w:val="24"/>
              </w:rPr>
              <w:t xml:space="preserve"> </w:t>
            </w:r>
            <w:r w:rsidR="004E05D2">
              <w:rPr>
                <w:rFonts w:asciiTheme="minorHAnsi" w:hAnsiTheme="minorHAnsi" w:cstheme="minorHAnsi"/>
                <w:sz w:val="24"/>
                <w:szCs w:val="24"/>
              </w:rPr>
              <w:lastRenderedPageBreak/>
              <w:t xml:space="preserve">However, </w:t>
            </w:r>
            <w:r w:rsidR="00BC5ED3">
              <w:rPr>
                <w:rFonts w:asciiTheme="minorHAnsi" w:hAnsiTheme="minorHAnsi" w:cstheme="minorHAnsi"/>
                <w:sz w:val="24"/>
                <w:szCs w:val="24"/>
              </w:rPr>
              <w:t xml:space="preserve">the Practitioner must demonstrate the individual lacks the capacity to understand their decisions or </w:t>
            </w:r>
            <w:r w:rsidR="004E05D2">
              <w:rPr>
                <w:rFonts w:asciiTheme="minorHAnsi" w:hAnsiTheme="minorHAnsi" w:cstheme="minorHAnsi"/>
                <w:sz w:val="24"/>
                <w:szCs w:val="24"/>
              </w:rPr>
              <w:t>if the adult cannot keep themselves safe and lacks capacity to make these specific decisions then Social Workers can intervene.</w:t>
            </w:r>
          </w:p>
          <w:p w14:paraId="141DEB1A" w14:textId="1E021980" w:rsidR="004E05D2" w:rsidRDefault="004E05D2" w:rsidP="00FC0334">
            <w:pPr>
              <w:jc w:val="both"/>
              <w:rPr>
                <w:rFonts w:asciiTheme="minorHAnsi" w:hAnsiTheme="minorHAnsi" w:cstheme="minorHAnsi"/>
                <w:sz w:val="24"/>
                <w:szCs w:val="24"/>
              </w:rPr>
            </w:pPr>
          </w:p>
          <w:p w14:paraId="519913AC" w14:textId="384E086F" w:rsidR="004E05D2" w:rsidRDefault="004E05D2" w:rsidP="00FC0334">
            <w:pPr>
              <w:jc w:val="both"/>
              <w:rPr>
                <w:rFonts w:asciiTheme="minorHAnsi" w:hAnsiTheme="minorHAnsi" w:cstheme="minorHAnsi"/>
                <w:sz w:val="24"/>
                <w:szCs w:val="24"/>
              </w:rPr>
            </w:pPr>
            <w:r>
              <w:rPr>
                <w:rFonts w:asciiTheme="minorHAnsi" w:hAnsiTheme="minorHAnsi" w:cstheme="minorHAnsi"/>
                <w:sz w:val="24"/>
                <w:szCs w:val="24"/>
              </w:rPr>
              <w:t xml:space="preserve">Although the voice of both children and adults must be heard during safeguarding proceedings, the adult has the right to self-determine (Wales Safeguarding Procedures, 2019). However, </w:t>
            </w:r>
            <w:proofErr w:type="spellStart"/>
            <w:r>
              <w:rPr>
                <w:rFonts w:asciiTheme="minorHAnsi" w:hAnsiTheme="minorHAnsi" w:cstheme="minorHAnsi"/>
                <w:sz w:val="24"/>
                <w:szCs w:val="24"/>
              </w:rPr>
              <w:t>Gillick</w:t>
            </w:r>
            <w:proofErr w:type="spellEnd"/>
            <w:r>
              <w:rPr>
                <w:rFonts w:asciiTheme="minorHAnsi" w:hAnsiTheme="minorHAnsi" w:cstheme="minorHAnsi"/>
                <w:sz w:val="24"/>
                <w:szCs w:val="24"/>
              </w:rPr>
              <w:t xml:space="preserve"> co</w:t>
            </w:r>
            <w:r w:rsidR="00CF5630">
              <w:rPr>
                <w:rFonts w:asciiTheme="minorHAnsi" w:hAnsiTheme="minorHAnsi" w:cstheme="minorHAnsi"/>
                <w:sz w:val="24"/>
                <w:szCs w:val="24"/>
              </w:rPr>
              <w:t>mpetence</w:t>
            </w:r>
            <w:r w:rsidR="002A3F1C">
              <w:rPr>
                <w:rFonts w:asciiTheme="minorHAnsi" w:hAnsiTheme="minorHAnsi" w:cstheme="minorHAnsi"/>
                <w:sz w:val="24"/>
                <w:szCs w:val="24"/>
              </w:rPr>
              <w:t xml:space="preserve"> (Cleaver 2009)</w:t>
            </w:r>
            <w:r>
              <w:rPr>
                <w:rFonts w:asciiTheme="minorHAnsi" w:hAnsiTheme="minorHAnsi" w:cstheme="minorHAnsi"/>
                <w:sz w:val="24"/>
                <w:szCs w:val="24"/>
              </w:rPr>
              <w:t>,</w:t>
            </w:r>
            <w:r w:rsidR="002A3F1C">
              <w:rPr>
                <w:rFonts w:asciiTheme="minorHAnsi" w:hAnsiTheme="minorHAnsi" w:cstheme="minorHAnsi"/>
                <w:sz w:val="24"/>
                <w:szCs w:val="24"/>
              </w:rPr>
              <w:t xml:space="preserve"> should be considered in the Safeguarding are</w:t>
            </w:r>
            <w:r w:rsidR="00CF5630">
              <w:rPr>
                <w:rFonts w:asciiTheme="minorHAnsi" w:hAnsiTheme="minorHAnsi" w:cstheme="minorHAnsi"/>
                <w:sz w:val="24"/>
                <w:szCs w:val="24"/>
              </w:rPr>
              <w:t>n</w:t>
            </w:r>
            <w:r w:rsidR="002A3F1C">
              <w:rPr>
                <w:rFonts w:asciiTheme="minorHAnsi" w:hAnsiTheme="minorHAnsi" w:cstheme="minorHAnsi"/>
                <w:sz w:val="24"/>
                <w:szCs w:val="24"/>
              </w:rPr>
              <w:t>a if the child is deemed to have the maturity and the understanding to be able to make decisions effecting them.</w:t>
            </w:r>
            <w:r w:rsidR="00DA067F">
              <w:rPr>
                <w:rFonts w:asciiTheme="minorHAnsi" w:hAnsiTheme="minorHAnsi" w:cstheme="minorHAnsi"/>
                <w:sz w:val="24"/>
                <w:szCs w:val="24"/>
              </w:rPr>
              <w:t xml:space="preserve"> This may help practitioners with respecting the views of the child during this process.</w:t>
            </w:r>
          </w:p>
          <w:p w14:paraId="5C6FCC9E" w14:textId="77777777" w:rsidR="00DA067F" w:rsidRDefault="00DA067F" w:rsidP="00DA067F">
            <w:pPr>
              <w:jc w:val="both"/>
              <w:rPr>
                <w:rFonts w:asciiTheme="minorHAnsi" w:hAnsiTheme="minorHAnsi" w:cstheme="minorHAnsi"/>
                <w:sz w:val="24"/>
                <w:szCs w:val="24"/>
              </w:rPr>
            </w:pPr>
          </w:p>
          <w:p w14:paraId="06919CBF" w14:textId="1E1333C3" w:rsidR="00DA067F" w:rsidRDefault="00100E39" w:rsidP="00BC5ED3">
            <w:pPr>
              <w:jc w:val="both"/>
              <w:rPr>
                <w:rFonts w:asciiTheme="minorHAnsi" w:hAnsiTheme="minorHAnsi" w:cstheme="minorHAnsi"/>
                <w:sz w:val="24"/>
                <w:szCs w:val="24"/>
              </w:rPr>
            </w:pPr>
            <w:r>
              <w:rPr>
                <w:rFonts w:asciiTheme="minorHAnsi" w:hAnsiTheme="minorHAnsi" w:cstheme="minorHAnsi"/>
                <w:sz w:val="24"/>
                <w:szCs w:val="24"/>
              </w:rPr>
              <w:t>The</w:t>
            </w:r>
            <w:r w:rsidR="00DA067F">
              <w:rPr>
                <w:rFonts w:asciiTheme="minorHAnsi" w:hAnsiTheme="minorHAnsi" w:cstheme="minorHAnsi"/>
                <w:sz w:val="24"/>
                <w:szCs w:val="24"/>
              </w:rPr>
              <w:t xml:space="preserve"> Human Rights Act (1998)</w:t>
            </w:r>
            <w:r>
              <w:rPr>
                <w:rFonts w:asciiTheme="minorHAnsi" w:hAnsiTheme="minorHAnsi" w:cstheme="minorHAnsi"/>
                <w:sz w:val="24"/>
                <w:szCs w:val="24"/>
              </w:rPr>
              <w:t xml:space="preserve"> is</w:t>
            </w:r>
            <w:r w:rsidR="001825A5">
              <w:rPr>
                <w:rFonts w:asciiTheme="minorHAnsi" w:hAnsiTheme="minorHAnsi" w:cstheme="minorHAnsi"/>
                <w:sz w:val="24"/>
                <w:szCs w:val="24"/>
              </w:rPr>
              <w:t xml:space="preserve"> an important piece</w:t>
            </w:r>
            <w:r w:rsidR="00CF5630">
              <w:rPr>
                <w:rFonts w:asciiTheme="minorHAnsi" w:hAnsiTheme="minorHAnsi" w:cstheme="minorHAnsi"/>
                <w:sz w:val="24"/>
                <w:szCs w:val="24"/>
              </w:rPr>
              <w:t xml:space="preserve"> of</w:t>
            </w:r>
            <w:r>
              <w:rPr>
                <w:rFonts w:asciiTheme="minorHAnsi" w:hAnsiTheme="minorHAnsi" w:cstheme="minorHAnsi"/>
                <w:sz w:val="24"/>
                <w:szCs w:val="24"/>
              </w:rPr>
              <w:t xml:space="preserve"> legislation </w:t>
            </w:r>
            <w:r w:rsidR="001825A5">
              <w:rPr>
                <w:rFonts w:asciiTheme="minorHAnsi" w:hAnsiTheme="minorHAnsi" w:cstheme="minorHAnsi"/>
                <w:sz w:val="24"/>
                <w:szCs w:val="24"/>
              </w:rPr>
              <w:t>that</w:t>
            </w:r>
            <w:r>
              <w:rPr>
                <w:rFonts w:asciiTheme="minorHAnsi" w:hAnsiTheme="minorHAnsi" w:cstheme="minorHAnsi"/>
                <w:sz w:val="24"/>
                <w:szCs w:val="24"/>
              </w:rPr>
              <w:t xml:space="preserve"> is applicable to both children’s and adults</w:t>
            </w:r>
            <w:r w:rsidR="00CF5630">
              <w:rPr>
                <w:rFonts w:asciiTheme="minorHAnsi" w:hAnsiTheme="minorHAnsi" w:cstheme="minorHAnsi"/>
                <w:sz w:val="24"/>
                <w:szCs w:val="24"/>
              </w:rPr>
              <w:t>’</w:t>
            </w:r>
            <w:r>
              <w:rPr>
                <w:rFonts w:asciiTheme="minorHAnsi" w:hAnsiTheme="minorHAnsi" w:cstheme="minorHAnsi"/>
                <w:sz w:val="24"/>
                <w:szCs w:val="24"/>
              </w:rPr>
              <w:t xml:space="preserve"> safeguarding (</w:t>
            </w:r>
            <w:proofErr w:type="spellStart"/>
            <w:r>
              <w:rPr>
                <w:rFonts w:asciiTheme="minorHAnsi" w:hAnsiTheme="minorHAnsi" w:cstheme="minorHAnsi"/>
                <w:sz w:val="24"/>
                <w:szCs w:val="24"/>
              </w:rPr>
              <w:t>Chisnell</w:t>
            </w:r>
            <w:proofErr w:type="spellEnd"/>
            <w:r>
              <w:rPr>
                <w:rFonts w:asciiTheme="minorHAnsi" w:hAnsiTheme="minorHAnsi" w:cstheme="minorHAnsi"/>
                <w:sz w:val="24"/>
                <w:szCs w:val="24"/>
              </w:rPr>
              <w:t xml:space="preserve">, 2019). </w:t>
            </w:r>
            <w:r w:rsidR="001825A5">
              <w:rPr>
                <w:rFonts w:asciiTheme="minorHAnsi" w:hAnsiTheme="minorHAnsi" w:cstheme="minorHAnsi"/>
                <w:sz w:val="24"/>
                <w:szCs w:val="24"/>
              </w:rPr>
              <w:t xml:space="preserve">The </w:t>
            </w:r>
            <w:r w:rsidR="00DA067F">
              <w:rPr>
                <w:rFonts w:asciiTheme="minorHAnsi" w:hAnsiTheme="minorHAnsi" w:cstheme="minorHAnsi"/>
                <w:sz w:val="24"/>
                <w:szCs w:val="24"/>
              </w:rPr>
              <w:t xml:space="preserve">United Nations Convention on the Rights of the </w:t>
            </w:r>
            <w:r w:rsidR="001825A5">
              <w:rPr>
                <w:rFonts w:asciiTheme="minorHAnsi" w:hAnsiTheme="minorHAnsi" w:cstheme="minorHAnsi"/>
                <w:sz w:val="24"/>
                <w:szCs w:val="24"/>
              </w:rPr>
              <w:t>Child</w:t>
            </w:r>
            <w:r w:rsidR="00A969F8">
              <w:rPr>
                <w:rFonts w:asciiTheme="minorHAnsi" w:hAnsiTheme="minorHAnsi" w:cstheme="minorHAnsi"/>
                <w:sz w:val="24"/>
                <w:szCs w:val="24"/>
              </w:rPr>
              <w:t xml:space="preserve"> (1989)</w:t>
            </w:r>
            <w:r w:rsidR="001825A5">
              <w:rPr>
                <w:rFonts w:asciiTheme="minorHAnsi" w:hAnsiTheme="minorHAnsi" w:cstheme="minorHAnsi"/>
                <w:sz w:val="24"/>
                <w:szCs w:val="24"/>
              </w:rPr>
              <w:t xml:space="preserve"> provides children in </w:t>
            </w:r>
            <w:r w:rsidR="009D4CB6">
              <w:rPr>
                <w:rFonts w:asciiTheme="minorHAnsi" w:hAnsiTheme="minorHAnsi" w:cstheme="minorHAnsi"/>
                <w:sz w:val="24"/>
                <w:szCs w:val="24"/>
              </w:rPr>
              <w:t>Wales’s</w:t>
            </w:r>
            <w:r w:rsidR="001825A5">
              <w:rPr>
                <w:rFonts w:asciiTheme="minorHAnsi" w:hAnsiTheme="minorHAnsi" w:cstheme="minorHAnsi"/>
                <w:sz w:val="24"/>
                <w:szCs w:val="24"/>
              </w:rPr>
              <w:t xml:space="preserve"> additional protection, from that of adults, due to the child’s dependency on others for their development (UNICEF, 2023). </w:t>
            </w:r>
            <w:r w:rsidR="00CF5630">
              <w:rPr>
                <w:rFonts w:asciiTheme="minorHAnsi" w:hAnsiTheme="minorHAnsi" w:cstheme="minorHAnsi"/>
                <w:sz w:val="24"/>
                <w:szCs w:val="24"/>
              </w:rPr>
              <w:t xml:space="preserve"> Deprivation of Liberty safeguards can be used to protect an </w:t>
            </w:r>
            <w:r w:rsidR="001825A5">
              <w:rPr>
                <w:rFonts w:asciiTheme="minorHAnsi" w:hAnsiTheme="minorHAnsi" w:cstheme="minorHAnsi"/>
                <w:sz w:val="24"/>
                <w:szCs w:val="24"/>
              </w:rPr>
              <w:t>Adult</w:t>
            </w:r>
            <w:r w:rsidR="00CF5630">
              <w:rPr>
                <w:rFonts w:asciiTheme="minorHAnsi" w:hAnsiTheme="minorHAnsi" w:cstheme="minorHAnsi"/>
                <w:sz w:val="24"/>
                <w:szCs w:val="24"/>
              </w:rPr>
              <w:t>’</w:t>
            </w:r>
            <w:r w:rsidR="001825A5">
              <w:rPr>
                <w:rFonts w:asciiTheme="minorHAnsi" w:hAnsiTheme="minorHAnsi" w:cstheme="minorHAnsi"/>
                <w:sz w:val="24"/>
                <w:szCs w:val="24"/>
              </w:rPr>
              <w:t xml:space="preserve">s </w:t>
            </w:r>
            <w:r w:rsidR="009D4CB6">
              <w:rPr>
                <w:rFonts w:asciiTheme="minorHAnsi" w:hAnsiTheme="minorHAnsi" w:cstheme="minorHAnsi"/>
                <w:sz w:val="24"/>
                <w:szCs w:val="24"/>
              </w:rPr>
              <w:t xml:space="preserve">right to </w:t>
            </w:r>
            <w:r w:rsidR="001825A5">
              <w:rPr>
                <w:rFonts w:asciiTheme="minorHAnsi" w:hAnsiTheme="minorHAnsi" w:cstheme="minorHAnsi"/>
                <w:sz w:val="24"/>
                <w:szCs w:val="24"/>
              </w:rPr>
              <w:t xml:space="preserve">Article 5 of the Human Rights Act (1998). Children are also allowed this liberty </w:t>
            </w:r>
            <w:r w:rsidR="00BC5ED3">
              <w:rPr>
                <w:rFonts w:asciiTheme="minorHAnsi" w:hAnsiTheme="minorHAnsi" w:cstheme="minorHAnsi"/>
                <w:sz w:val="24"/>
                <w:szCs w:val="24"/>
              </w:rPr>
              <w:t>if warranted under statue, for example Section 25 of the Children Act (1989) (</w:t>
            </w:r>
            <w:proofErr w:type="spellStart"/>
            <w:r w:rsidR="00DA067F">
              <w:rPr>
                <w:rFonts w:asciiTheme="minorHAnsi" w:hAnsiTheme="minorHAnsi" w:cstheme="minorHAnsi"/>
                <w:sz w:val="24"/>
                <w:szCs w:val="24"/>
              </w:rPr>
              <w:t>S</w:t>
            </w:r>
            <w:r w:rsidR="00BC5ED3">
              <w:rPr>
                <w:rFonts w:asciiTheme="minorHAnsi" w:hAnsiTheme="minorHAnsi" w:cstheme="minorHAnsi"/>
                <w:sz w:val="24"/>
                <w:szCs w:val="24"/>
              </w:rPr>
              <w:t>cheh</w:t>
            </w:r>
            <w:proofErr w:type="spellEnd"/>
            <w:r w:rsidR="00BC5ED3">
              <w:rPr>
                <w:rFonts w:asciiTheme="minorHAnsi" w:hAnsiTheme="minorHAnsi" w:cstheme="minorHAnsi"/>
                <w:sz w:val="24"/>
                <w:szCs w:val="24"/>
              </w:rPr>
              <w:t xml:space="preserve">, </w:t>
            </w:r>
            <w:r w:rsidR="00DA067F">
              <w:rPr>
                <w:rFonts w:asciiTheme="minorHAnsi" w:hAnsiTheme="minorHAnsi" w:cstheme="minorHAnsi"/>
                <w:sz w:val="24"/>
                <w:szCs w:val="24"/>
              </w:rPr>
              <w:t xml:space="preserve">2016) </w:t>
            </w:r>
          </w:p>
          <w:p w14:paraId="5E069133" w14:textId="77777777" w:rsidR="00DA067F" w:rsidRDefault="00DA067F" w:rsidP="00FC0334">
            <w:pPr>
              <w:jc w:val="both"/>
              <w:rPr>
                <w:rFonts w:asciiTheme="minorHAnsi" w:hAnsiTheme="minorHAnsi" w:cstheme="minorHAnsi"/>
                <w:sz w:val="24"/>
                <w:szCs w:val="24"/>
              </w:rPr>
            </w:pPr>
          </w:p>
          <w:p w14:paraId="438BF787" w14:textId="360BB4C9" w:rsidR="00FC0334" w:rsidRPr="00E9656D" w:rsidRDefault="00E9656D" w:rsidP="00FC0334">
            <w:pPr>
              <w:jc w:val="both"/>
              <w:rPr>
                <w:rFonts w:asciiTheme="minorHAnsi" w:hAnsiTheme="minorHAnsi" w:cstheme="minorHAnsi"/>
                <w:b/>
                <w:sz w:val="24"/>
                <w:szCs w:val="24"/>
              </w:rPr>
            </w:pPr>
            <w:r w:rsidRPr="00E9656D">
              <w:rPr>
                <w:rFonts w:asciiTheme="minorHAnsi" w:hAnsiTheme="minorHAnsi" w:cstheme="minorHAnsi"/>
                <w:b/>
                <w:sz w:val="24"/>
                <w:szCs w:val="24"/>
              </w:rPr>
              <w:t xml:space="preserve">Words – </w:t>
            </w:r>
            <w:r w:rsidR="00CF5630" w:rsidRPr="00E9656D">
              <w:rPr>
                <w:rFonts w:asciiTheme="minorHAnsi" w:hAnsiTheme="minorHAnsi" w:cstheme="minorHAnsi"/>
                <w:b/>
                <w:sz w:val="24"/>
                <w:szCs w:val="24"/>
              </w:rPr>
              <w:t>407</w:t>
            </w:r>
          </w:p>
          <w:p w14:paraId="4AF0CD0E" w14:textId="77777777" w:rsidR="00E9656D" w:rsidRPr="006108C9" w:rsidRDefault="00E9656D"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3173A4B6"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5E32DC" w14:textId="77777777" w:rsidR="00FC2FDC" w:rsidRDefault="00FC2FDC">
      <w:r>
        <w:separator/>
      </w:r>
    </w:p>
  </w:endnote>
  <w:endnote w:type="continuationSeparator" w:id="0">
    <w:p w14:paraId="39A88E85" w14:textId="77777777" w:rsidR="00FC2FDC" w:rsidRDefault="00FC2F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939A258" w:rsidR="00A5656A" w:rsidRDefault="00A5656A">
    <w:pPr>
      <w:pStyle w:val="Footer"/>
      <w:jc w:val="right"/>
    </w:pPr>
    <w:r>
      <w:fldChar w:fldCharType="begin"/>
    </w:r>
    <w:r>
      <w:instrText xml:space="preserve"> PAGE   \* MERGEFORMAT </w:instrText>
    </w:r>
    <w:r>
      <w:fldChar w:fldCharType="separate"/>
    </w:r>
    <w:r w:rsidR="0076543C">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1964AA" w14:textId="77777777" w:rsidR="00FC2FDC" w:rsidRDefault="00FC2FDC">
      <w:r>
        <w:separator/>
      </w:r>
    </w:p>
  </w:footnote>
  <w:footnote w:type="continuationSeparator" w:id="0">
    <w:p w14:paraId="0B0062F5" w14:textId="77777777" w:rsidR="00FC2FDC" w:rsidRDefault="00FC2F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FD737A"/>
    <w:multiLevelType w:val="hybridMultilevel"/>
    <w:tmpl w:val="B8A88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8"/>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0F50"/>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18E3"/>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44DC"/>
    <w:rsid w:val="000F6196"/>
    <w:rsid w:val="000F6BC3"/>
    <w:rsid w:val="00100E39"/>
    <w:rsid w:val="0010312C"/>
    <w:rsid w:val="00105026"/>
    <w:rsid w:val="0010532A"/>
    <w:rsid w:val="0010662B"/>
    <w:rsid w:val="00106DC7"/>
    <w:rsid w:val="00112391"/>
    <w:rsid w:val="00114F52"/>
    <w:rsid w:val="00126DF3"/>
    <w:rsid w:val="00130119"/>
    <w:rsid w:val="00132812"/>
    <w:rsid w:val="001347F8"/>
    <w:rsid w:val="001359EE"/>
    <w:rsid w:val="00137BB5"/>
    <w:rsid w:val="00137E05"/>
    <w:rsid w:val="001447F6"/>
    <w:rsid w:val="00147DE3"/>
    <w:rsid w:val="00150794"/>
    <w:rsid w:val="00151DA6"/>
    <w:rsid w:val="00153036"/>
    <w:rsid w:val="001608C4"/>
    <w:rsid w:val="00164832"/>
    <w:rsid w:val="00171418"/>
    <w:rsid w:val="001772BF"/>
    <w:rsid w:val="001772DE"/>
    <w:rsid w:val="001825A5"/>
    <w:rsid w:val="0019496C"/>
    <w:rsid w:val="001961CF"/>
    <w:rsid w:val="001A59BB"/>
    <w:rsid w:val="001A607E"/>
    <w:rsid w:val="001A6A51"/>
    <w:rsid w:val="001A79C4"/>
    <w:rsid w:val="001B331A"/>
    <w:rsid w:val="001C0237"/>
    <w:rsid w:val="001C0E74"/>
    <w:rsid w:val="001C4DB8"/>
    <w:rsid w:val="001C50B8"/>
    <w:rsid w:val="001D229F"/>
    <w:rsid w:val="001E2EB6"/>
    <w:rsid w:val="001E3C3E"/>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3F1C"/>
    <w:rsid w:val="002A4E2E"/>
    <w:rsid w:val="002A5604"/>
    <w:rsid w:val="002B1701"/>
    <w:rsid w:val="002B23C3"/>
    <w:rsid w:val="002B443A"/>
    <w:rsid w:val="002B5B35"/>
    <w:rsid w:val="002B660A"/>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086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9696D"/>
    <w:rsid w:val="004A2A49"/>
    <w:rsid w:val="004A5A64"/>
    <w:rsid w:val="004B5553"/>
    <w:rsid w:val="004B600B"/>
    <w:rsid w:val="004B6822"/>
    <w:rsid w:val="004B69F6"/>
    <w:rsid w:val="004C2D3A"/>
    <w:rsid w:val="004D03C4"/>
    <w:rsid w:val="004D0BF1"/>
    <w:rsid w:val="004D0F4E"/>
    <w:rsid w:val="004D3278"/>
    <w:rsid w:val="004D35A4"/>
    <w:rsid w:val="004D445F"/>
    <w:rsid w:val="004D5324"/>
    <w:rsid w:val="004E05D2"/>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35E9"/>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26CF"/>
    <w:rsid w:val="007544FC"/>
    <w:rsid w:val="00755427"/>
    <w:rsid w:val="00756548"/>
    <w:rsid w:val="0075673A"/>
    <w:rsid w:val="0075704F"/>
    <w:rsid w:val="00763B2D"/>
    <w:rsid w:val="00764C84"/>
    <w:rsid w:val="0076543C"/>
    <w:rsid w:val="007710AD"/>
    <w:rsid w:val="00772924"/>
    <w:rsid w:val="0078112D"/>
    <w:rsid w:val="007872F2"/>
    <w:rsid w:val="007873F9"/>
    <w:rsid w:val="007908E0"/>
    <w:rsid w:val="00793EB3"/>
    <w:rsid w:val="00794205"/>
    <w:rsid w:val="0079422A"/>
    <w:rsid w:val="0079713D"/>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47D1"/>
    <w:rsid w:val="0081534C"/>
    <w:rsid w:val="00816CE7"/>
    <w:rsid w:val="008171E4"/>
    <w:rsid w:val="008208EA"/>
    <w:rsid w:val="00822B44"/>
    <w:rsid w:val="00823C0B"/>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5BB4"/>
    <w:rsid w:val="008B07DE"/>
    <w:rsid w:val="008B1309"/>
    <w:rsid w:val="008B28E7"/>
    <w:rsid w:val="008B67F6"/>
    <w:rsid w:val="008C14C7"/>
    <w:rsid w:val="008C2FFB"/>
    <w:rsid w:val="008C633F"/>
    <w:rsid w:val="008C6D8A"/>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26D7D"/>
    <w:rsid w:val="0093018C"/>
    <w:rsid w:val="0094495F"/>
    <w:rsid w:val="009544C0"/>
    <w:rsid w:val="00954FA4"/>
    <w:rsid w:val="00956AE9"/>
    <w:rsid w:val="00964CC6"/>
    <w:rsid w:val="00967BFA"/>
    <w:rsid w:val="0097790F"/>
    <w:rsid w:val="0098262C"/>
    <w:rsid w:val="0098427C"/>
    <w:rsid w:val="00986B43"/>
    <w:rsid w:val="00986C0B"/>
    <w:rsid w:val="00986D46"/>
    <w:rsid w:val="00991FDA"/>
    <w:rsid w:val="00992ACA"/>
    <w:rsid w:val="009942A4"/>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CB6"/>
    <w:rsid w:val="009D4E3B"/>
    <w:rsid w:val="009D59C2"/>
    <w:rsid w:val="009D7BC9"/>
    <w:rsid w:val="009E122F"/>
    <w:rsid w:val="009E1982"/>
    <w:rsid w:val="009E4D2C"/>
    <w:rsid w:val="009F0978"/>
    <w:rsid w:val="009F3AEC"/>
    <w:rsid w:val="009F6801"/>
    <w:rsid w:val="00A00081"/>
    <w:rsid w:val="00A0218D"/>
    <w:rsid w:val="00A04700"/>
    <w:rsid w:val="00A06422"/>
    <w:rsid w:val="00A10D56"/>
    <w:rsid w:val="00A12AAE"/>
    <w:rsid w:val="00A12F22"/>
    <w:rsid w:val="00A16DD1"/>
    <w:rsid w:val="00A22441"/>
    <w:rsid w:val="00A23F3B"/>
    <w:rsid w:val="00A24406"/>
    <w:rsid w:val="00A25F64"/>
    <w:rsid w:val="00A275F6"/>
    <w:rsid w:val="00A30260"/>
    <w:rsid w:val="00A303B9"/>
    <w:rsid w:val="00A37416"/>
    <w:rsid w:val="00A40357"/>
    <w:rsid w:val="00A40ED6"/>
    <w:rsid w:val="00A47621"/>
    <w:rsid w:val="00A479CD"/>
    <w:rsid w:val="00A50CFC"/>
    <w:rsid w:val="00A54D67"/>
    <w:rsid w:val="00A55A3F"/>
    <w:rsid w:val="00A5656A"/>
    <w:rsid w:val="00A60103"/>
    <w:rsid w:val="00A652F6"/>
    <w:rsid w:val="00A65861"/>
    <w:rsid w:val="00A732EA"/>
    <w:rsid w:val="00A7489E"/>
    <w:rsid w:val="00A8015F"/>
    <w:rsid w:val="00A82C6E"/>
    <w:rsid w:val="00A85039"/>
    <w:rsid w:val="00A906AA"/>
    <w:rsid w:val="00A94C5E"/>
    <w:rsid w:val="00A969F8"/>
    <w:rsid w:val="00AA252C"/>
    <w:rsid w:val="00AA666E"/>
    <w:rsid w:val="00AA7960"/>
    <w:rsid w:val="00AB5518"/>
    <w:rsid w:val="00AC1EFE"/>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1823"/>
    <w:rsid w:val="00B6548F"/>
    <w:rsid w:val="00B7119A"/>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5ED3"/>
    <w:rsid w:val="00BD30B1"/>
    <w:rsid w:val="00BE0F7B"/>
    <w:rsid w:val="00BE10C2"/>
    <w:rsid w:val="00BF0D6C"/>
    <w:rsid w:val="00C01D14"/>
    <w:rsid w:val="00C01D97"/>
    <w:rsid w:val="00C01F48"/>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038"/>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5630"/>
    <w:rsid w:val="00D0274B"/>
    <w:rsid w:val="00D0503D"/>
    <w:rsid w:val="00D052BC"/>
    <w:rsid w:val="00D07026"/>
    <w:rsid w:val="00D146AE"/>
    <w:rsid w:val="00D22C8F"/>
    <w:rsid w:val="00D3203C"/>
    <w:rsid w:val="00D33491"/>
    <w:rsid w:val="00D3442D"/>
    <w:rsid w:val="00D36F00"/>
    <w:rsid w:val="00D44B67"/>
    <w:rsid w:val="00D44F8E"/>
    <w:rsid w:val="00D51FD5"/>
    <w:rsid w:val="00D53422"/>
    <w:rsid w:val="00D55DE0"/>
    <w:rsid w:val="00D607EF"/>
    <w:rsid w:val="00D60F88"/>
    <w:rsid w:val="00D646BD"/>
    <w:rsid w:val="00D65558"/>
    <w:rsid w:val="00D71201"/>
    <w:rsid w:val="00D720C7"/>
    <w:rsid w:val="00D84841"/>
    <w:rsid w:val="00D876E6"/>
    <w:rsid w:val="00D90958"/>
    <w:rsid w:val="00DA067F"/>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656D"/>
    <w:rsid w:val="00E97171"/>
    <w:rsid w:val="00EA4D48"/>
    <w:rsid w:val="00EA6922"/>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2733"/>
    <w:rsid w:val="00F15354"/>
    <w:rsid w:val="00F22AC5"/>
    <w:rsid w:val="00F254D1"/>
    <w:rsid w:val="00F32B82"/>
    <w:rsid w:val="00F34C86"/>
    <w:rsid w:val="00F4043E"/>
    <w:rsid w:val="00F41795"/>
    <w:rsid w:val="00F41BBC"/>
    <w:rsid w:val="00F444F0"/>
    <w:rsid w:val="00F446FF"/>
    <w:rsid w:val="00F45212"/>
    <w:rsid w:val="00F45521"/>
    <w:rsid w:val="00F50847"/>
    <w:rsid w:val="00F51F55"/>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A77AC"/>
    <w:rsid w:val="00FB05DD"/>
    <w:rsid w:val="00FB0F7C"/>
    <w:rsid w:val="00FB24EA"/>
    <w:rsid w:val="00FB5FA6"/>
    <w:rsid w:val="00FC0334"/>
    <w:rsid w:val="00FC1310"/>
    <w:rsid w:val="00FC2FDC"/>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526CF"/>
    <w:pPr>
      <w:ind w:left="720"/>
      <w:contextualSpacing/>
    </w:pPr>
  </w:style>
  <w:style w:type="character" w:styleId="FollowedHyperlink">
    <w:name w:val="FollowedHyperlink"/>
    <w:basedOn w:val="DefaultParagraphFont"/>
    <w:uiPriority w:val="99"/>
    <w:semiHidden/>
    <w:unhideWhenUsed/>
    <w:rsid w:val="00F452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699740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A2A0C3-52E8-4F71-884F-02F14060B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1083</Words>
  <Characters>6179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Gethin Davies</cp:lastModifiedBy>
  <cp:revision>3</cp:revision>
  <cp:lastPrinted>2020-02-11T19:20:00Z</cp:lastPrinted>
  <dcterms:created xsi:type="dcterms:W3CDTF">2024-10-08T06:41:00Z</dcterms:created>
  <dcterms:modified xsi:type="dcterms:W3CDTF">2024-10-08T06:41:00Z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