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4927D7" w:rsidRDefault="00C558B0" w:rsidP="00594FAC">
      <w:pPr>
        <w:spacing w:line="360" w:lineRule="auto"/>
        <w:rPr>
          <w:rFonts w:ascii="Arial" w:hAnsi="Arial" w:cs="Arial"/>
          <w:szCs w:val="24"/>
        </w:rPr>
      </w:pPr>
      <w:r w:rsidRPr="004927D7">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4927D7" w:rsidRDefault="00C558B0" w:rsidP="00594FAC">
      <w:pPr>
        <w:spacing w:line="360" w:lineRule="auto"/>
        <w:rPr>
          <w:rFonts w:ascii="Arial" w:hAnsi="Arial" w:cs="Arial"/>
          <w:szCs w:val="24"/>
        </w:rPr>
      </w:pPr>
    </w:p>
    <w:p w14:paraId="554C8C17" w14:textId="77777777" w:rsidR="00C558B0" w:rsidRPr="004927D7" w:rsidRDefault="00C558B0" w:rsidP="00594FAC">
      <w:pPr>
        <w:spacing w:line="360" w:lineRule="auto"/>
        <w:rPr>
          <w:rFonts w:ascii="Arial" w:hAnsi="Arial" w:cs="Arial"/>
          <w:szCs w:val="24"/>
        </w:rPr>
      </w:pPr>
    </w:p>
    <w:p w14:paraId="74A7306F" w14:textId="77777777" w:rsidR="00C558B0" w:rsidRPr="004927D7" w:rsidRDefault="00C558B0" w:rsidP="00594FAC">
      <w:pPr>
        <w:spacing w:line="360" w:lineRule="auto"/>
        <w:rPr>
          <w:rFonts w:ascii="Arial" w:hAnsi="Arial" w:cs="Arial"/>
          <w:szCs w:val="24"/>
        </w:rPr>
      </w:pPr>
    </w:p>
    <w:p w14:paraId="4CFA099C" w14:textId="77777777" w:rsidR="00C558B0" w:rsidRPr="004927D7" w:rsidRDefault="00C558B0" w:rsidP="00594FAC">
      <w:pPr>
        <w:tabs>
          <w:tab w:val="left" w:pos="6540"/>
        </w:tabs>
        <w:spacing w:line="360" w:lineRule="auto"/>
        <w:rPr>
          <w:rFonts w:ascii="Arial" w:hAnsi="Arial" w:cs="Arial"/>
          <w:sz w:val="28"/>
          <w:szCs w:val="28"/>
        </w:rPr>
      </w:pPr>
    </w:p>
    <w:p w14:paraId="498432DB" w14:textId="77777777" w:rsidR="00780457" w:rsidRDefault="00780457" w:rsidP="00594FAC">
      <w:pPr>
        <w:tabs>
          <w:tab w:val="left" w:pos="6540"/>
        </w:tabs>
        <w:spacing w:line="360" w:lineRule="auto"/>
        <w:rPr>
          <w:rFonts w:ascii="Arial" w:hAnsi="Arial" w:cs="Arial"/>
          <w:b/>
          <w:bCs/>
          <w:sz w:val="28"/>
          <w:szCs w:val="28"/>
        </w:rPr>
      </w:pPr>
    </w:p>
    <w:p w14:paraId="60B68824" w14:textId="77777777" w:rsidR="00780457" w:rsidRDefault="00780457" w:rsidP="00594FAC">
      <w:pPr>
        <w:tabs>
          <w:tab w:val="left" w:pos="6540"/>
        </w:tabs>
        <w:spacing w:line="360" w:lineRule="auto"/>
        <w:rPr>
          <w:rFonts w:ascii="Arial" w:hAnsi="Arial" w:cs="Arial"/>
          <w:b/>
          <w:bCs/>
          <w:sz w:val="28"/>
          <w:szCs w:val="28"/>
        </w:rPr>
      </w:pPr>
    </w:p>
    <w:p w14:paraId="2F4F861B" w14:textId="6F9FCE34" w:rsidR="00C558B0" w:rsidRPr="004927D7" w:rsidRDefault="00C558B0" w:rsidP="00594FAC">
      <w:pPr>
        <w:tabs>
          <w:tab w:val="left" w:pos="6540"/>
        </w:tabs>
        <w:spacing w:line="360" w:lineRule="auto"/>
        <w:rPr>
          <w:rFonts w:ascii="Arial" w:hAnsi="Arial" w:cs="Arial"/>
          <w:sz w:val="28"/>
          <w:szCs w:val="28"/>
        </w:rPr>
      </w:pPr>
      <w:r w:rsidRPr="004927D7">
        <w:rPr>
          <w:rFonts w:ascii="Arial" w:hAnsi="Arial" w:cs="Arial"/>
          <w:b/>
          <w:bCs/>
          <w:sz w:val="28"/>
          <w:szCs w:val="28"/>
        </w:rPr>
        <w:t>Student name</w:t>
      </w:r>
      <w:r w:rsidRPr="004927D7">
        <w:rPr>
          <w:rFonts w:ascii="Arial" w:hAnsi="Arial" w:cs="Arial"/>
          <w:sz w:val="28"/>
          <w:szCs w:val="28"/>
        </w:rPr>
        <w:t>:</w:t>
      </w:r>
      <w:r w:rsidR="004D48B9">
        <w:rPr>
          <w:rFonts w:ascii="Arial" w:hAnsi="Arial" w:cs="Arial"/>
          <w:sz w:val="28"/>
          <w:szCs w:val="28"/>
        </w:rPr>
        <w:t xml:space="preserve"> </w:t>
      </w:r>
      <w:r w:rsidR="004D48B9" w:rsidRPr="004D48B9">
        <w:rPr>
          <w:rFonts w:ascii="Arial" w:hAnsi="Arial" w:cs="Arial"/>
          <w:b/>
          <w:bCs/>
          <w:sz w:val="28"/>
          <w:szCs w:val="28"/>
        </w:rPr>
        <w:t>Nevena Semkova</w:t>
      </w:r>
    </w:p>
    <w:p w14:paraId="18D88AE2" w14:textId="62DB7CCA" w:rsidR="00C558B0" w:rsidRPr="004927D7" w:rsidRDefault="00C558B0" w:rsidP="00594FAC">
      <w:pPr>
        <w:tabs>
          <w:tab w:val="left" w:pos="6540"/>
        </w:tabs>
        <w:spacing w:line="360" w:lineRule="auto"/>
        <w:rPr>
          <w:rFonts w:ascii="Arial" w:hAnsi="Arial" w:cs="Arial"/>
          <w:sz w:val="28"/>
          <w:szCs w:val="28"/>
        </w:rPr>
      </w:pPr>
      <w:r w:rsidRPr="004927D7">
        <w:rPr>
          <w:rFonts w:ascii="Arial" w:hAnsi="Arial" w:cs="Arial"/>
          <w:b/>
          <w:bCs/>
          <w:sz w:val="28"/>
          <w:szCs w:val="28"/>
        </w:rPr>
        <w:t>Student ID</w:t>
      </w:r>
      <w:r w:rsidRPr="004927D7">
        <w:rPr>
          <w:rFonts w:ascii="Arial" w:hAnsi="Arial" w:cs="Arial"/>
          <w:sz w:val="28"/>
          <w:szCs w:val="28"/>
        </w:rPr>
        <w:t>:</w:t>
      </w:r>
      <w:r w:rsidR="004D48B9">
        <w:rPr>
          <w:rFonts w:ascii="Arial" w:hAnsi="Arial" w:cs="Arial"/>
          <w:sz w:val="28"/>
          <w:szCs w:val="28"/>
        </w:rPr>
        <w:t xml:space="preserve"> </w:t>
      </w:r>
      <w:r w:rsidR="004D48B9" w:rsidRPr="004D48B9">
        <w:rPr>
          <w:rFonts w:ascii="Arial" w:hAnsi="Arial" w:cs="Arial"/>
          <w:b/>
          <w:bCs/>
          <w:sz w:val="28"/>
          <w:szCs w:val="28"/>
        </w:rPr>
        <w:t>2515168</w:t>
      </w:r>
    </w:p>
    <w:p w14:paraId="4654C81C" w14:textId="77777777" w:rsidR="00C558B0" w:rsidRPr="004927D7" w:rsidRDefault="00C558B0" w:rsidP="00594FAC">
      <w:pPr>
        <w:tabs>
          <w:tab w:val="left" w:pos="6540"/>
        </w:tabs>
        <w:spacing w:line="360" w:lineRule="auto"/>
        <w:rPr>
          <w:rFonts w:ascii="Arial" w:hAnsi="Arial" w:cs="Arial"/>
          <w:sz w:val="28"/>
          <w:szCs w:val="28"/>
        </w:rPr>
      </w:pPr>
    </w:p>
    <w:p w14:paraId="3D8DA301" w14:textId="0D9F4626" w:rsidR="00C558B0" w:rsidRPr="004927D7" w:rsidRDefault="00C558B0" w:rsidP="00594FAC">
      <w:pPr>
        <w:tabs>
          <w:tab w:val="left" w:pos="6540"/>
        </w:tabs>
        <w:spacing w:line="360" w:lineRule="auto"/>
        <w:rPr>
          <w:rFonts w:ascii="Arial" w:hAnsi="Arial" w:cs="Arial"/>
          <w:b/>
          <w:bCs/>
          <w:sz w:val="28"/>
          <w:szCs w:val="28"/>
        </w:rPr>
      </w:pPr>
      <w:r w:rsidRPr="004927D7">
        <w:rPr>
          <w:rFonts w:ascii="Arial" w:hAnsi="Arial" w:cs="Arial"/>
          <w:b/>
          <w:bCs/>
          <w:sz w:val="28"/>
          <w:szCs w:val="28"/>
        </w:rPr>
        <w:t>Module name</w:t>
      </w:r>
      <w:r w:rsidRPr="004927D7">
        <w:rPr>
          <w:rFonts w:ascii="Arial" w:hAnsi="Arial" w:cs="Arial"/>
          <w:sz w:val="28"/>
          <w:szCs w:val="28"/>
        </w:rPr>
        <w:t xml:space="preserve">: </w:t>
      </w:r>
      <w:r w:rsidR="00887FBB" w:rsidRPr="004927D7">
        <w:rPr>
          <w:rFonts w:ascii="Arial" w:hAnsi="Arial" w:cs="Arial"/>
          <w:b/>
          <w:bCs/>
          <w:sz w:val="28"/>
          <w:szCs w:val="28"/>
        </w:rPr>
        <w:t>Principles of Health and Social Care Practice</w:t>
      </w:r>
    </w:p>
    <w:p w14:paraId="3E48CEF6" w14:textId="34265016" w:rsidR="00887FBB" w:rsidRPr="004927D7" w:rsidRDefault="00887FBB" w:rsidP="00594FAC">
      <w:pPr>
        <w:tabs>
          <w:tab w:val="left" w:pos="6540"/>
        </w:tabs>
        <w:spacing w:line="360" w:lineRule="auto"/>
        <w:rPr>
          <w:rFonts w:ascii="Arial" w:hAnsi="Arial" w:cs="Arial"/>
          <w:sz w:val="28"/>
          <w:szCs w:val="28"/>
        </w:rPr>
      </w:pPr>
      <w:r w:rsidRPr="004927D7">
        <w:rPr>
          <w:rFonts w:ascii="Arial" w:hAnsi="Arial" w:cs="Arial"/>
          <w:b/>
          <w:bCs/>
          <w:sz w:val="28"/>
          <w:szCs w:val="28"/>
        </w:rPr>
        <w:t>Component: 1</w:t>
      </w:r>
    </w:p>
    <w:p w14:paraId="7DB3261D" w14:textId="54EA5EAC" w:rsidR="00C558B0" w:rsidRPr="004927D7" w:rsidRDefault="00C558B0" w:rsidP="00594FAC">
      <w:pPr>
        <w:tabs>
          <w:tab w:val="left" w:pos="6540"/>
        </w:tabs>
        <w:spacing w:line="360" w:lineRule="auto"/>
        <w:rPr>
          <w:rFonts w:ascii="Arial" w:hAnsi="Arial" w:cs="Arial"/>
          <w:sz w:val="28"/>
          <w:szCs w:val="28"/>
        </w:rPr>
      </w:pPr>
      <w:r w:rsidRPr="004927D7">
        <w:rPr>
          <w:rFonts w:ascii="Arial" w:hAnsi="Arial" w:cs="Arial"/>
          <w:b/>
          <w:bCs/>
          <w:sz w:val="28"/>
          <w:szCs w:val="28"/>
        </w:rPr>
        <w:t>Module code</w:t>
      </w:r>
      <w:r w:rsidRPr="004927D7">
        <w:rPr>
          <w:rFonts w:ascii="Arial" w:hAnsi="Arial" w:cs="Arial"/>
          <w:sz w:val="28"/>
          <w:szCs w:val="28"/>
        </w:rPr>
        <w:t>:</w:t>
      </w:r>
      <w:r w:rsidR="00887FBB" w:rsidRPr="004927D7">
        <w:rPr>
          <w:rFonts w:ascii="Arial" w:hAnsi="Arial" w:cs="Arial"/>
          <w:sz w:val="28"/>
          <w:szCs w:val="28"/>
        </w:rPr>
        <w:t xml:space="preserve"> </w:t>
      </w:r>
      <w:r w:rsidR="00887FBB" w:rsidRPr="004927D7">
        <w:rPr>
          <w:rFonts w:ascii="Arial" w:hAnsi="Arial" w:cs="Arial"/>
          <w:b/>
          <w:bCs/>
          <w:sz w:val="28"/>
          <w:szCs w:val="28"/>
        </w:rPr>
        <w:t xml:space="preserve">BMHP5016 </w:t>
      </w:r>
    </w:p>
    <w:p w14:paraId="5CCA350C" w14:textId="65A7CC1D" w:rsidR="00C558B0" w:rsidRPr="004D48B9" w:rsidRDefault="00C558B0" w:rsidP="00594FAC">
      <w:pPr>
        <w:tabs>
          <w:tab w:val="left" w:pos="6540"/>
        </w:tabs>
        <w:spacing w:line="360" w:lineRule="auto"/>
        <w:rPr>
          <w:rFonts w:ascii="Arial" w:hAnsi="Arial" w:cs="Arial"/>
          <w:b/>
          <w:bCs/>
          <w:sz w:val="28"/>
          <w:szCs w:val="28"/>
        </w:rPr>
      </w:pPr>
      <w:r w:rsidRPr="004927D7">
        <w:rPr>
          <w:rFonts w:ascii="Arial" w:hAnsi="Arial" w:cs="Arial"/>
          <w:b/>
          <w:bCs/>
          <w:sz w:val="28"/>
          <w:szCs w:val="28"/>
        </w:rPr>
        <w:t>Lecturer name</w:t>
      </w:r>
      <w:r w:rsidRPr="004927D7">
        <w:rPr>
          <w:rFonts w:ascii="Arial" w:hAnsi="Arial" w:cs="Arial"/>
          <w:sz w:val="28"/>
          <w:szCs w:val="28"/>
        </w:rPr>
        <w:t>:</w:t>
      </w:r>
      <w:r w:rsidR="004D48B9">
        <w:rPr>
          <w:rFonts w:ascii="Arial" w:hAnsi="Arial" w:cs="Arial"/>
          <w:sz w:val="28"/>
          <w:szCs w:val="28"/>
        </w:rPr>
        <w:t xml:space="preserve"> </w:t>
      </w:r>
      <w:r w:rsidR="004D48B9" w:rsidRPr="004D48B9">
        <w:rPr>
          <w:rFonts w:ascii="Arial" w:hAnsi="Arial" w:cs="Arial"/>
          <w:b/>
          <w:bCs/>
          <w:sz w:val="28"/>
          <w:szCs w:val="28"/>
        </w:rPr>
        <w:t>Muhammed Khan</w:t>
      </w:r>
    </w:p>
    <w:p w14:paraId="5461F9C8" w14:textId="77777777" w:rsidR="00C558B0" w:rsidRPr="004927D7" w:rsidRDefault="00C558B0" w:rsidP="00594FAC">
      <w:pPr>
        <w:tabs>
          <w:tab w:val="left" w:pos="6540"/>
        </w:tabs>
        <w:spacing w:line="360" w:lineRule="auto"/>
        <w:rPr>
          <w:rFonts w:ascii="Arial" w:hAnsi="Arial" w:cs="Arial"/>
          <w:sz w:val="28"/>
          <w:szCs w:val="28"/>
        </w:rPr>
      </w:pPr>
    </w:p>
    <w:p w14:paraId="79C715ED" w14:textId="16914D07" w:rsidR="006D2F2D" w:rsidRPr="004927D7" w:rsidRDefault="006D2F2D" w:rsidP="00594FAC">
      <w:pPr>
        <w:spacing w:line="360" w:lineRule="auto"/>
        <w:rPr>
          <w:rFonts w:ascii="Arial" w:hAnsi="Arial" w:cs="Arial"/>
        </w:rPr>
      </w:pPr>
      <w:r w:rsidRPr="004927D7">
        <w:rPr>
          <w:rFonts w:ascii="Arial" w:hAnsi="Arial" w:cs="Arial"/>
        </w:rPr>
        <w:br w:type="page"/>
      </w:r>
    </w:p>
    <w:p w14:paraId="7D982AD5" w14:textId="77777777" w:rsidR="00780457" w:rsidRDefault="00780457" w:rsidP="00594FAC">
      <w:pPr>
        <w:spacing w:line="360" w:lineRule="auto"/>
        <w:rPr>
          <w:rFonts w:ascii="Arial" w:hAnsi="Arial" w:cs="Arial"/>
          <w:b/>
          <w:bCs/>
        </w:rPr>
      </w:pPr>
    </w:p>
    <w:p w14:paraId="6CCC1627" w14:textId="77777777" w:rsidR="00780457" w:rsidRDefault="00780457" w:rsidP="00594FAC">
      <w:pPr>
        <w:spacing w:line="360" w:lineRule="auto"/>
        <w:rPr>
          <w:rFonts w:ascii="Arial" w:hAnsi="Arial" w:cs="Arial"/>
          <w:b/>
          <w:bCs/>
        </w:rPr>
      </w:pPr>
    </w:p>
    <w:p w14:paraId="3CA78D0E" w14:textId="5B5EFF09" w:rsidR="00780457" w:rsidRDefault="00780457" w:rsidP="00780457">
      <w:pPr>
        <w:spacing w:line="360" w:lineRule="auto"/>
        <w:jc w:val="center"/>
        <w:rPr>
          <w:rFonts w:ascii="Arial" w:hAnsi="Arial" w:cs="Arial"/>
          <w:b/>
          <w:bCs/>
          <w:sz w:val="28"/>
          <w:szCs w:val="28"/>
        </w:rPr>
      </w:pPr>
      <w:r w:rsidRPr="00780457">
        <w:rPr>
          <w:rFonts w:ascii="Arial" w:hAnsi="Arial" w:cs="Arial"/>
          <w:b/>
          <w:bCs/>
          <w:sz w:val="28"/>
          <w:szCs w:val="28"/>
        </w:rPr>
        <w:t>Reflective Report</w:t>
      </w:r>
    </w:p>
    <w:p w14:paraId="79DA37A5" w14:textId="77777777" w:rsidR="00780457" w:rsidRPr="00780457" w:rsidRDefault="00780457" w:rsidP="00780457">
      <w:pPr>
        <w:spacing w:line="360" w:lineRule="auto"/>
        <w:jc w:val="center"/>
        <w:rPr>
          <w:rFonts w:ascii="Arial" w:hAnsi="Arial" w:cs="Arial"/>
          <w:b/>
          <w:bCs/>
          <w:sz w:val="28"/>
          <w:szCs w:val="28"/>
        </w:rPr>
      </w:pPr>
    </w:p>
    <w:p w14:paraId="2A7F13CF" w14:textId="77777777" w:rsidR="00780457" w:rsidRDefault="00780457" w:rsidP="00594FAC">
      <w:pPr>
        <w:spacing w:line="360" w:lineRule="auto"/>
        <w:rPr>
          <w:rFonts w:ascii="Arial" w:hAnsi="Arial" w:cs="Arial"/>
          <w:b/>
          <w:bCs/>
        </w:rPr>
      </w:pPr>
    </w:p>
    <w:p w14:paraId="2BB1CE40" w14:textId="02DB19F2" w:rsidR="00B21FE6" w:rsidRPr="004927D7" w:rsidRDefault="00B21FE6" w:rsidP="00594FAC">
      <w:pPr>
        <w:spacing w:line="360" w:lineRule="auto"/>
        <w:rPr>
          <w:rFonts w:ascii="Arial" w:hAnsi="Arial" w:cs="Arial"/>
          <w:b/>
          <w:bCs/>
        </w:rPr>
      </w:pPr>
      <w:r w:rsidRPr="004927D7">
        <w:rPr>
          <w:rFonts w:ascii="Arial" w:hAnsi="Arial" w:cs="Arial"/>
          <w:b/>
          <w:bCs/>
        </w:rPr>
        <w:t>Table of contents</w:t>
      </w:r>
    </w:p>
    <w:sdt>
      <w:sdtPr>
        <w:rPr>
          <w:rFonts w:ascii="Times New Roman" w:eastAsiaTheme="minorHAnsi" w:hAnsi="Times New Roman" w:cstheme="minorBidi"/>
          <w:color w:val="auto"/>
          <w:sz w:val="24"/>
          <w:szCs w:val="22"/>
          <w:lang w:eastAsia="en-US"/>
        </w:rPr>
        <w:id w:val="468095901"/>
        <w:docPartObj>
          <w:docPartGallery w:val="Table of Contents"/>
          <w:docPartUnique/>
        </w:docPartObj>
      </w:sdtPr>
      <w:sdtEndPr>
        <w:rPr>
          <w:b/>
          <w:bCs/>
        </w:rPr>
      </w:sdtEndPr>
      <w:sdtContent>
        <w:p w14:paraId="0B10AC4F" w14:textId="1CFB7392" w:rsidR="004F0EED" w:rsidRDefault="004F0EED">
          <w:pPr>
            <w:pStyle w:val="TOCHeading"/>
          </w:pPr>
          <w:r>
            <w:t>Contents</w:t>
          </w:r>
        </w:p>
        <w:p w14:paraId="456C7916" w14:textId="00BA04B5" w:rsidR="00780457" w:rsidRDefault="004F0EED">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43231188" w:history="1">
            <w:r w:rsidR="00780457" w:rsidRPr="00040B5C">
              <w:rPr>
                <w:rStyle w:val="Hyperlink"/>
                <w:noProof/>
              </w:rPr>
              <w:t>Task 1:</w:t>
            </w:r>
            <w:r w:rsidR="00780457">
              <w:rPr>
                <w:noProof/>
                <w:webHidden/>
              </w:rPr>
              <w:tab/>
            </w:r>
            <w:r w:rsidR="00780457">
              <w:rPr>
                <w:noProof/>
                <w:webHidden/>
              </w:rPr>
              <w:fldChar w:fldCharType="begin"/>
            </w:r>
            <w:r w:rsidR="00780457">
              <w:rPr>
                <w:noProof/>
                <w:webHidden/>
              </w:rPr>
              <w:instrText xml:space="preserve"> PAGEREF _Toc243231188 \h </w:instrText>
            </w:r>
            <w:r w:rsidR="00780457">
              <w:rPr>
                <w:noProof/>
                <w:webHidden/>
              </w:rPr>
            </w:r>
            <w:r w:rsidR="00780457">
              <w:rPr>
                <w:noProof/>
                <w:webHidden/>
              </w:rPr>
              <w:fldChar w:fldCharType="separate"/>
            </w:r>
            <w:r w:rsidR="00780457">
              <w:rPr>
                <w:noProof/>
                <w:webHidden/>
              </w:rPr>
              <w:t>3</w:t>
            </w:r>
            <w:r w:rsidR="00780457">
              <w:rPr>
                <w:noProof/>
                <w:webHidden/>
              </w:rPr>
              <w:fldChar w:fldCharType="end"/>
            </w:r>
          </w:hyperlink>
        </w:p>
        <w:p w14:paraId="6D6E1176" w14:textId="443C9B7A" w:rsidR="00780457" w:rsidRDefault="0078045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3231189" w:history="1">
            <w:r w:rsidRPr="00040B5C">
              <w:rPr>
                <w:rStyle w:val="Hyperlink"/>
                <w:noProof/>
              </w:rPr>
              <w:t>Task 2:</w:t>
            </w:r>
            <w:r>
              <w:rPr>
                <w:noProof/>
                <w:webHidden/>
              </w:rPr>
              <w:tab/>
            </w:r>
            <w:r>
              <w:rPr>
                <w:noProof/>
                <w:webHidden/>
              </w:rPr>
              <w:fldChar w:fldCharType="begin"/>
            </w:r>
            <w:r>
              <w:rPr>
                <w:noProof/>
                <w:webHidden/>
              </w:rPr>
              <w:instrText xml:space="preserve"> PAGEREF _Toc243231189 \h </w:instrText>
            </w:r>
            <w:r>
              <w:rPr>
                <w:noProof/>
                <w:webHidden/>
              </w:rPr>
            </w:r>
            <w:r>
              <w:rPr>
                <w:noProof/>
                <w:webHidden/>
              </w:rPr>
              <w:fldChar w:fldCharType="separate"/>
            </w:r>
            <w:r>
              <w:rPr>
                <w:noProof/>
                <w:webHidden/>
              </w:rPr>
              <w:t>4</w:t>
            </w:r>
            <w:r>
              <w:rPr>
                <w:noProof/>
                <w:webHidden/>
              </w:rPr>
              <w:fldChar w:fldCharType="end"/>
            </w:r>
          </w:hyperlink>
        </w:p>
        <w:p w14:paraId="32A0DF38" w14:textId="0DD46827" w:rsidR="00780457" w:rsidRDefault="0078045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3231190" w:history="1">
            <w:r w:rsidRPr="00040B5C">
              <w:rPr>
                <w:rStyle w:val="Hyperlink"/>
                <w:noProof/>
              </w:rPr>
              <w:t>Task 3:</w:t>
            </w:r>
            <w:r>
              <w:rPr>
                <w:noProof/>
                <w:webHidden/>
              </w:rPr>
              <w:tab/>
            </w:r>
            <w:r>
              <w:rPr>
                <w:noProof/>
                <w:webHidden/>
              </w:rPr>
              <w:fldChar w:fldCharType="begin"/>
            </w:r>
            <w:r>
              <w:rPr>
                <w:noProof/>
                <w:webHidden/>
              </w:rPr>
              <w:instrText xml:space="preserve"> PAGEREF _Toc243231190 \h </w:instrText>
            </w:r>
            <w:r>
              <w:rPr>
                <w:noProof/>
                <w:webHidden/>
              </w:rPr>
            </w:r>
            <w:r>
              <w:rPr>
                <w:noProof/>
                <w:webHidden/>
              </w:rPr>
              <w:fldChar w:fldCharType="separate"/>
            </w:r>
            <w:r>
              <w:rPr>
                <w:noProof/>
                <w:webHidden/>
              </w:rPr>
              <w:t>6</w:t>
            </w:r>
            <w:r>
              <w:rPr>
                <w:noProof/>
                <w:webHidden/>
              </w:rPr>
              <w:fldChar w:fldCharType="end"/>
            </w:r>
          </w:hyperlink>
        </w:p>
        <w:p w14:paraId="60A02ADA" w14:textId="774DE462" w:rsidR="00780457" w:rsidRDefault="0078045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3231191" w:history="1">
            <w:r w:rsidRPr="00040B5C">
              <w:rPr>
                <w:rStyle w:val="Hyperlink"/>
                <w:noProof/>
              </w:rPr>
              <w:t>Conclusion</w:t>
            </w:r>
            <w:r>
              <w:rPr>
                <w:noProof/>
                <w:webHidden/>
              </w:rPr>
              <w:tab/>
            </w:r>
            <w:r>
              <w:rPr>
                <w:noProof/>
                <w:webHidden/>
              </w:rPr>
              <w:fldChar w:fldCharType="begin"/>
            </w:r>
            <w:r>
              <w:rPr>
                <w:noProof/>
                <w:webHidden/>
              </w:rPr>
              <w:instrText xml:space="preserve"> PAGEREF _Toc243231191 \h </w:instrText>
            </w:r>
            <w:r>
              <w:rPr>
                <w:noProof/>
                <w:webHidden/>
              </w:rPr>
            </w:r>
            <w:r>
              <w:rPr>
                <w:noProof/>
                <w:webHidden/>
              </w:rPr>
              <w:fldChar w:fldCharType="separate"/>
            </w:r>
            <w:r>
              <w:rPr>
                <w:noProof/>
                <w:webHidden/>
              </w:rPr>
              <w:t>8</w:t>
            </w:r>
            <w:r>
              <w:rPr>
                <w:noProof/>
                <w:webHidden/>
              </w:rPr>
              <w:fldChar w:fldCharType="end"/>
            </w:r>
          </w:hyperlink>
        </w:p>
        <w:p w14:paraId="7B98E048" w14:textId="5AAD3C33" w:rsidR="00780457" w:rsidRDefault="00780457">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43231192" w:history="1">
            <w:r w:rsidRPr="00040B5C">
              <w:rPr>
                <w:rStyle w:val="Hyperlink"/>
                <w:noProof/>
              </w:rPr>
              <w:t>References</w:t>
            </w:r>
            <w:r>
              <w:rPr>
                <w:noProof/>
                <w:webHidden/>
              </w:rPr>
              <w:tab/>
            </w:r>
            <w:r>
              <w:rPr>
                <w:noProof/>
                <w:webHidden/>
              </w:rPr>
              <w:fldChar w:fldCharType="begin"/>
            </w:r>
            <w:r>
              <w:rPr>
                <w:noProof/>
                <w:webHidden/>
              </w:rPr>
              <w:instrText xml:space="preserve"> PAGEREF _Toc243231192 \h </w:instrText>
            </w:r>
            <w:r>
              <w:rPr>
                <w:noProof/>
                <w:webHidden/>
              </w:rPr>
            </w:r>
            <w:r>
              <w:rPr>
                <w:noProof/>
                <w:webHidden/>
              </w:rPr>
              <w:fldChar w:fldCharType="separate"/>
            </w:r>
            <w:r>
              <w:rPr>
                <w:noProof/>
                <w:webHidden/>
              </w:rPr>
              <w:t>9</w:t>
            </w:r>
            <w:r>
              <w:rPr>
                <w:noProof/>
                <w:webHidden/>
              </w:rPr>
              <w:fldChar w:fldCharType="end"/>
            </w:r>
          </w:hyperlink>
        </w:p>
        <w:p w14:paraId="19AF1C6E" w14:textId="32E12A5C" w:rsidR="004F0EED" w:rsidRDefault="004F0EED">
          <w:r>
            <w:rPr>
              <w:b/>
              <w:bCs/>
            </w:rPr>
            <w:fldChar w:fldCharType="end"/>
          </w:r>
        </w:p>
      </w:sdtContent>
    </w:sdt>
    <w:p w14:paraId="529D6F14" w14:textId="77777777" w:rsidR="00B21FE6" w:rsidRPr="004927D7" w:rsidRDefault="00B21FE6" w:rsidP="00594FAC">
      <w:pPr>
        <w:spacing w:line="360" w:lineRule="auto"/>
        <w:rPr>
          <w:rFonts w:ascii="Arial" w:hAnsi="Arial" w:cs="Arial"/>
          <w:sz w:val="22"/>
        </w:rPr>
      </w:pPr>
    </w:p>
    <w:p w14:paraId="327B4649" w14:textId="77777777" w:rsidR="00B21FE6" w:rsidRPr="004927D7" w:rsidRDefault="00B21FE6" w:rsidP="00594FAC">
      <w:pPr>
        <w:spacing w:line="360" w:lineRule="auto"/>
        <w:rPr>
          <w:rFonts w:ascii="Arial" w:hAnsi="Arial" w:cs="Arial"/>
          <w:sz w:val="22"/>
        </w:rPr>
      </w:pPr>
    </w:p>
    <w:p w14:paraId="388A7857" w14:textId="77777777" w:rsidR="00B21FE6" w:rsidRPr="004927D7" w:rsidRDefault="00B21FE6" w:rsidP="00594FAC">
      <w:pPr>
        <w:spacing w:line="360" w:lineRule="auto"/>
        <w:rPr>
          <w:rFonts w:ascii="Arial" w:hAnsi="Arial" w:cs="Arial"/>
          <w:sz w:val="22"/>
        </w:rPr>
      </w:pPr>
    </w:p>
    <w:p w14:paraId="7381AAD5" w14:textId="77777777" w:rsidR="00B21FE6" w:rsidRPr="004927D7" w:rsidRDefault="00B21FE6" w:rsidP="00594FAC">
      <w:pPr>
        <w:spacing w:line="360" w:lineRule="auto"/>
        <w:rPr>
          <w:rFonts w:ascii="Arial" w:hAnsi="Arial" w:cs="Arial"/>
          <w:sz w:val="22"/>
        </w:rPr>
      </w:pPr>
    </w:p>
    <w:p w14:paraId="6498F677" w14:textId="5B3425DF" w:rsidR="00B21FE6" w:rsidRPr="004927D7" w:rsidRDefault="00B21FE6" w:rsidP="00594FAC">
      <w:pPr>
        <w:spacing w:line="360" w:lineRule="auto"/>
        <w:rPr>
          <w:rFonts w:ascii="Arial" w:hAnsi="Arial" w:cs="Arial"/>
          <w:sz w:val="22"/>
        </w:rPr>
      </w:pPr>
      <w:r w:rsidRPr="004927D7">
        <w:rPr>
          <w:rFonts w:ascii="Arial" w:hAnsi="Arial" w:cs="Arial"/>
          <w:sz w:val="22"/>
        </w:rPr>
        <w:br w:type="page"/>
      </w:r>
    </w:p>
    <w:p w14:paraId="52B5E487" w14:textId="77777777" w:rsidR="00A11336" w:rsidRPr="004927D7" w:rsidRDefault="00A11336" w:rsidP="004F0EED">
      <w:pPr>
        <w:pStyle w:val="Heading1"/>
      </w:pPr>
      <w:bookmarkStart w:id="0" w:name="_Toc243231188"/>
      <w:r w:rsidRPr="004927D7">
        <w:lastRenderedPageBreak/>
        <w:t>Task 1:</w:t>
      </w:r>
      <w:bookmarkEnd w:id="0"/>
      <w:r w:rsidRPr="004927D7">
        <w:t xml:space="preserve"> </w:t>
      </w:r>
    </w:p>
    <w:p w14:paraId="7B552F52" w14:textId="6B8E9BB2" w:rsidR="004927D7" w:rsidRPr="004927D7" w:rsidRDefault="004927D7" w:rsidP="004927D7">
      <w:pPr>
        <w:spacing w:after="0" w:line="360" w:lineRule="auto"/>
        <w:rPr>
          <w:rFonts w:ascii="Arial" w:eastAsia="Arial" w:hAnsi="Arial" w:cs="Arial"/>
          <w:szCs w:val="24"/>
        </w:rPr>
      </w:pPr>
      <w:r w:rsidRPr="004927D7">
        <w:rPr>
          <w:rFonts w:ascii="Arial" w:eastAsia="Arial" w:hAnsi="Arial" w:cs="Arial"/>
          <w:szCs w:val="24"/>
        </w:rPr>
        <w:t xml:space="preserve">Person-centred care, partnership working and ethics are three of the most </w:t>
      </w:r>
      <w:r>
        <w:rPr>
          <w:rFonts w:ascii="Arial" w:eastAsia="Arial" w:hAnsi="Arial" w:cs="Arial"/>
          <w:szCs w:val="24"/>
        </w:rPr>
        <w:t>important</w:t>
      </w:r>
      <w:r w:rsidRPr="004927D7">
        <w:rPr>
          <w:rFonts w:ascii="Arial" w:eastAsia="Arial" w:hAnsi="Arial" w:cs="Arial"/>
          <w:szCs w:val="24"/>
        </w:rPr>
        <w:t xml:space="preserve"> principles of high-quality health and social care provided in the UK. They are supported by legislative acts, codes of practice and day-to-day operations aimed at ensuring safety, effectiveness and respect for the service users.</w:t>
      </w:r>
    </w:p>
    <w:p w14:paraId="0E0565D6" w14:textId="77777777" w:rsidR="004927D7" w:rsidRPr="004927D7" w:rsidRDefault="004927D7" w:rsidP="004927D7">
      <w:pPr>
        <w:spacing w:after="0" w:line="360" w:lineRule="auto"/>
        <w:rPr>
          <w:rFonts w:ascii="Arial" w:eastAsia="Arial" w:hAnsi="Arial" w:cs="Arial"/>
          <w:szCs w:val="24"/>
        </w:rPr>
      </w:pPr>
    </w:p>
    <w:p w14:paraId="00207EC4" w14:textId="5406C730" w:rsidR="004927D7" w:rsidRPr="004927D7" w:rsidRDefault="004927D7" w:rsidP="004927D7">
      <w:pPr>
        <w:spacing w:after="0" w:line="360" w:lineRule="auto"/>
        <w:rPr>
          <w:rFonts w:ascii="Arial" w:eastAsia="Arial" w:hAnsi="Arial" w:cs="Arial"/>
          <w:szCs w:val="24"/>
        </w:rPr>
      </w:pPr>
      <w:r w:rsidRPr="004927D7">
        <w:rPr>
          <w:rFonts w:ascii="Arial" w:eastAsia="Arial" w:hAnsi="Arial" w:cs="Arial"/>
          <w:szCs w:val="24"/>
        </w:rPr>
        <w:t>Person-centred care (PCC) is a concept that prioriti</w:t>
      </w:r>
      <w:r w:rsidR="008E30AF">
        <w:rPr>
          <w:rFonts w:ascii="Arial" w:eastAsia="Arial" w:hAnsi="Arial" w:cs="Arial"/>
          <w:szCs w:val="24"/>
        </w:rPr>
        <w:t>s</w:t>
      </w:r>
      <w:r w:rsidRPr="004927D7">
        <w:rPr>
          <w:rFonts w:ascii="Arial" w:eastAsia="Arial" w:hAnsi="Arial" w:cs="Arial"/>
          <w:szCs w:val="24"/>
        </w:rPr>
        <w:t xml:space="preserve">es patients’ interests by </w:t>
      </w:r>
      <w:r>
        <w:rPr>
          <w:rFonts w:ascii="Arial" w:eastAsia="Arial" w:hAnsi="Arial" w:cs="Arial"/>
          <w:szCs w:val="24"/>
        </w:rPr>
        <w:t>viewing</w:t>
      </w:r>
      <w:r w:rsidRPr="004927D7">
        <w:rPr>
          <w:rFonts w:ascii="Arial" w:eastAsia="Arial" w:hAnsi="Arial" w:cs="Arial"/>
          <w:szCs w:val="24"/>
        </w:rPr>
        <w:t xml:space="preserve"> them as active participants in the care process rather than </w:t>
      </w:r>
      <w:r>
        <w:rPr>
          <w:rFonts w:ascii="Arial" w:eastAsia="Arial" w:hAnsi="Arial" w:cs="Arial"/>
          <w:szCs w:val="24"/>
        </w:rPr>
        <w:t xml:space="preserve">just </w:t>
      </w:r>
      <w:r w:rsidRPr="004927D7">
        <w:rPr>
          <w:rFonts w:ascii="Arial" w:eastAsia="Arial" w:hAnsi="Arial" w:cs="Arial"/>
          <w:szCs w:val="24"/>
        </w:rPr>
        <w:t xml:space="preserve">recipients of services (Health Foundation, 2016). Its importance in the UK cannot be understated: implementing </w:t>
      </w:r>
      <w:r w:rsidR="008E30AF">
        <w:rPr>
          <w:rFonts w:ascii="Arial" w:eastAsia="Arial" w:hAnsi="Arial" w:cs="Arial"/>
          <w:szCs w:val="24"/>
        </w:rPr>
        <w:t>PCC</w:t>
      </w:r>
      <w:r w:rsidRPr="004927D7">
        <w:rPr>
          <w:rFonts w:ascii="Arial" w:eastAsia="Arial" w:hAnsi="Arial" w:cs="Arial"/>
          <w:szCs w:val="24"/>
        </w:rPr>
        <w:t xml:space="preserve"> as a policy helps provide high-quality and cost-effective health services. In other words, PCC challenges the traditional medical model, in which patients are viewed as “diagnostic entities,” and replaces it with a biopsychosocial approach (Ryder, 2017). The latter is focused on delivering care in accordance with Maslow’s need hierarchy theory (1943), which states that people have three types of needs: physiological, safety and psychological needs. Traditional medical care attends mainly to the first two types of needs, whereas PCC goes further a</w:t>
      </w:r>
      <w:r w:rsidR="008E30AF">
        <w:rPr>
          <w:rFonts w:ascii="Arial" w:eastAsia="Arial" w:hAnsi="Arial" w:cs="Arial"/>
          <w:szCs w:val="24"/>
        </w:rPr>
        <w:t>dditionally</w:t>
      </w:r>
      <w:r w:rsidRPr="004927D7">
        <w:rPr>
          <w:rFonts w:ascii="Arial" w:eastAsia="Arial" w:hAnsi="Arial" w:cs="Arial"/>
          <w:szCs w:val="24"/>
        </w:rPr>
        <w:t xml:space="preserve"> attempt</w:t>
      </w:r>
      <w:r w:rsidR="008E30AF">
        <w:rPr>
          <w:rFonts w:ascii="Arial" w:eastAsia="Arial" w:hAnsi="Arial" w:cs="Arial"/>
          <w:szCs w:val="24"/>
        </w:rPr>
        <w:t>ing</w:t>
      </w:r>
      <w:r w:rsidRPr="004927D7">
        <w:rPr>
          <w:rFonts w:ascii="Arial" w:eastAsia="Arial" w:hAnsi="Arial" w:cs="Arial"/>
          <w:szCs w:val="24"/>
        </w:rPr>
        <w:t xml:space="preserve"> to address individuals’ psychological needs. Doing so helps achieve better treatment and patient satisfaction, leading to improved health outcomes.</w:t>
      </w:r>
    </w:p>
    <w:p w14:paraId="79ABC545" w14:textId="77777777" w:rsidR="004927D7" w:rsidRPr="004927D7" w:rsidRDefault="004927D7" w:rsidP="004927D7">
      <w:pPr>
        <w:spacing w:after="0" w:line="360" w:lineRule="auto"/>
        <w:rPr>
          <w:rFonts w:ascii="Arial" w:eastAsia="Arial" w:hAnsi="Arial" w:cs="Arial"/>
          <w:szCs w:val="24"/>
        </w:rPr>
      </w:pPr>
    </w:p>
    <w:p w14:paraId="4DBBDE61" w14:textId="40EEA0A0" w:rsidR="004927D7" w:rsidRPr="004927D7" w:rsidRDefault="004927D7" w:rsidP="004927D7">
      <w:pPr>
        <w:spacing w:after="0" w:line="360" w:lineRule="auto"/>
        <w:rPr>
          <w:rFonts w:ascii="Arial" w:eastAsia="Arial" w:hAnsi="Arial" w:cs="Arial"/>
          <w:szCs w:val="24"/>
        </w:rPr>
      </w:pPr>
      <w:r w:rsidRPr="004927D7">
        <w:rPr>
          <w:rFonts w:ascii="Arial" w:eastAsia="Arial" w:hAnsi="Arial" w:cs="Arial"/>
          <w:szCs w:val="24"/>
        </w:rPr>
        <w:t>Partnership working refers to collaboration between multidisciplinary teams working in the field of health and social care, which include doctors, nurses, social workers, allied health professionals and patients (SCIE, 2020). It is a must in the current healthcare environment, in which the aging of the population and an increase in the number of people with multiple long-term conditions put</w:t>
      </w:r>
      <w:r w:rsidR="008E30AF">
        <w:rPr>
          <w:rFonts w:ascii="Arial" w:eastAsia="Arial" w:hAnsi="Arial" w:cs="Arial"/>
          <w:szCs w:val="24"/>
        </w:rPr>
        <w:t>s</w:t>
      </w:r>
      <w:r w:rsidRPr="004927D7">
        <w:rPr>
          <w:rFonts w:ascii="Arial" w:eastAsia="Arial" w:hAnsi="Arial" w:cs="Arial"/>
          <w:szCs w:val="24"/>
        </w:rPr>
        <w:t xml:space="preserve"> huge strain</w:t>
      </w:r>
      <w:r w:rsidR="008E30AF">
        <w:rPr>
          <w:rFonts w:ascii="Arial" w:eastAsia="Arial" w:hAnsi="Arial" w:cs="Arial"/>
          <w:szCs w:val="24"/>
        </w:rPr>
        <w:t>s</w:t>
      </w:r>
      <w:r w:rsidRPr="004927D7">
        <w:rPr>
          <w:rFonts w:ascii="Arial" w:eastAsia="Arial" w:hAnsi="Arial" w:cs="Arial"/>
          <w:szCs w:val="24"/>
        </w:rPr>
        <w:t xml:space="preserve"> on the system (DHSC, 2019). Effective partnership working helps prevent adverse events, reduce</w:t>
      </w:r>
      <w:r w:rsidR="008E30AF">
        <w:rPr>
          <w:rFonts w:ascii="Arial" w:eastAsia="Arial" w:hAnsi="Arial" w:cs="Arial"/>
          <w:szCs w:val="24"/>
        </w:rPr>
        <w:t>s</w:t>
      </w:r>
      <w:r w:rsidRPr="004927D7">
        <w:rPr>
          <w:rFonts w:ascii="Arial" w:eastAsia="Arial" w:hAnsi="Arial" w:cs="Arial"/>
          <w:szCs w:val="24"/>
        </w:rPr>
        <w:t xml:space="preserve"> hospital readmissions and ensure a smooth transition between inpatient and community care. It is also encouraged by such recent legislative acts as the Health and Care Act 2022, which promotes integrated working and created Integrated Care Systems (ICSs) across England. They hold responsibilities for ensuring that local authorities and NHS bodies work together in the patients’ interests.</w:t>
      </w:r>
    </w:p>
    <w:p w14:paraId="3B4F1045" w14:textId="77777777" w:rsidR="004927D7" w:rsidRPr="004927D7" w:rsidRDefault="004927D7" w:rsidP="004927D7">
      <w:pPr>
        <w:spacing w:after="0" w:line="360" w:lineRule="auto"/>
        <w:rPr>
          <w:rFonts w:ascii="Arial" w:eastAsia="Arial" w:hAnsi="Arial" w:cs="Arial"/>
          <w:szCs w:val="24"/>
        </w:rPr>
      </w:pPr>
    </w:p>
    <w:p w14:paraId="0E77052B" w14:textId="68AD80B9" w:rsidR="00A11336" w:rsidRPr="004927D7" w:rsidRDefault="004927D7" w:rsidP="004927D7">
      <w:pPr>
        <w:spacing w:after="0" w:line="360" w:lineRule="auto"/>
        <w:rPr>
          <w:rFonts w:ascii="Arial" w:eastAsia="Arial" w:hAnsi="Arial" w:cs="Arial"/>
          <w:szCs w:val="24"/>
        </w:rPr>
      </w:pPr>
      <w:r w:rsidRPr="004927D7">
        <w:rPr>
          <w:rFonts w:ascii="Arial" w:eastAsia="Arial" w:hAnsi="Arial" w:cs="Arial"/>
          <w:szCs w:val="24"/>
        </w:rPr>
        <w:t xml:space="preserve">Finally, ethics is the set of moral principles that guide care providers in their day-to-day practice (NHS Leadership Academy, 2016). It is particularly important in partnership working, in which NHS professionals and social workers collaborate to </w:t>
      </w:r>
      <w:r w:rsidRPr="004927D7">
        <w:rPr>
          <w:rFonts w:ascii="Arial" w:eastAsia="Arial" w:hAnsi="Arial" w:cs="Arial"/>
          <w:szCs w:val="24"/>
        </w:rPr>
        <w:lastRenderedPageBreak/>
        <w:t xml:space="preserve">deliver patient-centred care. During such collaboration, caregivers should </w:t>
      </w:r>
      <w:r w:rsidR="0095665F">
        <w:rPr>
          <w:rFonts w:ascii="Arial" w:eastAsia="Arial" w:hAnsi="Arial" w:cs="Arial"/>
          <w:szCs w:val="24"/>
        </w:rPr>
        <w:t>follow</w:t>
      </w:r>
      <w:r w:rsidRPr="004927D7">
        <w:rPr>
          <w:rFonts w:ascii="Arial" w:eastAsia="Arial" w:hAnsi="Arial" w:cs="Arial"/>
          <w:szCs w:val="24"/>
        </w:rPr>
        <w:t xml:space="preserve"> the four ethical principles of biomedical ethics developed by Beauchamp and Childress (2019): autonomy (patients’ right to make decisions regarding their care), beneficence (the duty to do or bring about good), non-maleficence (the duty not to do or cause harm) and justice (treatment and distribution of resources should be distributed fairly). For example, when an elderly patient with dementia refuses further treatment, doctors and social workers should consider his mental capacity to give informed consent in accordance with the Mental Capacity Act 2005</w:t>
      </w:r>
      <w:r w:rsidR="00DF2422">
        <w:rPr>
          <w:rFonts w:ascii="Arial" w:eastAsia="Arial" w:hAnsi="Arial" w:cs="Arial"/>
          <w:szCs w:val="24"/>
        </w:rPr>
        <w:t xml:space="preserve"> </w:t>
      </w:r>
      <w:r w:rsidR="00E428E4" w:rsidRPr="00E428E4">
        <w:rPr>
          <w:rFonts w:ascii="Arial" w:eastAsia="Arial" w:hAnsi="Arial" w:cs="Arial"/>
          <w:szCs w:val="24"/>
        </w:rPr>
        <w:t>(Department of Health and Social Care, 2005)</w:t>
      </w:r>
      <w:r w:rsidRPr="004927D7">
        <w:rPr>
          <w:rFonts w:ascii="Arial" w:eastAsia="Arial" w:hAnsi="Arial" w:cs="Arial"/>
          <w:szCs w:val="24"/>
        </w:rPr>
        <w:t>. Th</w:t>
      </w:r>
      <w:r w:rsidR="0095665F">
        <w:rPr>
          <w:rFonts w:ascii="Arial" w:eastAsia="Arial" w:hAnsi="Arial" w:cs="Arial"/>
          <w:szCs w:val="24"/>
        </w:rPr>
        <w:t>erefore</w:t>
      </w:r>
      <w:r w:rsidRPr="004927D7">
        <w:rPr>
          <w:rFonts w:ascii="Arial" w:eastAsia="Arial" w:hAnsi="Arial" w:cs="Arial"/>
          <w:szCs w:val="24"/>
        </w:rPr>
        <w:t xml:space="preserve">, collaboration between various caregivers and their ethical duty to promote patients’ interests contribute to more effective care because it </w:t>
      </w:r>
      <w:r w:rsidR="008E30AF">
        <w:rPr>
          <w:rFonts w:ascii="Arial" w:eastAsia="Arial" w:hAnsi="Arial" w:cs="Arial"/>
          <w:szCs w:val="24"/>
        </w:rPr>
        <w:t>upholds rights</w:t>
      </w:r>
      <w:r w:rsidR="008E30AF">
        <w:rPr>
          <w:rFonts w:ascii="Arial" w:eastAsia="Arial" w:hAnsi="Arial" w:cs="Arial"/>
          <w:szCs w:val="24"/>
        </w:rPr>
        <w:t xml:space="preserve"> whilst</w:t>
      </w:r>
      <w:r w:rsidR="008E30AF" w:rsidRPr="004927D7">
        <w:rPr>
          <w:rFonts w:ascii="Arial" w:eastAsia="Arial" w:hAnsi="Arial" w:cs="Arial"/>
          <w:szCs w:val="24"/>
        </w:rPr>
        <w:t xml:space="preserve"> </w:t>
      </w:r>
      <w:r w:rsidRPr="004927D7">
        <w:rPr>
          <w:rFonts w:ascii="Arial" w:eastAsia="Arial" w:hAnsi="Arial" w:cs="Arial"/>
          <w:szCs w:val="24"/>
        </w:rPr>
        <w:t>reduc</w:t>
      </w:r>
      <w:r w:rsidR="008E30AF">
        <w:rPr>
          <w:rFonts w:ascii="Arial" w:eastAsia="Arial" w:hAnsi="Arial" w:cs="Arial"/>
          <w:szCs w:val="24"/>
        </w:rPr>
        <w:t>ing</w:t>
      </w:r>
      <w:r w:rsidRPr="004927D7">
        <w:rPr>
          <w:rFonts w:ascii="Arial" w:eastAsia="Arial" w:hAnsi="Arial" w:cs="Arial"/>
          <w:szCs w:val="24"/>
        </w:rPr>
        <w:t xml:space="preserve"> the likelihood of human errors</w:t>
      </w:r>
      <w:r w:rsidR="008E30AF">
        <w:rPr>
          <w:rFonts w:ascii="Arial" w:eastAsia="Arial" w:hAnsi="Arial" w:cs="Arial"/>
          <w:szCs w:val="24"/>
        </w:rPr>
        <w:t xml:space="preserve"> </w:t>
      </w:r>
      <w:r w:rsidRPr="004927D7">
        <w:rPr>
          <w:rFonts w:ascii="Arial" w:eastAsia="Arial" w:hAnsi="Arial" w:cs="Arial"/>
          <w:szCs w:val="24"/>
        </w:rPr>
        <w:t>and the potential for mistreatment or malpractice.</w:t>
      </w:r>
    </w:p>
    <w:p w14:paraId="65EA1C74" w14:textId="77777777" w:rsidR="004927D7" w:rsidRPr="004927D7" w:rsidRDefault="004927D7" w:rsidP="004927D7">
      <w:pPr>
        <w:spacing w:after="0" w:line="360" w:lineRule="auto"/>
        <w:rPr>
          <w:rFonts w:ascii="Arial" w:eastAsia="Arial" w:hAnsi="Arial" w:cs="Arial"/>
          <w:szCs w:val="24"/>
        </w:rPr>
      </w:pPr>
    </w:p>
    <w:p w14:paraId="4047907E" w14:textId="71AF6F4A" w:rsidR="00A11336" w:rsidRPr="004927D7" w:rsidRDefault="00A11336" w:rsidP="004F0EED">
      <w:pPr>
        <w:pStyle w:val="Heading1"/>
      </w:pPr>
      <w:bookmarkStart w:id="1" w:name="_Toc243231189"/>
      <w:r w:rsidRPr="004927D7">
        <w:t>Task 2:</w:t>
      </w:r>
      <w:bookmarkEnd w:id="1"/>
      <w:r w:rsidRPr="004927D7">
        <w:t xml:space="preserve"> </w:t>
      </w:r>
    </w:p>
    <w:p w14:paraId="286C7E94" w14:textId="77777777" w:rsidR="00D80812" w:rsidRDefault="00D80812" w:rsidP="00D80812">
      <w:pPr>
        <w:spacing w:after="0" w:line="360" w:lineRule="auto"/>
        <w:rPr>
          <w:rFonts w:ascii="Arial" w:eastAsia="Arial" w:hAnsi="Arial" w:cs="Arial"/>
          <w:szCs w:val="24"/>
        </w:rPr>
      </w:pPr>
      <w:r w:rsidRPr="00D80812">
        <w:rPr>
          <w:rFonts w:ascii="Arial" w:eastAsia="Arial" w:hAnsi="Arial" w:cs="Arial"/>
          <w:szCs w:val="24"/>
        </w:rPr>
        <w:t>To demonstrate how person-centred care, partnership working, and ethics can be applied to practice, this analysis examines a published case study from NHS England’s Personalised Care evidence base (NHS, n.d.). To maintain confidentiality, the person’s name is replaced with “D”. D is a 19-year-old university student with cerebral palsy who uses a wheelchair. Applying these principles to D’s case showcases how they contribute to better health outcomes and reflect NHS efforts to address current sector challenges.</w:t>
      </w:r>
    </w:p>
    <w:p w14:paraId="1672C2DF" w14:textId="77777777" w:rsidR="00EA4D8F" w:rsidRPr="00D80812" w:rsidRDefault="00EA4D8F" w:rsidP="00D80812">
      <w:pPr>
        <w:spacing w:after="0" w:line="360" w:lineRule="auto"/>
        <w:rPr>
          <w:rFonts w:ascii="Arial" w:eastAsia="Arial" w:hAnsi="Arial" w:cs="Arial"/>
          <w:szCs w:val="24"/>
        </w:rPr>
      </w:pPr>
    </w:p>
    <w:p w14:paraId="69271CC2" w14:textId="384E3007" w:rsidR="00EA4D8F" w:rsidRDefault="00D80812" w:rsidP="00D80812">
      <w:pPr>
        <w:spacing w:after="0" w:line="360" w:lineRule="auto"/>
        <w:rPr>
          <w:rFonts w:ascii="Arial" w:eastAsia="Arial" w:hAnsi="Arial" w:cs="Arial"/>
          <w:szCs w:val="24"/>
        </w:rPr>
      </w:pPr>
      <w:r w:rsidRPr="00D80812">
        <w:rPr>
          <w:rFonts w:ascii="Arial" w:eastAsia="Arial" w:hAnsi="Arial" w:cs="Arial"/>
          <w:szCs w:val="24"/>
        </w:rPr>
        <w:t>Person-centred care is seen in D’s transition to university, where he requested a personalised support package rather than standard daily visits from carers. His preferred option was to use his Personal Health Budget (PHB) flexibly. Under the Care Act 2014</w:t>
      </w:r>
      <w:r w:rsidR="00DF2422">
        <w:rPr>
          <w:rFonts w:ascii="Arial" w:eastAsia="Arial" w:hAnsi="Arial" w:cs="Arial"/>
          <w:szCs w:val="24"/>
        </w:rPr>
        <w:t xml:space="preserve"> </w:t>
      </w:r>
      <w:r w:rsidR="00E428E4" w:rsidRPr="00E428E4">
        <w:rPr>
          <w:rFonts w:ascii="Arial" w:eastAsia="Arial" w:hAnsi="Arial" w:cs="Arial"/>
          <w:szCs w:val="24"/>
        </w:rPr>
        <w:t>(Department of Health and Social Care, 2014)</w:t>
      </w:r>
      <w:r w:rsidRPr="00D80812">
        <w:rPr>
          <w:rFonts w:ascii="Arial" w:eastAsia="Arial" w:hAnsi="Arial" w:cs="Arial"/>
          <w:szCs w:val="24"/>
        </w:rPr>
        <w:t>, making decisions in the patient's best interests and promoting wellbeing are central to care. D wanted to be independent and enjoy a normal social life. This approach reflects Carl Rogers’ person-centred theory</w:t>
      </w:r>
      <w:r w:rsidR="00DF2422">
        <w:rPr>
          <w:rFonts w:ascii="Arial" w:eastAsia="Arial" w:hAnsi="Arial" w:cs="Arial"/>
          <w:szCs w:val="24"/>
        </w:rPr>
        <w:t xml:space="preserve"> </w:t>
      </w:r>
      <w:r w:rsidR="00E428E4" w:rsidRPr="00E428E4">
        <w:rPr>
          <w:rFonts w:ascii="Arial" w:eastAsia="Arial" w:hAnsi="Arial" w:cs="Arial"/>
          <w:szCs w:val="24"/>
        </w:rPr>
        <w:t>(Health Foundation, 2016)</w:t>
      </w:r>
      <w:r w:rsidRPr="00D80812">
        <w:rPr>
          <w:rFonts w:ascii="Arial" w:eastAsia="Arial" w:hAnsi="Arial" w:cs="Arial"/>
          <w:szCs w:val="24"/>
        </w:rPr>
        <w:t xml:space="preserve">, which stresses valuing the individual and empowering them to direct their own life. By trusting D's goals, the plan went beyond the traditional view of the NHS as just a medical provider. It also applied Abraham Maslow’s hierarchy of needs by aiming to meet D's higher-level </w:t>
      </w:r>
      <w:r w:rsidRPr="00D80812">
        <w:rPr>
          <w:rFonts w:ascii="Arial" w:eastAsia="Arial" w:hAnsi="Arial" w:cs="Arial"/>
          <w:szCs w:val="24"/>
        </w:rPr>
        <w:lastRenderedPageBreak/>
        <w:t>psychological desires for belonging and independence, rather than focusing solely on his physical condition. Managing his own PHB allowed D to achieve these goals.</w:t>
      </w:r>
    </w:p>
    <w:p w14:paraId="0B376DFD" w14:textId="77777777" w:rsidR="00EA4D8F" w:rsidRDefault="00EA4D8F" w:rsidP="00D80812">
      <w:pPr>
        <w:spacing w:after="0" w:line="360" w:lineRule="auto"/>
        <w:rPr>
          <w:rFonts w:ascii="Arial" w:eastAsia="Arial" w:hAnsi="Arial" w:cs="Arial"/>
          <w:szCs w:val="24"/>
        </w:rPr>
      </w:pPr>
    </w:p>
    <w:p w14:paraId="7D653B4B" w14:textId="1234F9F3" w:rsidR="00D80812" w:rsidRDefault="00D80812" w:rsidP="00D80812">
      <w:pPr>
        <w:spacing w:after="0" w:line="360" w:lineRule="auto"/>
        <w:rPr>
          <w:rFonts w:ascii="Arial" w:eastAsia="Arial" w:hAnsi="Arial" w:cs="Arial"/>
          <w:szCs w:val="24"/>
        </w:rPr>
      </w:pPr>
      <w:r w:rsidRPr="00D80812">
        <w:rPr>
          <w:rFonts w:ascii="Arial" w:eastAsia="Arial" w:hAnsi="Arial" w:cs="Arial"/>
          <w:szCs w:val="24"/>
        </w:rPr>
        <w:t xml:space="preserve">However, this care plan required effective partnership working. Securing funding for a student with complex needs to live independently demands collaboration across multiple professional groups. Health commissioners, local authority social workers and educational support teams had to discuss D’s unique situation and jointly develop his plan. The Health and Care Act 2022 </w:t>
      </w:r>
      <w:r w:rsidR="00E428E4" w:rsidRPr="00E428E4">
        <w:rPr>
          <w:rFonts w:ascii="Arial" w:eastAsia="Arial" w:hAnsi="Arial" w:cs="Arial"/>
          <w:szCs w:val="24"/>
        </w:rPr>
        <w:t>(Department of Health and Social Care, 2022)</w:t>
      </w:r>
      <w:r w:rsidR="00DF2422" w:rsidRPr="00D80812">
        <w:rPr>
          <w:rFonts w:ascii="Arial" w:eastAsia="Arial" w:hAnsi="Arial" w:cs="Arial"/>
          <w:szCs w:val="24"/>
        </w:rPr>
        <w:t xml:space="preserve"> </w:t>
      </w:r>
      <w:r w:rsidRPr="00D80812">
        <w:rPr>
          <w:rFonts w:ascii="Arial" w:eastAsia="Arial" w:hAnsi="Arial" w:cs="Arial"/>
          <w:szCs w:val="24"/>
        </w:rPr>
        <w:t>states that professionals should share information and integrate services. Instead of doing separate assessments</w:t>
      </w:r>
      <w:r w:rsidR="00B0144D">
        <w:rPr>
          <w:rFonts w:ascii="Arial" w:eastAsia="Arial" w:hAnsi="Arial" w:cs="Arial"/>
          <w:szCs w:val="24"/>
        </w:rPr>
        <w:t>-</w:t>
      </w:r>
      <w:r w:rsidR="00DF2422">
        <w:rPr>
          <w:rFonts w:ascii="Arial" w:eastAsia="Arial" w:hAnsi="Arial" w:cs="Arial"/>
          <w:szCs w:val="24"/>
        </w:rPr>
        <w:t xml:space="preserve"> </w:t>
      </w:r>
      <w:r w:rsidRPr="00D80812">
        <w:rPr>
          <w:rFonts w:ascii="Arial" w:eastAsia="Arial" w:hAnsi="Arial" w:cs="Arial"/>
          <w:szCs w:val="24"/>
        </w:rPr>
        <w:t>which remains common practice in many NHS Trusts</w:t>
      </w:r>
      <w:r w:rsidR="00B0144D">
        <w:rPr>
          <w:rFonts w:ascii="Arial" w:eastAsia="Arial" w:hAnsi="Arial" w:cs="Arial"/>
          <w:szCs w:val="24"/>
        </w:rPr>
        <w:t xml:space="preserve">, </w:t>
      </w:r>
      <w:r w:rsidRPr="00D80812">
        <w:rPr>
          <w:rFonts w:ascii="Arial" w:eastAsia="Arial" w:hAnsi="Arial" w:cs="Arial"/>
          <w:szCs w:val="24"/>
        </w:rPr>
        <w:t>a multidisciplinary team worked together to find a funding option that suited D’s financial skills and health needs. This interdisciplinary teamwork aligns with current UK efforts to bridge the gap between health and social care. Working together was essential to achieve a shared vision of supporting D to live independently. This coordinated effort removed the administrative barriers that often prevent young adults with disabilities from thriving, ensuring his transition was seamless.</w:t>
      </w:r>
    </w:p>
    <w:p w14:paraId="608CCD1B" w14:textId="77777777" w:rsidR="00EA4D8F" w:rsidRPr="00D80812" w:rsidRDefault="00EA4D8F" w:rsidP="00D80812">
      <w:pPr>
        <w:spacing w:after="0" w:line="360" w:lineRule="auto"/>
        <w:rPr>
          <w:rFonts w:ascii="Arial" w:eastAsia="Arial" w:hAnsi="Arial" w:cs="Arial"/>
          <w:szCs w:val="24"/>
        </w:rPr>
      </w:pPr>
    </w:p>
    <w:p w14:paraId="406504D3" w14:textId="242BCAEB" w:rsidR="00587B0C" w:rsidRDefault="00D80812" w:rsidP="00587B0C">
      <w:pPr>
        <w:spacing w:after="0" w:line="360" w:lineRule="auto"/>
        <w:rPr>
          <w:rFonts w:ascii="Arial" w:eastAsia="Arial" w:hAnsi="Arial" w:cs="Arial"/>
          <w:szCs w:val="24"/>
        </w:rPr>
      </w:pPr>
      <w:r w:rsidRPr="00D80812">
        <w:rPr>
          <w:rFonts w:ascii="Arial" w:eastAsia="Arial" w:hAnsi="Arial" w:cs="Arial"/>
          <w:szCs w:val="24"/>
        </w:rPr>
        <w:t>Finally, ethics played a major role in D’s case, particularly the principles outlined by Tom Beauchamp and James Childress in their framework of biomedical ethics</w:t>
      </w:r>
      <w:r w:rsidR="00DF2422">
        <w:rPr>
          <w:rFonts w:ascii="Arial" w:eastAsia="Arial" w:hAnsi="Arial" w:cs="Arial"/>
          <w:szCs w:val="24"/>
        </w:rPr>
        <w:t xml:space="preserve"> </w:t>
      </w:r>
      <w:r w:rsidR="00E428E4" w:rsidRPr="00E428E4">
        <w:rPr>
          <w:rFonts w:ascii="Arial" w:eastAsia="Arial" w:hAnsi="Arial" w:cs="Arial"/>
          <w:szCs w:val="24"/>
        </w:rPr>
        <w:t>(Beauchamp and Childress, 2019)</w:t>
      </w:r>
      <w:r w:rsidRPr="00D80812">
        <w:rPr>
          <w:rFonts w:ascii="Arial" w:eastAsia="Arial" w:hAnsi="Arial" w:cs="Arial"/>
          <w:szCs w:val="24"/>
        </w:rPr>
        <w:t xml:space="preserve">. Their principles of autonomy and beneficence are clearly visible here. Providing flexible funding so D could live independently showed the ethical value of prioritising his choices over standard clinical routines. Recognising the patient’s wellbeing as an ethical duty helped D live the life he wanted. Furthermore, the principle of resource allocation requires NHS professionals to use limited public funds efficiently. Over a three-year cycle, the NHS estimated a saving of £13,000 because D managed his own care instead of relying on intensive agency support. Ultimately, the team proved that by promoting D’s autonomy, they could deliver ethical care while remaining economically responsible. </w:t>
      </w:r>
      <w:r w:rsidR="00E428E4">
        <w:rPr>
          <w:rFonts w:ascii="Arial" w:eastAsia="Arial" w:hAnsi="Arial" w:cs="Arial"/>
          <w:szCs w:val="24"/>
        </w:rPr>
        <w:t>Therefore,</w:t>
      </w:r>
      <w:r w:rsidR="00DF2422">
        <w:rPr>
          <w:rFonts w:ascii="Arial" w:eastAsia="Arial" w:hAnsi="Arial" w:cs="Arial"/>
          <w:szCs w:val="24"/>
        </w:rPr>
        <w:t xml:space="preserve"> by a</w:t>
      </w:r>
      <w:r w:rsidRPr="00D80812">
        <w:rPr>
          <w:rFonts w:ascii="Arial" w:eastAsia="Arial" w:hAnsi="Arial" w:cs="Arial"/>
          <w:szCs w:val="24"/>
        </w:rPr>
        <w:t xml:space="preserve">pplying these three principles successfully </w:t>
      </w:r>
      <w:r w:rsidR="00DF2422">
        <w:rPr>
          <w:rFonts w:ascii="Arial" w:eastAsia="Arial" w:hAnsi="Arial" w:cs="Arial"/>
          <w:szCs w:val="24"/>
        </w:rPr>
        <w:t xml:space="preserve">the </w:t>
      </w:r>
      <w:r w:rsidRPr="00D80812">
        <w:rPr>
          <w:rFonts w:ascii="Arial" w:eastAsia="Arial" w:hAnsi="Arial" w:cs="Arial"/>
          <w:szCs w:val="24"/>
        </w:rPr>
        <w:t>transform</w:t>
      </w:r>
      <w:r w:rsidR="00DF2422">
        <w:rPr>
          <w:rFonts w:ascii="Arial" w:eastAsia="Arial" w:hAnsi="Arial" w:cs="Arial"/>
          <w:szCs w:val="24"/>
        </w:rPr>
        <w:t>ation of</w:t>
      </w:r>
      <w:r w:rsidRPr="00D80812">
        <w:rPr>
          <w:rFonts w:ascii="Arial" w:eastAsia="Arial" w:hAnsi="Arial" w:cs="Arial"/>
          <w:szCs w:val="24"/>
        </w:rPr>
        <w:t xml:space="preserve"> D’s quality of life</w:t>
      </w:r>
      <w:r w:rsidR="00DF2422">
        <w:rPr>
          <w:rFonts w:ascii="Arial" w:eastAsia="Arial" w:hAnsi="Arial" w:cs="Arial"/>
          <w:szCs w:val="24"/>
        </w:rPr>
        <w:t xml:space="preserve"> is actualised</w:t>
      </w:r>
      <w:r w:rsidRPr="00D80812">
        <w:rPr>
          <w:rFonts w:ascii="Arial" w:eastAsia="Arial" w:hAnsi="Arial" w:cs="Arial"/>
          <w:szCs w:val="24"/>
        </w:rPr>
        <w:t>.</w:t>
      </w:r>
    </w:p>
    <w:p w14:paraId="469ECA81" w14:textId="77777777" w:rsidR="00D80812" w:rsidRPr="004927D7" w:rsidRDefault="00D80812" w:rsidP="00587B0C">
      <w:pPr>
        <w:spacing w:after="0" w:line="360" w:lineRule="auto"/>
        <w:rPr>
          <w:rFonts w:ascii="Arial" w:eastAsia="Arial" w:hAnsi="Arial" w:cs="Arial"/>
          <w:szCs w:val="24"/>
        </w:rPr>
      </w:pPr>
    </w:p>
    <w:p w14:paraId="04C45ADC" w14:textId="25869D4A" w:rsidR="00A11336" w:rsidRDefault="00A11336" w:rsidP="004F0EED">
      <w:pPr>
        <w:pStyle w:val="Heading1"/>
      </w:pPr>
      <w:bookmarkStart w:id="2" w:name="_Toc243231190"/>
      <w:r w:rsidRPr="004927D7">
        <w:lastRenderedPageBreak/>
        <w:t>Task 3:</w:t>
      </w:r>
      <w:bookmarkEnd w:id="2"/>
      <w:r w:rsidRPr="004927D7">
        <w:t xml:space="preserve"> </w:t>
      </w:r>
    </w:p>
    <w:p w14:paraId="4D2A48C5" w14:textId="0BF9689C" w:rsidR="002A15A4" w:rsidRDefault="002A15A4" w:rsidP="002A15A4">
      <w:pPr>
        <w:spacing w:after="0" w:line="360" w:lineRule="auto"/>
        <w:rPr>
          <w:rFonts w:ascii="Arial" w:eastAsia="Arial" w:hAnsi="Arial" w:cs="Arial"/>
          <w:szCs w:val="24"/>
        </w:rPr>
      </w:pPr>
      <w:r w:rsidRPr="002A15A4">
        <w:rPr>
          <w:rFonts w:ascii="Arial" w:eastAsia="Arial" w:hAnsi="Arial" w:cs="Arial"/>
          <w:szCs w:val="24"/>
        </w:rPr>
        <w:t>To critically reflect upon how the notions of person-centred care, partnership working and ethics would contribute to my professional development, I chose Gibbs’ Reflective Cycle</w:t>
      </w:r>
      <w:r w:rsidR="00B0144D">
        <w:rPr>
          <w:rFonts w:ascii="Arial" w:eastAsia="Arial" w:hAnsi="Arial" w:cs="Arial"/>
          <w:szCs w:val="24"/>
        </w:rPr>
        <w:t xml:space="preserve"> </w:t>
      </w:r>
      <w:r w:rsidR="00B0144D" w:rsidRPr="002A15A4">
        <w:rPr>
          <w:rFonts w:ascii="Arial" w:eastAsia="Arial" w:hAnsi="Arial" w:cs="Arial"/>
          <w:szCs w:val="24"/>
        </w:rPr>
        <w:t>(1988)</w:t>
      </w:r>
      <w:r w:rsidRPr="002A15A4">
        <w:rPr>
          <w:rFonts w:ascii="Arial" w:eastAsia="Arial" w:hAnsi="Arial" w:cs="Arial"/>
          <w:szCs w:val="24"/>
        </w:rPr>
        <w:t xml:space="preserve"> as a tool for the analysis. By using this model, I will be able to assess my skills, strengths and opportunities for improvement identify</w:t>
      </w:r>
      <w:r w:rsidR="00DF2422">
        <w:rPr>
          <w:rFonts w:ascii="Arial" w:eastAsia="Arial" w:hAnsi="Arial" w:cs="Arial"/>
          <w:szCs w:val="24"/>
        </w:rPr>
        <w:t>ing</w:t>
      </w:r>
      <w:r w:rsidRPr="002A15A4">
        <w:rPr>
          <w:rFonts w:ascii="Arial" w:eastAsia="Arial" w:hAnsi="Arial" w:cs="Arial"/>
          <w:szCs w:val="24"/>
        </w:rPr>
        <w:t xml:space="preserve"> certain actions that I will need to take to progress further. In this essay, I will utilise Gibbs’ (1988) framework on my experience of applying the principles to D’s case to identify how they contribute to my day-to-day work.</w:t>
      </w:r>
    </w:p>
    <w:p w14:paraId="72511C44" w14:textId="5B07480E" w:rsidR="002A15A4" w:rsidRDefault="002A15A4" w:rsidP="002A15A4">
      <w:pPr>
        <w:spacing w:after="0" w:line="360" w:lineRule="auto"/>
        <w:rPr>
          <w:rFonts w:ascii="Arial" w:eastAsia="Arial" w:hAnsi="Arial" w:cs="Arial"/>
          <w:szCs w:val="24"/>
        </w:rPr>
      </w:pPr>
    </w:p>
    <w:p w14:paraId="3C8E780C" w14:textId="46EABCB7" w:rsidR="002A15A4" w:rsidRPr="002A15A4" w:rsidRDefault="002A15A4" w:rsidP="002A15A4">
      <w:pPr>
        <w:spacing w:after="0" w:line="360" w:lineRule="auto"/>
        <w:rPr>
          <w:rFonts w:ascii="Arial" w:eastAsia="Arial" w:hAnsi="Arial" w:cs="Arial"/>
          <w:b/>
          <w:bCs/>
          <w:szCs w:val="24"/>
        </w:rPr>
      </w:pPr>
      <w:r w:rsidRPr="002A15A4">
        <w:rPr>
          <w:rFonts w:ascii="Arial" w:eastAsia="Arial" w:hAnsi="Arial" w:cs="Arial"/>
          <w:b/>
          <w:bCs/>
          <w:szCs w:val="24"/>
        </w:rPr>
        <w:t>Description</w:t>
      </w:r>
    </w:p>
    <w:p w14:paraId="3377371B" w14:textId="250686C2" w:rsidR="002A15A4" w:rsidRDefault="002A15A4" w:rsidP="002A15A4">
      <w:pPr>
        <w:spacing w:after="0" w:line="360" w:lineRule="auto"/>
        <w:rPr>
          <w:rFonts w:ascii="Arial" w:eastAsia="Arial" w:hAnsi="Arial" w:cs="Arial"/>
          <w:szCs w:val="24"/>
        </w:rPr>
      </w:pPr>
      <w:r w:rsidRPr="002A15A4">
        <w:rPr>
          <w:rFonts w:ascii="Arial" w:eastAsia="Arial" w:hAnsi="Arial" w:cs="Arial"/>
          <w:szCs w:val="24"/>
        </w:rPr>
        <w:t>In my daily practice as a developing health and social care professional, I often find that the immediate focus is placed on meeting clinical and physiological requirements. However, D’s case study highlights a much more holistic approach, demonstrating the profound impact of providing a personalised package of support via a flexible Personal Health Budget. In my experience, the traditional separation between health and social care can sometimes create bureaucratic barriers to this level of individualisation. Observing how a multidisciplinary team collaborated rather than conducting separate assessments to support D’s transition to independent university living provides a clear benchmark for the kind of care I aim to facilitate in real UK healthcare settings.</w:t>
      </w:r>
      <w:r>
        <w:rPr>
          <w:rFonts w:ascii="Arial" w:eastAsia="Arial" w:hAnsi="Arial" w:cs="Arial"/>
          <w:szCs w:val="24"/>
        </w:rPr>
        <w:br/>
      </w:r>
      <w:r>
        <w:rPr>
          <w:rFonts w:ascii="Arial" w:eastAsia="Arial" w:hAnsi="Arial" w:cs="Arial"/>
          <w:szCs w:val="24"/>
        </w:rPr>
        <w:br/>
      </w:r>
      <w:r w:rsidRPr="002A15A4">
        <w:rPr>
          <w:rFonts w:ascii="Arial" w:eastAsia="Arial" w:hAnsi="Arial" w:cs="Arial"/>
          <w:b/>
          <w:bCs/>
          <w:szCs w:val="24"/>
        </w:rPr>
        <w:t>Feelings</w:t>
      </w:r>
      <w:r>
        <w:rPr>
          <w:rFonts w:ascii="Arial" w:eastAsia="Arial" w:hAnsi="Arial" w:cs="Arial"/>
          <w:szCs w:val="24"/>
        </w:rPr>
        <w:br/>
      </w:r>
      <w:r w:rsidRPr="002A15A4">
        <w:rPr>
          <w:rFonts w:ascii="Arial" w:eastAsia="Arial" w:hAnsi="Arial" w:cs="Arial"/>
          <w:szCs w:val="24"/>
        </w:rPr>
        <w:t>Initially, the idea of navigating such a complex situation with a partnership and making ethical decisions was overwhelming. To help a vulnerable young adult to gain independence was a 'positive risk'. I was concerned about my responsibility as a professional and wondered how I would act in a situation where a patient could have been harmed, but the idea that I can make a difference in someone's life is genuinely inspiring to me. By investing in such a way, I have ensured that the patient can live the life they desire, which is a tremendous relief for me. This experience also demonstrated the importance of multi-professional working to me. Hence, although such cases present many challenges, I feel optimistic about my ability to work in such conditions in the future.</w:t>
      </w:r>
      <w:r>
        <w:rPr>
          <w:rFonts w:ascii="Arial" w:eastAsia="Arial" w:hAnsi="Arial" w:cs="Arial"/>
          <w:szCs w:val="24"/>
        </w:rPr>
        <w:br/>
      </w:r>
      <w:r>
        <w:rPr>
          <w:rFonts w:ascii="Arial" w:eastAsia="Arial" w:hAnsi="Arial" w:cs="Arial"/>
          <w:szCs w:val="24"/>
        </w:rPr>
        <w:br/>
      </w:r>
      <w:r w:rsidRPr="002A15A4">
        <w:rPr>
          <w:rFonts w:ascii="Arial" w:eastAsia="Arial" w:hAnsi="Arial" w:cs="Arial"/>
          <w:b/>
          <w:bCs/>
          <w:szCs w:val="24"/>
        </w:rPr>
        <w:t>Evaluation</w:t>
      </w:r>
    </w:p>
    <w:p w14:paraId="0B0AB969" w14:textId="0E0F79DC" w:rsidR="002A15A4" w:rsidRDefault="002A15A4" w:rsidP="002A15A4">
      <w:pPr>
        <w:spacing w:after="0" w:line="360" w:lineRule="auto"/>
        <w:rPr>
          <w:rFonts w:ascii="Arial" w:eastAsia="Arial" w:hAnsi="Arial" w:cs="Arial"/>
          <w:szCs w:val="24"/>
        </w:rPr>
      </w:pPr>
      <w:r w:rsidRPr="002A15A4">
        <w:rPr>
          <w:rFonts w:ascii="Arial" w:eastAsia="Arial" w:hAnsi="Arial" w:cs="Arial"/>
          <w:szCs w:val="24"/>
        </w:rPr>
        <w:lastRenderedPageBreak/>
        <w:t xml:space="preserve">Looking at my own strengths, I would say that my counselling skills and empathy allow me to communicate effectively with almost all patients. Moreover, my desire to understand their problems from their perspective helps me to treat them with dignity and respect. However, when it comes to the main weakness related to this </w:t>
      </w:r>
      <w:proofErr w:type="gramStart"/>
      <w:r w:rsidRPr="002A15A4">
        <w:rPr>
          <w:rFonts w:ascii="Arial" w:eastAsia="Arial" w:hAnsi="Arial" w:cs="Arial"/>
          <w:szCs w:val="24"/>
        </w:rPr>
        <w:t>particular case</w:t>
      </w:r>
      <w:proofErr w:type="gramEnd"/>
      <w:r w:rsidRPr="002A15A4">
        <w:rPr>
          <w:rFonts w:ascii="Arial" w:eastAsia="Arial" w:hAnsi="Arial" w:cs="Arial"/>
          <w:szCs w:val="24"/>
        </w:rPr>
        <w:t xml:space="preserve">, I </w:t>
      </w:r>
      <w:proofErr w:type="gramStart"/>
      <w:r w:rsidRPr="002A15A4">
        <w:rPr>
          <w:rFonts w:ascii="Arial" w:eastAsia="Arial" w:hAnsi="Arial" w:cs="Arial"/>
          <w:szCs w:val="24"/>
        </w:rPr>
        <w:t>have to</w:t>
      </w:r>
      <w:proofErr w:type="gramEnd"/>
      <w:r w:rsidRPr="002A15A4">
        <w:rPr>
          <w:rFonts w:ascii="Arial" w:eastAsia="Arial" w:hAnsi="Arial" w:cs="Arial"/>
          <w:szCs w:val="24"/>
        </w:rPr>
        <w:t xml:space="preserve"> admit that I lack extensive experience in formal partnership working and the overall system for interaction between different agencies. It is not always easy for me to raise critical issues during multidisciplinary team (MDT) meetings with usually higher-level professionals. Finally, the fact that many frontline caregivers may feel pressed for time or low on resources makes me shift towards a more task-oriented approach to care, which, as I have witnessed the case of D, involves a lot of collaboration.</w:t>
      </w:r>
    </w:p>
    <w:p w14:paraId="002E539E" w14:textId="77777777" w:rsidR="002A15A4" w:rsidRDefault="002A15A4" w:rsidP="002A15A4">
      <w:pPr>
        <w:spacing w:after="0" w:line="360" w:lineRule="auto"/>
        <w:rPr>
          <w:rFonts w:ascii="Arial" w:eastAsia="Arial" w:hAnsi="Arial" w:cs="Arial"/>
          <w:szCs w:val="24"/>
        </w:rPr>
      </w:pPr>
    </w:p>
    <w:p w14:paraId="22C15FBE" w14:textId="5A60557D" w:rsidR="002A15A4" w:rsidRPr="002A15A4" w:rsidRDefault="002A15A4" w:rsidP="002A15A4">
      <w:pPr>
        <w:spacing w:after="0" w:line="360" w:lineRule="auto"/>
        <w:rPr>
          <w:rFonts w:ascii="Arial" w:eastAsia="Arial" w:hAnsi="Arial" w:cs="Arial"/>
          <w:b/>
          <w:bCs/>
          <w:szCs w:val="24"/>
        </w:rPr>
      </w:pPr>
      <w:r w:rsidRPr="002A15A4">
        <w:rPr>
          <w:rFonts w:ascii="Arial" w:eastAsia="Arial" w:hAnsi="Arial" w:cs="Arial"/>
          <w:b/>
          <w:bCs/>
          <w:szCs w:val="24"/>
        </w:rPr>
        <w:t>Analysis</w:t>
      </w:r>
    </w:p>
    <w:p w14:paraId="713CDAC5" w14:textId="240CD77F" w:rsidR="002A15A4" w:rsidRPr="002A15A4" w:rsidRDefault="002A15A4" w:rsidP="002A15A4">
      <w:pPr>
        <w:spacing w:after="0" w:line="360" w:lineRule="auto"/>
        <w:rPr>
          <w:rFonts w:ascii="Arial" w:eastAsia="Arial" w:hAnsi="Arial" w:cs="Arial"/>
          <w:szCs w:val="24"/>
        </w:rPr>
      </w:pPr>
      <w:r w:rsidRPr="002A15A4">
        <w:rPr>
          <w:rFonts w:ascii="Arial" w:eastAsia="Arial" w:hAnsi="Arial" w:cs="Arial"/>
          <w:szCs w:val="24"/>
        </w:rPr>
        <w:t>Analysing this through the theoretical frameworks of care, I know now that effective, high-quality care goes beyond physiological and safety needs to meet love/belonging and self-actualisation, as per Maslow’s Hierarchy of Needs</w:t>
      </w:r>
      <w:r w:rsidR="0029677F">
        <w:rPr>
          <w:rFonts w:ascii="Arial" w:eastAsia="Arial" w:hAnsi="Arial" w:cs="Arial"/>
          <w:szCs w:val="24"/>
        </w:rPr>
        <w:t xml:space="preserve"> </w:t>
      </w:r>
      <w:r w:rsidR="00E428E4" w:rsidRPr="00E428E4">
        <w:rPr>
          <w:rFonts w:ascii="Arial" w:eastAsia="Arial" w:hAnsi="Arial" w:cs="Arial"/>
          <w:szCs w:val="24"/>
        </w:rPr>
        <w:t>(Maslow, 1943)</w:t>
      </w:r>
      <w:r w:rsidRPr="002A15A4">
        <w:rPr>
          <w:rFonts w:ascii="Arial" w:eastAsia="Arial" w:hAnsi="Arial" w:cs="Arial"/>
          <w:szCs w:val="24"/>
        </w:rPr>
        <w:t xml:space="preserve">. The Care Act 2014 </w:t>
      </w:r>
      <w:r w:rsidR="00E428E4" w:rsidRPr="00E428E4">
        <w:rPr>
          <w:rFonts w:ascii="Arial" w:eastAsia="Arial" w:hAnsi="Arial" w:cs="Arial"/>
          <w:szCs w:val="24"/>
        </w:rPr>
        <w:t>(Department of Health and Social Care, 2014)</w:t>
      </w:r>
      <w:r w:rsidR="0029677F" w:rsidRPr="002A15A4">
        <w:rPr>
          <w:rFonts w:ascii="Arial" w:eastAsia="Arial" w:hAnsi="Arial" w:cs="Arial"/>
          <w:szCs w:val="24"/>
        </w:rPr>
        <w:t xml:space="preserve"> </w:t>
      </w:r>
      <w:r w:rsidRPr="002A15A4">
        <w:rPr>
          <w:rFonts w:ascii="Arial" w:eastAsia="Arial" w:hAnsi="Arial" w:cs="Arial"/>
          <w:szCs w:val="24"/>
        </w:rPr>
        <w:t>highlights the need to promote wellbeing as enshrined in law.</w:t>
      </w:r>
      <w:r w:rsidR="0029677F">
        <w:rPr>
          <w:rFonts w:ascii="Arial" w:eastAsia="Arial" w:hAnsi="Arial" w:cs="Arial"/>
          <w:szCs w:val="24"/>
        </w:rPr>
        <w:t xml:space="preserve"> I realise that if</w:t>
      </w:r>
      <w:r w:rsidRPr="002A15A4">
        <w:rPr>
          <w:rFonts w:ascii="Arial" w:eastAsia="Arial" w:hAnsi="Arial" w:cs="Arial"/>
          <w:szCs w:val="24"/>
        </w:rPr>
        <w:t xml:space="preserve"> </w:t>
      </w:r>
      <w:r w:rsidR="0029677F">
        <w:rPr>
          <w:rFonts w:ascii="Arial" w:eastAsia="Arial" w:hAnsi="Arial" w:cs="Arial"/>
          <w:szCs w:val="24"/>
        </w:rPr>
        <w:t>I do not</w:t>
      </w:r>
      <w:r w:rsidRPr="002A15A4">
        <w:rPr>
          <w:rFonts w:ascii="Arial" w:eastAsia="Arial" w:hAnsi="Arial" w:cs="Arial"/>
          <w:szCs w:val="24"/>
        </w:rPr>
        <w:t xml:space="preserve"> participat</w:t>
      </w:r>
      <w:r w:rsidR="0029677F">
        <w:rPr>
          <w:rFonts w:ascii="Arial" w:eastAsia="Arial" w:hAnsi="Arial" w:cs="Arial"/>
          <w:szCs w:val="24"/>
        </w:rPr>
        <w:t>e</w:t>
      </w:r>
      <w:r w:rsidRPr="002A15A4">
        <w:rPr>
          <w:rFonts w:ascii="Arial" w:eastAsia="Arial" w:hAnsi="Arial" w:cs="Arial"/>
          <w:szCs w:val="24"/>
        </w:rPr>
        <w:t xml:space="preserve"> fully in collaborative care </w:t>
      </w:r>
      <w:r w:rsidR="0029677F" w:rsidRPr="002A15A4">
        <w:rPr>
          <w:rFonts w:ascii="Arial" w:eastAsia="Arial" w:hAnsi="Arial" w:cs="Arial"/>
          <w:szCs w:val="24"/>
        </w:rPr>
        <w:t>planning,</w:t>
      </w:r>
      <w:r w:rsidRPr="002A15A4">
        <w:rPr>
          <w:rFonts w:ascii="Arial" w:eastAsia="Arial" w:hAnsi="Arial" w:cs="Arial"/>
          <w:szCs w:val="24"/>
        </w:rPr>
        <w:t xml:space="preserve"> I w</w:t>
      </w:r>
      <w:r w:rsidR="0029677F">
        <w:rPr>
          <w:rFonts w:ascii="Arial" w:eastAsia="Arial" w:hAnsi="Arial" w:cs="Arial"/>
          <w:szCs w:val="24"/>
        </w:rPr>
        <w:t>ouldn’t be</w:t>
      </w:r>
      <w:r w:rsidRPr="002A15A4">
        <w:rPr>
          <w:rFonts w:ascii="Arial" w:eastAsia="Arial" w:hAnsi="Arial" w:cs="Arial"/>
          <w:szCs w:val="24"/>
        </w:rPr>
        <w:t xml:space="preserve"> supporting people in their higher-level needs fully.</w:t>
      </w:r>
    </w:p>
    <w:p w14:paraId="46A1A5F0" w14:textId="77777777" w:rsidR="002A15A4" w:rsidRPr="002A15A4" w:rsidRDefault="002A15A4" w:rsidP="002A15A4">
      <w:pPr>
        <w:spacing w:after="0" w:line="360" w:lineRule="auto"/>
        <w:rPr>
          <w:rFonts w:ascii="Arial" w:eastAsia="Arial" w:hAnsi="Arial" w:cs="Arial"/>
          <w:szCs w:val="24"/>
        </w:rPr>
      </w:pPr>
    </w:p>
    <w:p w14:paraId="4267B118" w14:textId="78505C48" w:rsidR="002A15A4" w:rsidRPr="002A15A4" w:rsidRDefault="002A15A4" w:rsidP="002A15A4">
      <w:pPr>
        <w:spacing w:after="0" w:line="360" w:lineRule="auto"/>
        <w:rPr>
          <w:rFonts w:ascii="Arial" w:eastAsia="Arial" w:hAnsi="Arial" w:cs="Arial"/>
          <w:szCs w:val="24"/>
        </w:rPr>
      </w:pPr>
      <w:r w:rsidRPr="002A15A4">
        <w:rPr>
          <w:rFonts w:ascii="Arial" w:eastAsia="Arial" w:hAnsi="Arial" w:cs="Arial"/>
          <w:szCs w:val="24"/>
        </w:rPr>
        <w:t>Professionally, codes of conduct require me to actively participate in advocating for patients’ rights, including challenging care practices, to enable their dignity and autonomy. The Mental Capacity Act 2005 (DHSC, 2005) requires that carers support people in making decisions for themselves</w:t>
      </w:r>
      <w:r w:rsidR="0029677F" w:rsidRPr="0029677F">
        <w:rPr>
          <w:rFonts w:ascii="Arial" w:eastAsia="Arial" w:hAnsi="Arial" w:cs="Arial"/>
          <w:szCs w:val="24"/>
        </w:rPr>
        <w:t xml:space="preserve"> </w:t>
      </w:r>
      <w:r w:rsidR="0029677F" w:rsidRPr="002A15A4">
        <w:rPr>
          <w:rFonts w:ascii="Arial" w:eastAsia="Arial" w:hAnsi="Arial" w:cs="Arial"/>
          <w:szCs w:val="24"/>
        </w:rPr>
        <w:t>even if they make ‘unwise’ decisions</w:t>
      </w:r>
      <w:r w:rsidR="0029677F">
        <w:rPr>
          <w:rFonts w:ascii="Arial" w:eastAsia="Arial" w:hAnsi="Arial" w:cs="Arial"/>
          <w:szCs w:val="24"/>
        </w:rPr>
        <w:t xml:space="preserve"> </w:t>
      </w:r>
      <w:r w:rsidRPr="002A15A4">
        <w:rPr>
          <w:rFonts w:ascii="Arial" w:eastAsia="Arial" w:hAnsi="Arial" w:cs="Arial"/>
          <w:szCs w:val="24"/>
        </w:rPr>
        <w:t xml:space="preserve">unless they are deemed not capable. I have come to appreciate beneficence as not </w:t>
      </w:r>
      <w:r w:rsidR="0029677F">
        <w:rPr>
          <w:rFonts w:ascii="Arial" w:eastAsia="Arial" w:hAnsi="Arial" w:cs="Arial"/>
          <w:szCs w:val="24"/>
        </w:rPr>
        <w:t xml:space="preserve">just </w:t>
      </w:r>
      <w:r w:rsidRPr="002A15A4">
        <w:rPr>
          <w:rFonts w:ascii="Arial" w:eastAsia="Arial" w:hAnsi="Arial" w:cs="Arial"/>
          <w:szCs w:val="24"/>
        </w:rPr>
        <w:t>keeping the person physically safe but</w:t>
      </w:r>
      <w:r w:rsidR="0029677F">
        <w:rPr>
          <w:rFonts w:ascii="Arial" w:eastAsia="Arial" w:hAnsi="Arial" w:cs="Arial"/>
          <w:szCs w:val="24"/>
        </w:rPr>
        <w:t xml:space="preserve"> also</w:t>
      </w:r>
      <w:r w:rsidRPr="002A15A4">
        <w:rPr>
          <w:rFonts w:ascii="Arial" w:eastAsia="Arial" w:hAnsi="Arial" w:cs="Arial"/>
          <w:szCs w:val="24"/>
        </w:rPr>
        <w:t xml:space="preserve"> supporting them in living their life to the full.</w:t>
      </w:r>
    </w:p>
    <w:p w14:paraId="1F01B572" w14:textId="77777777" w:rsidR="002A15A4" w:rsidRPr="002A15A4" w:rsidRDefault="002A15A4" w:rsidP="002A15A4">
      <w:pPr>
        <w:spacing w:after="0" w:line="360" w:lineRule="auto"/>
        <w:rPr>
          <w:rFonts w:ascii="Arial" w:eastAsia="Arial" w:hAnsi="Arial" w:cs="Arial"/>
          <w:szCs w:val="24"/>
        </w:rPr>
      </w:pPr>
    </w:p>
    <w:p w14:paraId="26C63344" w14:textId="1AF60F05" w:rsidR="002A15A4" w:rsidRDefault="002A15A4" w:rsidP="002A15A4">
      <w:pPr>
        <w:spacing w:after="0" w:line="360" w:lineRule="auto"/>
        <w:rPr>
          <w:rFonts w:ascii="Arial" w:eastAsia="Arial" w:hAnsi="Arial" w:cs="Arial"/>
          <w:szCs w:val="24"/>
        </w:rPr>
      </w:pPr>
      <w:r w:rsidRPr="002A15A4">
        <w:rPr>
          <w:rFonts w:ascii="Arial" w:eastAsia="Arial" w:hAnsi="Arial" w:cs="Arial"/>
          <w:szCs w:val="24"/>
        </w:rPr>
        <w:t xml:space="preserve">Furthermore, the Health and Care Act 2022 requires integration across all levels and states partnership working as a key driver through the creation of Integrated Care Systems. Through the example of person D, I have seen how crucial it is to have collaboration across different agencies for the delivery of person-centred care, such </w:t>
      </w:r>
      <w:r w:rsidRPr="002A15A4">
        <w:rPr>
          <w:rFonts w:ascii="Arial" w:eastAsia="Arial" w:hAnsi="Arial" w:cs="Arial"/>
          <w:szCs w:val="24"/>
        </w:rPr>
        <w:lastRenderedPageBreak/>
        <w:t xml:space="preserve">as flexible funding. </w:t>
      </w:r>
      <w:r w:rsidR="0029677F">
        <w:rPr>
          <w:rFonts w:ascii="Arial" w:eastAsia="Arial" w:hAnsi="Arial" w:cs="Arial"/>
          <w:szCs w:val="24"/>
        </w:rPr>
        <w:t>A</w:t>
      </w:r>
      <w:r w:rsidRPr="002A15A4">
        <w:rPr>
          <w:rFonts w:ascii="Arial" w:eastAsia="Arial" w:hAnsi="Arial" w:cs="Arial"/>
          <w:szCs w:val="24"/>
        </w:rPr>
        <w:t xml:space="preserve"> lack of participation in MDT working is a barrier to the delivery of legally and ethically mandated care</w:t>
      </w:r>
      <w:r w:rsidR="0029677F">
        <w:rPr>
          <w:rFonts w:ascii="Arial" w:eastAsia="Arial" w:hAnsi="Arial" w:cs="Arial"/>
          <w:szCs w:val="24"/>
        </w:rPr>
        <w:t xml:space="preserve"> of which I need to focus and improve</w:t>
      </w:r>
      <w:r w:rsidRPr="002A15A4">
        <w:rPr>
          <w:rFonts w:ascii="Arial" w:eastAsia="Arial" w:hAnsi="Arial" w:cs="Arial"/>
          <w:szCs w:val="24"/>
        </w:rPr>
        <w:t>.</w:t>
      </w:r>
    </w:p>
    <w:p w14:paraId="287C6605" w14:textId="77777777" w:rsidR="002A15A4" w:rsidRDefault="002A15A4" w:rsidP="002A15A4">
      <w:pPr>
        <w:spacing w:after="0" w:line="360" w:lineRule="auto"/>
        <w:rPr>
          <w:rFonts w:ascii="Arial" w:eastAsia="Arial" w:hAnsi="Arial" w:cs="Arial"/>
          <w:szCs w:val="24"/>
        </w:rPr>
      </w:pPr>
    </w:p>
    <w:p w14:paraId="2EEC0806" w14:textId="30A2F481" w:rsidR="002A15A4" w:rsidRPr="002A15A4" w:rsidRDefault="002A15A4" w:rsidP="002A15A4">
      <w:pPr>
        <w:spacing w:after="0" w:line="360" w:lineRule="auto"/>
        <w:rPr>
          <w:rFonts w:ascii="Arial" w:eastAsia="Arial" w:hAnsi="Arial" w:cs="Arial"/>
          <w:b/>
          <w:bCs/>
          <w:szCs w:val="24"/>
        </w:rPr>
      </w:pPr>
      <w:r w:rsidRPr="002A15A4">
        <w:rPr>
          <w:rFonts w:ascii="Arial" w:eastAsia="Arial" w:hAnsi="Arial" w:cs="Arial"/>
          <w:b/>
          <w:bCs/>
          <w:szCs w:val="24"/>
        </w:rPr>
        <w:t>Conclusion</w:t>
      </w:r>
    </w:p>
    <w:p w14:paraId="4657B9D9" w14:textId="26E62FEE" w:rsidR="002A15A4" w:rsidRDefault="002A15A4" w:rsidP="002A15A4">
      <w:pPr>
        <w:spacing w:after="0" w:line="360" w:lineRule="auto"/>
        <w:rPr>
          <w:rFonts w:ascii="Arial" w:eastAsia="Arial" w:hAnsi="Arial" w:cs="Arial"/>
          <w:szCs w:val="24"/>
        </w:rPr>
      </w:pPr>
      <w:r w:rsidRPr="002A15A4">
        <w:rPr>
          <w:rFonts w:ascii="Arial" w:eastAsia="Arial" w:hAnsi="Arial" w:cs="Arial"/>
          <w:szCs w:val="24"/>
        </w:rPr>
        <w:t xml:space="preserve">In conclusion, </w:t>
      </w:r>
      <w:r>
        <w:rPr>
          <w:rFonts w:ascii="Arial" w:eastAsia="Arial" w:hAnsi="Arial" w:cs="Arial"/>
          <w:szCs w:val="24"/>
        </w:rPr>
        <w:t>after</w:t>
      </w:r>
      <w:r w:rsidRPr="002A15A4">
        <w:rPr>
          <w:rFonts w:ascii="Arial" w:eastAsia="Arial" w:hAnsi="Arial" w:cs="Arial"/>
          <w:szCs w:val="24"/>
        </w:rPr>
        <w:t xml:space="preserve"> completing this reflective assignment, I have identified the</w:t>
      </w:r>
      <w:r>
        <w:rPr>
          <w:rFonts w:ascii="Arial" w:eastAsia="Arial" w:hAnsi="Arial" w:cs="Arial"/>
          <w:szCs w:val="24"/>
        </w:rPr>
        <w:t xml:space="preserve"> </w:t>
      </w:r>
      <w:r w:rsidRPr="002A15A4">
        <w:rPr>
          <w:rFonts w:ascii="Arial" w:eastAsia="Arial" w:hAnsi="Arial" w:cs="Arial"/>
          <w:szCs w:val="24"/>
        </w:rPr>
        <w:t xml:space="preserve">relation between person-centred care, ethics and partnership working. Caring for patients </w:t>
      </w:r>
      <w:r w:rsidR="0029677F">
        <w:rPr>
          <w:rFonts w:ascii="Arial" w:eastAsia="Arial" w:hAnsi="Arial" w:cs="Arial"/>
          <w:szCs w:val="24"/>
        </w:rPr>
        <w:t xml:space="preserve">alone </w:t>
      </w:r>
      <w:r w:rsidRPr="002A15A4">
        <w:rPr>
          <w:rFonts w:ascii="Arial" w:eastAsia="Arial" w:hAnsi="Arial" w:cs="Arial"/>
          <w:szCs w:val="24"/>
        </w:rPr>
        <w:t>is not enough to be considered an ethical healthcare professional. One must engage in active collaboration with other professionals to ensure the sharing of resources and information for achieving patient empowerment. Th</w:t>
      </w:r>
      <w:r>
        <w:rPr>
          <w:rFonts w:ascii="Arial" w:eastAsia="Arial" w:hAnsi="Arial" w:cs="Arial"/>
          <w:szCs w:val="24"/>
        </w:rPr>
        <w:t>erefore</w:t>
      </w:r>
      <w:r w:rsidRPr="002A15A4">
        <w:rPr>
          <w:rFonts w:ascii="Arial" w:eastAsia="Arial" w:hAnsi="Arial" w:cs="Arial"/>
          <w:szCs w:val="24"/>
        </w:rPr>
        <w:t>, I conclude that though my personal values are highly developed, I need to expand my knowledge of interprofessional practices and be more vigorous in my approach to gain experience.</w:t>
      </w:r>
    </w:p>
    <w:p w14:paraId="2C6ABBB3" w14:textId="77777777" w:rsidR="002A15A4" w:rsidRDefault="002A15A4" w:rsidP="002A15A4">
      <w:pPr>
        <w:spacing w:after="0" w:line="360" w:lineRule="auto"/>
        <w:rPr>
          <w:rFonts w:ascii="Arial" w:eastAsia="Arial" w:hAnsi="Arial" w:cs="Arial"/>
          <w:szCs w:val="24"/>
        </w:rPr>
      </w:pPr>
    </w:p>
    <w:p w14:paraId="08BCD636" w14:textId="64910A53" w:rsidR="002A15A4" w:rsidRPr="002A15A4" w:rsidRDefault="002A15A4" w:rsidP="002A15A4">
      <w:pPr>
        <w:spacing w:after="0" w:line="360" w:lineRule="auto"/>
        <w:rPr>
          <w:rFonts w:ascii="Arial" w:eastAsia="Arial" w:hAnsi="Arial" w:cs="Arial"/>
          <w:b/>
          <w:bCs/>
          <w:szCs w:val="24"/>
        </w:rPr>
      </w:pPr>
      <w:r w:rsidRPr="002A15A4">
        <w:rPr>
          <w:rFonts w:ascii="Arial" w:eastAsia="Arial" w:hAnsi="Arial" w:cs="Arial"/>
          <w:b/>
          <w:bCs/>
          <w:szCs w:val="24"/>
        </w:rPr>
        <w:t>Action Plan</w:t>
      </w:r>
    </w:p>
    <w:p w14:paraId="3704E3B8" w14:textId="062E3C5E" w:rsidR="002A15A4" w:rsidRPr="002A15A4" w:rsidRDefault="002A15A4" w:rsidP="002A15A4">
      <w:pPr>
        <w:spacing w:after="0" w:line="360" w:lineRule="auto"/>
        <w:rPr>
          <w:rFonts w:ascii="Arial" w:eastAsia="Arial" w:hAnsi="Arial" w:cs="Arial"/>
          <w:szCs w:val="24"/>
        </w:rPr>
      </w:pPr>
      <w:r w:rsidRPr="002A15A4">
        <w:rPr>
          <w:rFonts w:ascii="Arial" w:eastAsia="Arial" w:hAnsi="Arial" w:cs="Arial"/>
          <w:szCs w:val="24"/>
        </w:rPr>
        <w:t>To address these areas for improvement, I have developed a specific action plan for my ongoing personal and professional development. Firstly, to enhance my knowledge of legislative frameworks, I will complete a Continuing Professional Development (CPD) course focusing on the practical implementation of the Care Act 2014 and Personal Health Budgets within the next three months. Secondly, to improve my partnership working skills, I will request to shadow a local authority social worker for a day to better understand their assessment processes and the specific challenges they face. Finally, to build my confidence in ethical advocacy, I will actively prepare for all future MDT meetings by drafting a brief, patient-centred summary beforehand, ensuring that I confidently present the service user’s personal goals and voice to the wider team rather than remaining a passive observer.</w:t>
      </w:r>
    </w:p>
    <w:p w14:paraId="79AAFBAE" w14:textId="77777777" w:rsidR="002A15A4" w:rsidRPr="002A15A4" w:rsidRDefault="002A15A4" w:rsidP="002A15A4">
      <w:pPr>
        <w:spacing w:after="0" w:line="360" w:lineRule="auto"/>
        <w:rPr>
          <w:rFonts w:ascii="Arial" w:eastAsia="Arial" w:hAnsi="Arial" w:cs="Arial"/>
          <w:b/>
          <w:bCs/>
          <w:szCs w:val="24"/>
        </w:rPr>
      </w:pPr>
    </w:p>
    <w:p w14:paraId="5A4D465C" w14:textId="5F638AD7" w:rsidR="006524ED" w:rsidRDefault="006D2F2D" w:rsidP="004F0EED">
      <w:pPr>
        <w:pStyle w:val="Heading1"/>
      </w:pPr>
      <w:bookmarkStart w:id="3" w:name="_Toc243231191"/>
      <w:r w:rsidRPr="004927D7">
        <w:t>Conclusion</w:t>
      </w:r>
      <w:bookmarkEnd w:id="3"/>
    </w:p>
    <w:p w14:paraId="3E8E4E34" w14:textId="5C572747" w:rsidR="004F0EED" w:rsidRDefault="004F0EED" w:rsidP="00594FAC">
      <w:pPr>
        <w:spacing w:line="360" w:lineRule="auto"/>
        <w:rPr>
          <w:rFonts w:ascii="Arial" w:hAnsi="Arial" w:cs="Arial"/>
          <w:szCs w:val="24"/>
        </w:rPr>
      </w:pPr>
      <w:r w:rsidRPr="004F0EED">
        <w:rPr>
          <w:rFonts w:ascii="Arial" w:hAnsi="Arial" w:cs="Arial"/>
          <w:szCs w:val="24"/>
        </w:rPr>
        <w:t xml:space="preserve">In summary, person-centred care, partnership working and ethics are essential principles for providing high-quality health and social care in the United Kingdom. By taking D’s case as an example, it is possible to state that implementing these approaches changes the paradigm of care from traditional and restrictive to progressive and holistic, effectively addressing all patient needs. Care Act 2014 and Health and Care Act 2022 are the relevant </w:t>
      </w:r>
      <w:r w:rsidR="0029677F">
        <w:rPr>
          <w:rFonts w:ascii="Arial" w:hAnsi="Arial" w:cs="Arial"/>
          <w:szCs w:val="24"/>
        </w:rPr>
        <w:t>laws</w:t>
      </w:r>
      <w:r w:rsidRPr="004F0EED">
        <w:rPr>
          <w:rFonts w:ascii="Arial" w:hAnsi="Arial" w:cs="Arial"/>
          <w:szCs w:val="24"/>
        </w:rPr>
        <w:t xml:space="preserve"> that allow for the integration of this </w:t>
      </w:r>
      <w:r w:rsidRPr="004F0EED">
        <w:rPr>
          <w:rFonts w:ascii="Arial" w:hAnsi="Arial" w:cs="Arial"/>
          <w:szCs w:val="24"/>
        </w:rPr>
        <w:lastRenderedPageBreak/>
        <w:t xml:space="preserve">triple approach into practice. In this regard, health and social care practitioners can address their challenges by enhancing their understanding of their skills and improving their collaboration with other professionals to meet the industry’s expectations. Moreover, by prioritising patient needs, </w:t>
      </w:r>
      <w:r w:rsidR="0029677F">
        <w:rPr>
          <w:rFonts w:ascii="Arial" w:hAnsi="Arial" w:cs="Arial"/>
          <w:szCs w:val="24"/>
        </w:rPr>
        <w:t>professionals</w:t>
      </w:r>
      <w:r w:rsidRPr="004F0EED">
        <w:rPr>
          <w:rFonts w:ascii="Arial" w:hAnsi="Arial" w:cs="Arial"/>
          <w:szCs w:val="24"/>
        </w:rPr>
        <w:t xml:space="preserve"> will be able to comply with their ethical responsibility of promoting wellbeing while ensuring safety.</w:t>
      </w:r>
    </w:p>
    <w:p w14:paraId="420314D8" w14:textId="77777777" w:rsidR="004F0EED" w:rsidRPr="004F0EED" w:rsidRDefault="004F0EED" w:rsidP="00594FAC">
      <w:pPr>
        <w:spacing w:line="360" w:lineRule="auto"/>
        <w:rPr>
          <w:rFonts w:ascii="Arial" w:hAnsi="Arial" w:cs="Arial"/>
          <w:szCs w:val="24"/>
        </w:rPr>
      </w:pPr>
    </w:p>
    <w:p w14:paraId="5A789721" w14:textId="468D4BEB" w:rsidR="006D2F2D" w:rsidRDefault="006D2F2D" w:rsidP="004F0EED">
      <w:pPr>
        <w:pStyle w:val="Heading1"/>
      </w:pPr>
      <w:bookmarkStart w:id="4" w:name="_Toc243231192"/>
      <w:r w:rsidRPr="004927D7">
        <w:t>Reference</w:t>
      </w:r>
      <w:r w:rsidR="001D345E" w:rsidRPr="004927D7">
        <w:t>s</w:t>
      </w:r>
      <w:bookmarkEnd w:id="4"/>
    </w:p>
    <w:p w14:paraId="5FD50931"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Beauchamp, T.L. and Childress, J.F. (2019) </w:t>
      </w:r>
      <w:r w:rsidRPr="004F0EED">
        <w:rPr>
          <w:rFonts w:ascii="Arial" w:hAnsi="Arial" w:cs="Arial"/>
          <w:i/>
          <w:iCs/>
          <w:sz w:val="22"/>
        </w:rPr>
        <w:t>Principles of biomedical ethics</w:t>
      </w:r>
      <w:r w:rsidRPr="004F0EED">
        <w:rPr>
          <w:rFonts w:ascii="Arial" w:hAnsi="Arial" w:cs="Arial"/>
          <w:sz w:val="22"/>
        </w:rPr>
        <w:t xml:space="preserve">. 8th </w:t>
      </w:r>
      <w:proofErr w:type="spellStart"/>
      <w:r w:rsidRPr="004F0EED">
        <w:rPr>
          <w:rFonts w:ascii="Arial" w:hAnsi="Arial" w:cs="Arial"/>
          <w:sz w:val="22"/>
        </w:rPr>
        <w:t>edn</w:t>
      </w:r>
      <w:proofErr w:type="spellEnd"/>
      <w:r w:rsidRPr="004F0EED">
        <w:rPr>
          <w:rFonts w:ascii="Arial" w:hAnsi="Arial" w:cs="Arial"/>
          <w:sz w:val="22"/>
        </w:rPr>
        <w:t>. New York: Oxford University Press.</w:t>
      </w:r>
    </w:p>
    <w:p w14:paraId="0ACE8840"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Department of Health and Social Care (2005) </w:t>
      </w:r>
      <w:r w:rsidRPr="004F0EED">
        <w:rPr>
          <w:rFonts w:ascii="Arial" w:hAnsi="Arial" w:cs="Arial"/>
          <w:i/>
          <w:iCs/>
          <w:sz w:val="22"/>
        </w:rPr>
        <w:t>Mental Capacity Act 2005</w:t>
      </w:r>
      <w:r w:rsidRPr="004F0EED">
        <w:rPr>
          <w:rFonts w:ascii="Arial" w:hAnsi="Arial" w:cs="Arial"/>
          <w:sz w:val="22"/>
        </w:rPr>
        <w:t xml:space="preserve">. Available at: </w:t>
      </w:r>
      <w:hyperlink r:id="rId10" w:tgtFrame="_blank" w:history="1">
        <w:r w:rsidRPr="004F0EED">
          <w:rPr>
            <w:rStyle w:val="Hyperlink"/>
            <w:rFonts w:ascii="Arial" w:hAnsi="Arial" w:cs="Arial"/>
            <w:sz w:val="22"/>
          </w:rPr>
          <w:t>https://www.legislation.gov.uk/ukpga/2005/9/contents</w:t>
        </w:r>
      </w:hyperlink>
      <w:r w:rsidRPr="004F0EED">
        <w:rPr>
          <w:rFonts w:ascii="Arial" w:hAnsi="Arial" w:cs="Arial"/>
          <w:sz w:val="22"/>
        </w:rPr>
        <w:t xml:space="preserve"> (Accessed: 3 October 2026).</w:t>
      </w:r>
    </w:p>
    <w:p w14:paraId="304DC4DC"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Department of Health and Social Care (2014) </w:t>
      </w:r>
      <w:r w:rsidRPr="004F0EED">
        <w:rPr>
          <w:rFonts w:ascii="Arial" w:hAnsi="Arial" w:cs="Arial"/>
          <w:i/>
          <w:iCs/>
          <w:sz w:val="22"/>
        </w:rPr>
        <w:t>Care Act 2014</w:t>
      </w:r>
      <w:r w:rsidRPr="004F0EED">
        <w:rPr>
          <w:rFonts w:ascii="Arial" w:hAnsi="Arial" w:cs="Arial"/>
          <w:sz w:val="22"/>
        </w:rPr>
        <w:t xml:space="preserve">. Available at: </w:t>
      </w:r>
      <w:hyperlink r:id="rId11" w:tgtFrame="_blank" w:history="1">
        <w:r w:rsidRPr="004F0EED">
          <w:rPr>
            <w:rStyle w:val="Hyperlink"/>
            <w:rFonts w:ascii="Arial" w:hAnsi="Arial" w:cs="Arial"/>
            <w:sz w:val="22"/>
          </w:rPr>
          <w:t>https://www.legislation.gov.uk/ukpga/2014/23/contents</w:t>
        </w:r>
      </w:hyperlink>
      <w:r w:rsidRPr="004F0EED">
        <w:rPr>
          <w:rFonts w:ascii="Arial" w:hAnsi="Arial" w:cs="Arial"/>
          <w:sz w:val="22"/>
        </w:rPr>
        <w:t xml:space="preserve"> (Accessed: 3 October 2026).</w:t>
      </w:r>
    </w:p>
    <w:p w14:paraId="3285FBF2"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Department of Health and Social Care (2022) </w:t>
      </w:r>
      <w:r w:rsidRPr="004F0EED">
        <w:rPr>
          <w:rFonts w:ascii="Arial" w:hAnsi="Arial" w:cs="Arial"/>
          <w:i/>
          <w:iCs/>
          <w:sz w:val="22"/>
        </w:rPr>
        <w:t>Health and Care Act 2022</w:t>
      </w:r>
      <w:r w:rsidRPr="004F0EED">
        <w:rPr>
          <w:rFonts w:ascii="Arial" w:hAnsi="Arial" w:cs="Arial"/>
          <w:sz w:val="22"/>
        </w:rPr>
        <w:t xml:space="preserve">. Available at: </w:t>
      </w:r>
      <w:hyperlink r:id="rId12" w:tgtFrame="_blank" w:history="1">
        <w:r w:rsidRPr="004F0EED">
          <w:rPr>
            <w:rStyle w:val="Hyperlink"/>
            <w:rFonts w:ascii="Arial" w:hAnsi="Arial" w:cs="Arial"/>
            <w:sz w:val="22"/>
          </w:rPr>
          <w:t>https://www.legislation.gov.uk/ukpga/2022/31/contents</w:t>
        </w:r>
      </w:hyperlink>
      <w:r w:rsidRPr="004F0EED">
        <w:rPr>
          <w:rFonts w:ascii="Arial" w:hAnsi="Arial" w:cs="Arial"/>
          <w:sz w:val="22"/>
        </w:rPr>
        <w:t xml:space="preserve"> (Accessed: 3 October 2026).</w:t>
      </w:r>
    </w:p>
    <w:p w14:paraId="591F4C74"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Gibbs, G. (1988) </w:t>
      </w:r>
      <w:r w:rsidRPr="004F0EED">
        <w:rPr>
          <w:rFonts w:ascii="Arial" w:hAnsi="Arial" w:cs="Arial"/>
          <w:i/>
          <w:iCs/>
          <w:sz w:val="22"/>
        </w:rPr>
        <w:t>Learning by doing: A guide to teaching and learning methods</w:t>
      </w:r>
      <w:r w:rsidRPr="004F0EED">
        <w:rPr>
          <w:rFonts w:ascii="Arial" w:hAnsi="Arial" w:cs="Arial"/>
          <w:sz w:val="22"/>
        </w:rPr>
        <w:t>. Oxford: Further Education Unit.</w:t>
      </w:r>
    </w:p>
    <w:p w14:paraId="20C4DA4E"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Health and Care Professions Council (HCPC) (2016) </w:t>
      </w:r>
      <w:r w:rsidRPr="004F0EED">
        <w:rPr>
          <w:rFonts w:ascii="Arial" w:hAnsi="Arial" w:cs="Arial"/>
          <w:i/>
          <w:iCs/>
          <w:sz w:val="22"/>
        </w:rPr>
        <w:t>Standards of conduct, performance and ethics</w:t>
      </w:r>
      <w:r w:rsidRPr="004F0EED">
        <w:rPr>
          <w:rFonts w:ascii="Arial" w:hAnsi="Arial" w:cs="Arial"/>
          <w:sz w:val="22"/>
        </w:rPr>
        <w:t>. London: HCPC.</w:t>
      </w:r>
    </w:p>
    <w:p w14:paraId="3AF7A5D9"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Health Foundation (2016) </w:t>
      </w:r>
      <w:r w:rsidRPr="004F0EED">
        <w:rPr>
          <w:rFonts w:ascii="Arial" w:hAnsi="Arial" w:cs="Arial"/>
          <w:i/>
          <w:iCs/>
          <w:sz w:val="22"/>
        </w:rPr>
        <w:t>Person-centred care made simple</w:t>
      </w:r>
      <w:r w:rsidRPr="004F0EED">
        <w:rPr>
          <w:rFonts w:ascii="Arial" w:hAnsi="Arial" w:cs="Arial"/>
          <w:sz w:val="22"/>
        </w:rPr>
        <w:t xml:space="preserve">. Available at: </w:t>
      </w:r>
      <w:hyperlink r:id="rId13" w:tgtFrame="_blank" w:history="1">
        <w:r w:rsidRPr="004F0EED">
          <w:rPr>
            <w:rStyle w:val="Hyperlink"/>
            <w:rFonts w:ascii="Arial" w:hAnsi="Arial" w:cs="Arial"/>
            <w:sz w:val="22"/>
          </w:rPr>
          <w:t>https://www.health.org.uk/publications/person-centred-care-made-simple</w:t>
        </w:r>
      </w:hyperlink>
      <w:r w:rsidRPr="004F0EED">
        <w:rPr>
          <w:rFonts w:ascii="Arial" w:hAnsi="Arial" w:cs="Arial"/>
          <w:sz w:val="22"/>
        </w:rPr>
        <w:t xml:space="preserve"> (Accessed: 3 October 2026).</w:t>
      </w:r>
    </w:p>
    <w:p w14:paraId="49A2428F"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Maslow, A.H. (1943) 'A theory of human motivation', </w:t>
      </w:r>
      <w:r w:rsidRPr="004F0EED">
        <w:rPr>
          <w:rFonts w:ascii="Arial" w:hAnsi="Arial" w:cs="Arial"/>
          <w:i/>
          <w:iCs/>
          <w:sz w:val="22"/>
        </w:rPr>
        <w:t>Psychological Review</w:t>
      </w:r>
      <w:r w:rsidRPr="004F0EED">
        <w:rPr>
          <w:rFonts w:ascii="Arial" w:hAnsi="Arial" w:cs="Arial"/>
          <w:sz w:val="22"/>
        </w:rPr>
        <w:t>, 50(4), pp.370-396.</w:t>
      </w:r>
    </w:p>
    <w:p w14:paraId="70E041C9"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NHS (n.d.) </w:t>
      </w:r>
      <w:r w:rsidRPr="004F0EED">
        <w:rPr>
          <w:rFonts w:ascii="Arial" w:hAnsi="Arial" w:cs="Arial"/>
          <w:i/>
          <w:iCs/>
          <w:sz w:val="22"/>
        </w:rPr>
        <w:t>NHS England » Flexible funding allows Dylan to live independently for the first time in his life and save on on-going costs</w:t>
      </w:r>
      <w:r w:rsidRPr="004F0EED">
        <w:rPr>
          <w:rFonts w:ascii="Arial" w:hAnsi="Arial" w:cs="Arial"/>
          <w:sz w:val="22"/>
        </w:rPr>
        <w:t xml:space="preserve">. Available at: </w:t>
      </w:r>
      <w:hyperlink r:id="rId14" w:tgtFrame="_blank" w:history="1">
        <w:r w:rsidRPr="004F0EED">
          <w:rPr>
            <w:rStyle w:val="Hyperlink"/>
            <w:rFonts w:ascii="Arial" w:hAnsi="Arial" w:cs="Arial"/>
            <w:sz w:val="22"/>
          </w:rPr>
          <w:t>https://www.england.nhs.uk/personalisedcare/evidence-and-case-studies/flexible-funding-allows-dylan-to-live-independently-for-the-first-time-in-his-life-and-save-on-on-going-costs/</w:t>
        </w:r>
      </w:hyperlink>
      <w:r w:rsidRPr="004F0EED">
        <w:rPr>
          <w:rFonts w:ascii="Arial" w:hAnsi="Arial" w:cs="Arial"/>
          <w:sz w:val="22"/>
        </w:rPr>
        <w:t xml:space="preserve"> (Accessed: 3 October 2026).</w:t>
      </w:r>
    </w:p>
    <w:p w14:paraId="6648B40D"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NHS Leadership Academy (2016) </w:t>
      </w:r>
      <w:r w:rsidRPr="004F0EED">
        <w:rPr>
          <w:rFonts w:ascii="Arial" w:hAnsi="Arial" w:cs="Arial"/>
          <w:i/>
          <w:iCs/>
          <w:sz w:val="22"/>
        </w:rPr>
        <w:t>Healthcare Leadership Model: The nine dimensions of leadership behaviour</w:t>
      </w:r>
      <w:r w:rsidRPr="004F0EED">
        <w:rPr>
          <w:rFonts w:ascii="Arial" w:hAnsi="Arial" w:cs="Arial"/>
          <w:sz w:val="22"/>
        </w:rPr>
        <w:t>. Leeds: NHS Leadership Academy.</w:t>
      </w:r>
    </w:p>
    <w:p w14:paraId="0E3056A1" w14:textId="77777777" w:rsidR="004F0EED" w:rsidRPr="004F0EED" w:rsidRDefault="004F0EED" w:rsidP="004F0EED">
      <w:pPr>
        <w:spacing w:line="360" w:lineRule="auto"/>
        <w:rPr>
          <w:rFonts w:ascii="Arial" w:hAnsi="Arial" w:cs="Arial"/>
          <w:sz w:val="22"/>
        </w:rPr>
      </w:pPr>
      <w:r w:rsidRPr="004F0EED">
        <w:rPr>
          <w:rFonts w:ascii="Arial" w:hAnsi="Arial" w:cs="Arial"/>
          <w:sz w:val="22"/>
        </w:rPr>
        <w:lastRenderedPageBreak/>
        <w:t xml:space="preserve">Nursing and Midwifery Council (NMC) (2018) </w:t>
      </w:r>
      <w:r w:rsidRPr="004F0EED">
        <w:rPr>
          <w:rFonts w:ascii="Arial" w:hAnsi="Arial" w:cs="Arial"/>
          <w:i/>
          <w:iCs/>
          <w:sz w:val="22"/>
        </w:rPr>
        <w:t>The Code: Professional standards of practice and behaviour for nurses, midwives and nursing associates</w:t>
      </w:r>
      <w:r w:rsidRPr="004F0EED">
        <w:rPr>
          <w:rFonts w:ascii="Arial" w:hAnsi="Arial" w:cs="Arial"/>
          <w:sz w:val="22"/>
        </w:rPr>
        <w:t>. London: NMC.</w:t>
      </w:r>
    </w:p>
    <w:p w14:paraId="6F781449"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Ryder, C. et al. (2017) 'The biopsychosocial model of health and disease: A clinical perspective', </w:t>
      </w:r>
      <w:r w:rsidRPr="004F0EED">
        <w:rPr>
          <w:rFonts w:ascii="Arial" w:hAnsi="Arial" w:cs="Arial"/>
          <w:i/>
          <w:iCs/>
          <w:sz w:val="22"/>
        </w:rPr>
        <w:t>Journal of Health and Social Care</w:t>
      </w:r>
      <w:r w:rsidRPr="004F0EED">
        <w:rPr>
          <w:rFonts w:ascii="Arial" w:hAnsi="Arial" w:cs="Arial"/>
          <w:sz w:val="22"/>
        </w:rPr>
        <w:t>, 22(1), pp.45-52.</w:t>
      </w:r>
    </w:p>
    <w:p w14:paraId="6CAF1E64" w14:textId="77777777" w:rsidR="004F0EED" w:rsidRPr="004F0EED" w:rsidRDefault="004F0EED" w:rsidP="004F0EED">
      <w:pPr>
        <w:spacing w:line="360" w:lineRule="auto"/>
        <w:rPr>
          <w:rFonts w:ascii="Arial" w:hAnsi="Arial" w:cs="Arial"/>
          <w:sz w:val="22"/>
        </w:rPr>
      </w:pPr>
      <w:r w:rsidRPr="004F0EED">
        <w:rPr>
          <w:rFonts w:ascii="Arial" w:hAnsi="Arial" w:cs="Arial"/>
          <w:sz w:val="22"/>
        </w:rPr>
        <w:t xml:space="preserve">Social Care Institute for Excellence (SCIE) (2020) </w:t>
      </w:r>
      <w:r w:rsidRPr="004F0EED">
        <w:rPr>
          <w:rFonts w:ascii="Arial" w:hAnsi="Arial" w:cs="Arial"/>
          <w:i/>
          <w:iCs/>
          <w:sz w:val="22"/>
        </w:rPr>
        <w:t>Partnership working in social care</w:t>
      </w:r>
      <w:r w:rsidRPr="004F0EED">
        <w:rPr>
          <w:rFonts w:ascii="Arial" w:hAnsi="Arial" w:cs="Arial"/>
          <w:sz w:val="22"/>
        </w:rPr>
        <w:t xml:space="preserve">. Available at: </w:t>
      </w:r>
      <w:hyperlink r:id="rId15" w:tgtFrame="_blank" w:history="1">
        <w:r w:rsidRPr="004F0EED">
          <w:rPr>
            <w:rStyle w:val="Hyperlink"/>
            <w:rFonts w:ascii="Arial" w:hAnsi="Arial" w:cs="Arial"/>
            <w:sz w:val="22"/>
          </w:rPr>
          <w:t>https://www.scie.org.uk/care-act-2014/assessment-and-eligibility/partnership-working/</w:t>
        </w:r>
      </w:hyperlink>
      <w:r w:rsidRPr="004F0EED">
        <w:rPr>
          <w:rFonts w:ascii="Arial" w:hAnsi="Arial" w:cs="Arial"/>
          <w:sz w:val="22"/>
        </w:rPr>
        <w:t xml:space="preserve"> (Accessed: 3 October 2026).</w:t>
      </w:r>
    </w:p>
    <w:p w14:paraId="1E243764" w14:textId="77777777" w:rsidR="006D2F2D" w:rsidRPr="001D345E" w:rsidRDefault="006D2F2D" w:rsidP="00594FAC">
      <w:pPr>
        <w:spacing w:line="360" w:lineRule="auto"/>
        <w:rPr>
          <w:rFonts w:ascii="Arial" w:hAnsi="Arial" w:cs="Arial"/>
          <w:sz w:val="22"/>
        </w:rPr>
      </w:pPr>
    </w:p>
    <w:sectPr w:rsidR="006D2F2D" w:rsidRPr="001D34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DABA82" w14:textId="77777777" w:rsidR="00EF39D8" w:rsidRPr="004927D7" w:rsidRDefault="00EF39D8" w:rsidP="00B21FE6">
      <w:pPr>
        <w:spacing w:after="0" w:line="240" w:lineRule="auto"/>
      </w:pPr>
      <w:r w:rsidRPr="004927D7">
        <w:separator/>
      </w:r>
    </w:p>
  </w:endnote>
  <w:endnote w:type="continuationSeparator" w:id="0">
    <w:p w14:paraId="4A6244E6" w14:textId="77777777" w:rsidR="00EF39D8" w:rsidRPr="004927D7" w:rsidRDefault="00EF39D8" w:rsidP="00B21FE6">
      <w:pPr>
        <w:spacing w:after="0" w:line="240" w:lineRule="auto"/>
      </w:pPr>
      <w:r w:rsidRPr="004927D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ABBB35" w14:textId="77777777" w:rsidR="00EF39D8" w:rsidRPr="004927D7" w:rsidRDefault="00EF39D8" w:rsidP="00B21FE6">
      <w:pPr>
        <w:spacing w:after="0" w:line="240" w:lineRule="auto"/>
      </w:pPr>
      <w:r w:rsidRPr="004927D7">
        <w:separator/>
      </w:r>
    </w:p>
  </w:footnote>
  <w:footnote w:type="continuationSeparator" w:id="0">
    <w:p w14:paraId="65E0ABA2" w14:textId="77777777" w:rsidR="00EF39D8" w:rsidRPr="004927D7" w:rsidRDefault="00EF39D8" w:rsidP="00B21FE6">
      <w:pPr>
        <w:spacing w:after="0" w:line="240" w:lineRule="auto"/>
      </w:pPr>
      <w:r w:rsidRPr="004927D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67288"/>
    <w:rsid w:val="00094D7C"/>
    <w:rsid w:val="001100BA"/>
    <w:rsid w:val="001333C2"/>
    <w:rsid w:val="001D345E"/>
    <w:rsid w:val="00220640"/>
    <w:rsid w:val="00223DC4"/>
    <w:rsid w:val="0029677F"/>
    <w:rsid w:val="002A15A4"/>
    <w:rsid w:val="002A456C"/>
    <w:rsid w:val="002D39BD"/>
    <w:rsid w:val="00317E3D"/>
    <w:rsid w:val="00350D4F"/>
    <w:rsid w:val="00375733"/>
    <w:rsid w:val="004927D7"/>
    <w:rsid w:val="004C20E1"/>
    <w:rsid w:val="004C65A7"/>
    <w:rsid w:val="004D48B9"/>
    <w:rsid w:val="004F0EED"/>
    <w:rsid w:val="004F5B88"/>
    <w:rsid w:val="0058218C"/>
    <w:rsid w:val="00587B0C"/>
    <w:rsid w:val="00594FAC"/>
    <w:rsid w:val="00610A5B"/>
    <w:rsid w:val="006524ED"/>
    <w:rsid w:val="006D2F2D"/>
    <w:rsid w:val="006E1FF9"/>
    <w:rsid w:val="006E38AB"/>
    <w:rsid w:val="00780457"/>
    <w:rsid w:val="00785886"/>
    <w:rsid w:val="007F3A6A"/>
    <w:rsid w:val="0085266C"/>
    <w:rsid w:val="00887FBB"/>
    <w:rsid w:val="008E30AF"/>
    <w:rsid w:val="008F6D4B"/>
    <w:rsid w:val="0095665F"/>
    <w:rsid w:val="009E5C5F"/>
    <w:rsid w:val="00A11336"/>
    <w:rsid w:val="00A85C55"/>
    <w:rsid w:val="00AE7DDA"/>
    <w:rsid w:val="00B0144D"/>
    <w:rsid w:val="00B21FE6"/>
    <w:rsid w:val="00B435B7"/>
    <w:rsid w:val="00BC79FE"/>
    <w:rsid w:val="00C558B0"/>
    <w:rsid w:val="00C66DDD"/>
    <w:rsid w:val="00CA65B2"/>
    <w:rsid w:val="00CB391B"/>
    <w:rsid w:val="00D00A38"/>
    <w:rsid w:val="00D34394"/>
    <w:rsid w:val="00D545BA"/>
    <w:rsid w:val="00D66C96"/>
    <w:rsid w:val="00D80052"/>
    <w:rsid w:val="00D80812"/>
    <w:rsid w:val="00DF2422"/>
    <w:rsid w:val="00E428E4"/>
    <w:rsid w:val="00E81204"/>
    <w:rsid w:val="00EA4D8F"/>
    <w:rsid w:val="00EE215D"/>
    <w:rsid w:val="00EF39D8"/>
    <w:rsid w:val="00F81510"/>
    <w:rsid w:val="00FA6248"/>
    <w:rsid w:val="00FE50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4F0E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0E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0EED"/>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CA65B2"/>
    <w:rPr>
      <w:color w:val="0563C1" w:themeColor="hyperlink"/>
      <w:u w:val="single"/>
    </w:rPr>
  </w:style>
  <w:style w:type="character" w:styleId="UnresolvedMention">
    <w:name w:val="Unresolved Mention"/>
    <w:basedOn w:val="DefaultParagraphFont"/>
    <w:uiPriority w:val="99"/>
    <w:semiHidden/>
    <w:unhideWhenUsed/>
    <w:rsid w:val="00CA65B2"/>
    <w:rPr>
      <w:color w:val="605E5C"/>
      <w:shd w:val="clear" w:color="auto" w:fill="E1DFDD"/>
    </w:rPr>
  </w:style>
  <w:style w:type="character" w:customStyle="1" w:styleId="Heading1Char">
    <w:name w:val="Heading 1 Char"/>
    <w:basedOn w:val="DefaultParagraphFont"/>
    <w:link w:val="Heading1"/>
    <w:uiPriority w:val="9"/>
    <w:rsid w:val="004F0EE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0EED"/>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4F0EE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0EED"/>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4F0EE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4F0EED"/>
    <w:pPr>
      <w:spacing w:line="259" w:lineRule="auto"/>
      <w:outlineLvl w:val="9"/>
    </w:pPr>
    <w:rPr>
      <w:lang w:eastAsia="en-GB"/>
    </w:rPr>
  </w:style>
  <w:style w:type="paragraph" w:styleId="TOC1">
    <w:name w:val="toc 1"/>
    <w:basedOn w:val="Normal"/>
    <w:next w:val="Normal"/>
    <w:autoRedefine/>
    <w:uiPriority w:val="39"/>
    <w:unhideWhenUsed/>
    <w:rsid w:val="004F0E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health.org.uk/publications/person-centred-care-made-simp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egislation.gov.uk/ukpga/2022/31/content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4/23/contents" TargetMode="External"/><Relationship Id="rId5" Type="http://schemas.openxmlformats.org/officeDocument/2006/relationships/webSettings" Target="webSettings.xml"/><Relationship Id="rId15" Type="http://schemas.openxmlformats.org/officeDocument/2006/relationships/hyperlink" Target="https://www.google.com/search?q=https://www.scie.org.uk/care-act-2014/assessment-and-eligibility/partnership-working/&amp;authuser=2" TargetMode="External"/><Relationship Id="rId10" Type="http://schemas.openxmlformats.org/officeDocument/2006/relationships/hyperlink" Target="https://www.legislation.gov.uk/ukpga/2005/9/content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england.nhs.uk/personalisedcare/evidence-and-case-studies/flexible-funding-allows-dylan-to-live-independently-for-the-first-time-in-his-life-and-save-on-on-going-co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4C27A0-B3CE-48B1-A971-973FEE2669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5644</TotalTime>
  <Pages>10</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nevena semkova</cp:lastModifiedBy>
  <cp:revision>13</cp:revision>
  <dcterms:created xsi:type="dcterms:W3CDTF">2026-10-13T20:48:00Z</dcterms:created>
  <dcterms:modified xsi:type="dcterms:W3CDTF">2026-10-18T14:53:00Z</dcterms:modified>
</cp:coreProperties>
</file>