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B2B18A" w14:textId="5157C9DF" w:rsidR="00436806" w:rsidRDefault="00436806" w:rsidP="00436806">
      <w:pPr>
        <w:jc w:val="center"/>
        <w:rPr>
          <w:b/>
          <w:sz w:val="24"/>
          <w:szCs w:val="24"/>
          <w:u w:val="single"/>
        </w:rPr>
      </w:pPr>
      <w:r w:rsidRPr="008A2C6F">
        <w:rPr>
          <w:b/>
          <w:sz w:val="24"/>
          <w:szCs w:val="24"/>
          <w:u w:val="single"/>
        </w:rPr>
        <w:t>Critically discuss whether Nero had any coherent military or diplomatic objectives in the East.</w:t>
      </w:r>
    </w:p>
    <w:p w14:paraId="2FE84DF9" w14:textId="547E014B" w:rsidR="005506FB" w:rsidRPr="005506FB" w:rsidRDefault="005506FB" w:rsidP="00436806">
      <w:pPr>
        <w:jc w:val="center"/>
        <w:rPr>
          <w:i/>
          <w:sz w:val="24"/>
          <w:szCs w:val="24"/>
        </w:rPr>
      </w:pPr>
      <w:r w:rsidRPr="005506FB">
        <w:rPr>
          <w:i/>
          <w:sz w:val="24"/>
          <w:szCs w:val="24"/>
        </w:rPr>
        <w:t>By Tamara Bowie</w:t>
      </w:r>
    </w:p>
    <w:p w14:paraId="5329FBA9" w14:textId="77777777" w:rsidR="00436806" w:rsidRPr="008A2C6F" w:rsidRDefault="00436806" w:rsidP="00436806">
      <w:pPr>
        <w:rPr>
          <w:sz w:val="24"/>
          <w:szCs w:val="24"/>
        </w:rPr>
      </w:pPr>
      <w:r w:rsidRPr="008A2C6F">
        <w:rPr>
          <w:sz w:val="24"/>
          <w:szCs w:val="24"/>
        </w:rPr>
        <w:t>This essay will discuss the military objectives Emperor Nero had in the East in the period of 55AD until the end of his reign in 68AD. By focusing on the Roman-Parthian conflict of 55AD, the brief annex of the Bosphoran</w:t>
      </w:r>
      <w:bookmarkStart w:id="0" w:name="_GoBack"/>
      <w:bookmarkEnd w:id="0"/>
      <w:r w:rsidRPr="008A2C6F">
        <w:rPr>
          <w:sz w:val="24"/>
          <w:szCs w:val="24"/>
        </w:rPr>
        <w:t xml:space="preserve"> Kingdom in approximately 63AD, the annex of Pontus in 64AD and the Great Revolt in Judea that began in 66AD and continued beyond the end of Nero’s reign. The purpose of this discussion will be to determine if the objectives possessed a logical, coherent justification. </w:t>
      </w:r>
    </w:p>
    <w:p w14:paraId="09E5B33F" w14:textId="77777777" w:rsidR="00436806" w:rsidRPr="008A2C6F" w:rsidRDefault="00436806" w:rsidP="00436806">
      <w:pPr>
        <w:rPr>
          <w:sz w:val="24"/>
          <w:szCs w:val="24"/>
        </w:rPr>
      </w:pPr>
      <w:r w:rsidRPr="008A2C6F">
        <w:rPr>
          <w:sz w:val="24"/>
          <w:szCs w:val="24"/>
        </w:rPr>
        <w:t>The essay will present the viewpoint that, for the most part, the conflicts shared a coherent military objective although a lot of the reasoning can be attributed to the geographical location of the territories as well as the role they played within the Roman Empire suggesting that the actions taken by Nero and the empire were to maintain the empires stability.</w:t>
      </w:r>
    </w:p>
    <w:p w14:paraId="1F0679E7" w14:textId="77777777" w:rsidR="00FF6FFF" w:rsidRPr="008A2C6F" w:rsidRDefault="00FF6FFF" w:rsidP="00FF6FFF">
      <w:pPr>
        <w:rPr>
          <w:sz w:val="24"/>
          <w:szCs w:val="24"/>
        </w:rPr>
      </w:pPr>
      <w:r w:rsidRPr="008A2C6F">
        <w:rPr>
          <w:sz w:val="24"/>
          <w:szCs w:val="24"/>
        </w:rPr>
        <w:t>The first conflict this essay will discuss is the Roman-Parthian War of 55AD in which Hammond comments that “with the accession of the powerful Vologaeses, in 51AD, more vigorous action became necessary for the protection of Armenia”</w:t>
      </w:r>
      <w:r w:rsidRPr="008A2C6F">
        <w:rPr>
          <w:rStyle w:val="FootnoteReference"/>
          <w:sz w:val="24"/>
          <w:szCs w:val="24"/>
        </w:rPr>
        <w:footnoteReference w:id="1"/>
      </w:r>
      <w:r w:rsidRPr="008A2C6F">
        <w:rPr>
          <w:sz w:val="24"/>
          <w:szCs w:val="24"/>
        </w:rPr>
        <w:t>. The state of Armenia was a kingdom that while autonomous internally was ruled over in some way by the Roman Empire</w:t>
      </w:r>
      <w:r w:rsidRPr="008A2C6F">
        <w:rPr>
          <w:rStyle w:val="FootnoteReference"/>
          <w:sz w:val="24"/>
          <w:szCs w:val="24"/>
        </w:rPr>
        <w:footnoteReference w:id="2"/>
      </w:r>
      <w:r w:rsidRPr="008A2C6F">
        <w:rPr>
          <w:sz w:val="24"/>
          <w:szCs w:val="24"/>
        </w:rPr>
        <w:t>, that existed between the eastern border of the Roman Empire and the northern border of the Parthian empire, functioning as a buffer state of sorts. The emperor Nero was only one year into his reign at this stage and it has been questioned by modern historians as to whether at approximately seventeen he would be competent enough to manage this in a mature manner, with some concern about the proximity to his mother potentially hindering his ability to lead effectively being expressed by other authors</w:t>
      </w:r>
      <w:r w:rsidRPr="008A2C6F">
        <w:rPr>
          <w:rStyle w:val="FootnoteReference"/>
          <w:sz w:val="24"/>
          <w:szCs w:val="24"/>
        </w:rPr>
        <w:footnoteReference w:id="3"/>
      </w:r>
      <w:r w:rsidRPr="008A2C6F">
        <w:rPr>
          <w:sz w:val="24"/>
          <w:szCs w:val="24"/>
        </w:rPr>
        <w:t>. This led to the reliance Nero placed upon his subordinates, in this case the key example is Corbulo</w:t>
      </w:r>
      <w:r w:rsidRPr="008A2C6F">
        <w:rPr>
          <w:rStyle w:val="FootnoteReference"/>
          <w:sz w:val="24"/>
          <w:szCs w:val="24"/>
        </w:rPr>
        <w:footnoteReference w:id="4"/>
      </w:r>
      <w:r w:rsidRPr="008A2C6F">
        <w:rPr>
          <w:sz w:val="24"/>
          <w:szCs w:val="24"/>
        </w:rPr>
        <w:t xml:space="preserve">. Hammond </w:t>
      </w:r>
      <w:proofErr w:type="gramStart"/>
      <w:r w:rsidRPr="008A2C6F">
        <w:rPr>
          <w:sz w:val="24"/>
          <w:szCs w:val="24"/>
        </w:rPr>
        <w:t>suggests  that</w:t>
      </w:r>
      <w:proofErr w:type="gramEnd"/>
      <w:r w:rsidRPr="008A2C6F">
        <w:rPr>
          <w:sz w:val="24"/>
          <w:szCs w:val="24"/>
        </w:rPr>
        <w:t xml:space="preserve"> many of the difficulties Rome faced in the East were as much a result of Corbulo’s character as they were anything else</w:t>
      </w:r>
      <w:r w:rsidRPr="008A2C6F">
        <w:rPr>
          <w:rStyle w:val="FootnoteReference"/>
          <w:sz w:val="24"/>
          <w:szCs w:val="24"/>
        </w:rPr>
        <w:footnoteReference w:id="5"/>
      </w:r>
      <w:r w:rsidRPr="008A2C6F">
        <w:rPr>
          <w:sz w:val="24"/>
          <w:szCs w:val="24"/>
        </w:rPr>
        <w:t xml:space="preserve">. There is some debate around the identity of Corbulo however most scholarship is in agreement that his first campaign of note was against </w:t>
      </w:r>
      <w:proofErr w:type="spellStart"/>
      <w:r w:rsidRPr="008A2C6F">
        <w:rPr>
          <w:sz w:val="24"/>
          <w:szCs w:val="24"/>
        </w:rPr>
        <w:t>Gannascus</w:t>
      </w:r>
      <w:proofErr w:type="spellEnd"/>
      <w:r w:rsidRPr="008A2C6F">
        <w:rPr>
          <w:sz w:val="24"/>
          <w:szCs w:val="24"/>
        </w:rPr>
        <w:t xml:space="preserve"> not so much for the battle itself more the precedent he set for the rest of his military career, as commented on in the work of Hammond, for “the restoration of discipline among the legions”</w:t>
      </w:r>
      <w:r w:rsidRPr="008A2C6F">
        <w:rPr>
          <w:rStyle w:val="FootnoteReference"/>
          <w:sz w:val="24"/>
          <w:szCs w:val="24"/>
        </w:rPr>
        <w:footnoteReference w:id="6"/>
      </w:r>
      <w:r w:rsidRPr="008A2C6F">
        <w:rPr>
          <w:sz w:val="24"/>
          <w:szCs w:val="24"/>
        </w:rPr>
        <w:t xml:space="preserve">.aside from what appears to be devoted service to Nero and the Empire while maintaining his own reputation as well as furthering his career the interesting aspect of this general’s life is also in the manner of his death. Primarily he was very supportive of enforcing a nominal suzerainty over Armenia while the fellow general Paetus, preferred the idea of annexing Armenia and fully absorbing it into the Roman </w:t>
      </w:r>
      <w:r w:rsidRPr="008A2C6F">
        <w:rPr>
          <w:sz w:val="24"/>
          <w:szCs w:val="24"/>
        </w:rPr>
        <w:lastRenderedPageBreak/>
        <w:t>empire</w:t>
      </w:r>
      <w:r w:rsidRPr="008A2C6F">
        <w:rPr>
          <w:rStyle w:val="FootnoteReference"/>
          <w:sz w:val="24"/>
          <w:szCs w:val="24"/>
        </w:rPr>
        <w:footnoteReference w:id="7"/>
      </w:r>
      <w:r w:rsidRPr="008A2C6F">
        <w:rPr>
          <w:sz w:val="24"/>
          <w:szCs w:val="24"/>
        </w:rPr>
        <w:t>. While he was respected by both the Romans and Parthians, the latter of which entrusted hostages to Corbulo’s representatives</w:t>
      </w:r>
      <w:r w:rsidRPr="008A2C6F">
        <w:rPr>
          <w:rStyle w:val="FootnoteReference"/>
          <w:sz w:val="24"/>
          <w:szCs w:val="24"/>
        </w:rPr>
        <w:footnoteReference w:id="8"/>
      </w:r>
      <w:r w:rsidRPr="008A2C6F">
        <w:rPr>
          <w:sz w:val="24"/>
          <w:szCs w:val="24"/>
        </w:rPr>
        <w:t xml:space="preserve">, the man himself was prone to what appeared to be jealousy, drawing parallels to his emperor. His </w:t>
      </w:r>
      <w:proofErr w:type="spellStart"/>
      <w:r w:rsidRPr="008A2C6F">
        <w:rPr>
          <w:sz w:val="24"/>
          <w:szCs w:val="24"/>
        </w:rPr>
        <w:t>jelousy</w:t>
      </w:r>
      <w:proofErr w:type="spellEnd"/>
      <w:r w:rsidRPr="008A2C6F">
        <w:rPr>
          <w:sz w:val="24"/>
          <w:szCs w:val="24"/>
        </w:rPr>
        <w:t xml:space="preserve"> can be seen in Tacitus’ recordings of the incident in Armenia where Corbulo delayed his assistance to Paetus for reasons that don’t seem overly apparent</w:t>
      </w:r>
      <w:r w:rsidRPr="008A2C6F">
        <w:rPr>
          <w:rStyle w:val="FootnoteReference"/>
          <w:sz w:val="24"/>
          <w:szCs w:val="24"/>
        </w:rPr>
        <w:footnoteReference w:id="9"/>
      </w:r>
      <w:r w:rsidRPr="008A2C6F">
        <w:rPr>
          <w:sz w:val="24"/>
          <w:szCs w:val="24"/>
        </w:rPr>
        <w:t xml:space="preserve"> yet Hammond considers the idea that he simply enjoyed leaving his ally to squirm under the pressure of potential defeat</w:t>
      </w:r>
      <w:r w:rsidRPr="008A2C6F">
        <w:rPr>
          <w:rStyle w:val="FootnoteReference"/>
          <w:sz w:val="24"/>
          <w:szCs w:val="24"/>
        </w:rPr>
        <w:footnoteReference w:id="10"/>
      </w:r>
      <w:r w:rsidRPr="008A2C6F">
        <w:rPr>
          <w:sz w:val="24"/>
          <w:szCs w:val="24"/>
        </w:rPr>
        <w:t>. Further, upon capturing the old Armenian capital Artaxata</w:t>
      </w:r>
      <w:r w:rsidRPr="008A2C6F">
        <w:rPr>
          <w:rStyle w:val="FootnoteReference"/>
          <w:sz w:val="24"/>
          <w:szCs w:val="24"/>
        </w:rPr>
        <w:footnoteReference w:id="11"/>
      </w:r>
      <w:r w:rsidRPr="008A2C6F">
        <w:rPr>
          <w:sz w:val="24"/>
          <w:szCs w:val="24"/>
        </w:rPr>
        <w:t xml:space="preserve">, Tacitus has recorded Corbulo ending the campaign. Corbulo received his death warrant from Nero in </w:t>
      </w:r>
      <w:proofErr w:type="spellStart"/>
      <w:r w:rsidRPr="008A2C6F">
        <w:rPr>
          <w:sz w:val="24"/>
          <w:szCs w:val="24"/>
        </w:rPr>
        <w:t>Cenchreae</w:t>
      </w:r>
      <w:proofErr w:type="spellEnd"/>
      <w:r w:rsidRPr="008A2C6F">
        <w:rPr>
          <w:rStyle w:val="FootnoteReference"/>
          <w:sz w:val="24"/>
          <w:szCs w:val="24"/>
        </w:rPr>
        <w:footnoteReference w:id="12"/>
      </w:r>
      <w:r w:rsidRPr="008A2C6F">
        <w:rPr>
          <w:sz w:val="24"/>
          <w:szCs w:val="24"/>
        </w:rPr>
        <w:t>, and promptly stabbed himself which Henderson suggests “posterity will admit that Corbulo was too loyal to an ungrateful master”</w:t>
      </w:r>
      <w:r w:rsidRPr="008A2C6F">
        <w:rPr>
          <w:rStyle w:val="FootnoteReference"/>
          <w:sz w:val="24"/>
          <w:szCs w:val="24"/>
        </w:rPr>
        <w:footnoteReference w:id="13"/>
      </w:r>
      <w:r w:rsidRPr="008A2C6F">
        <w:rPr>
          <w:sz w:val="24"/>
          <w:szCs w:val="24"/>
        </w:rPr>
        <w:t>. This essay would be inclined to agree with that assessment due to Corbulo’s leadership resolving the Armenian conflict in a manner that enabled Rome to potentially save face</w:t>
      </w:r>
      <w:r w:rsidRPr="008A2C6F">
        <w:rPr>
          <w:rStyle w:val="FootnoteReference"/>
          <w:sz w:val="24"/>
          <w:szCs w:val="24"/>
        </w:rPr>
        <w:footnoteReference w:id="14"/>
      </w:r>
      <w:r w:rsidRPr="008A2C6F">
        <w:rPr>
          <w:sz w:val="24"/>
          <w:szCs w:val="24"/>
        </w:rPr>
        <w:t>, an idea that is explored in the works of Hammond</w:t>
      </w:r>
      <w:r w:rsidRPr="008A2C6F">
        <w:rPr>
          <w:rStyle w:val="FootnoteReference"/>
          <w:sz w:val="24"/>
          <w:szCs w:val="24"/>
        </w:rPr>
        <w:footnoteReference w:id="15"/>
      </w:r>
      <w:r w:rsidRPr="008A2C6F">
        <w:rPr>
          <w:sz w:val="24"/>
          <w:szCs w:val="24"/>
        </w:rPr>
        <w:t>. The primary issue that the geographical location of Armenia presented was in direct correlation with the succession in its monarchy, where if a ‘pro-Parthian’ monarch was to take the throne, based on the position of Armenia there was a longer stretch of border territory outside of the Roman Empire’s direct control in which the Parthians could then exploit as a weakness of the Empire. The result of this would have been a significant reduction to the stability of the territory by creating a larger potential entrance point should the Parthian empire decide to invade Roman territory. To conclude, the Roman-Parthian conflict in Armenia was an example of logical action and objective in the prevention of militaristic complications on the eastern border of the empire.</w:t>
      </w:r>
    </w:p>
    <w:p w14:paraId="4694D3FA" w14:textId="77777777" w:rsidR="00FF6FFF" w:rsidRPr="008A2C6F" w:rsidRDefault="00FF6FFF" w:rsidP="00FF6FFF">
      <w:pPr>
        <w:rPr>
          <w:sz w:val="24"/>
          <w:szCs w:val="24"/>
        </w:rPr>
      </w:pPr>
      <w:r w:rsidRPr="008A2C6F">
        <w:rPr>
          <w:sz w:val="24"/>
          <w:szCs w:val="24"/>
        </w:rPr>
        <w:t>Secondly this essay will look at the deposition of Cotys I and the brief annex of the Bosphoran Kingdom incorporating this into Moesia Inferior. Initially as a client Kingdom that acted as “the linchpin of Roman policy in the Black Sea”</w:t>
      </w:r>
      <w:r w:rsidRPr="008A2C6F">
        <w:rPr>
          <w:rStyle w:val="FootnoteReference"/>
          <w:sz w:val="24"/>
          <w:szCs w:val="24"/>
        </w:rPr>
        <w:footnoteReference w:id="16"/>
      </w:r>
      <w:r w:rsidRPr="008A2C6F">
        <w:rPr>
          <w:sz w:val="24"/>
          <w:szCs w:val="24"/>
        </w:rPr>
        <w:t xml:space="preserve"> the parent kingdom would want revolts quelled quickly to prevent the loss of territory as well as to maintain the dominance the empire had over its clients. Mithridates, the older brother of Cotys I earlier used the connections he had from the Bosphoran kingdom to negotiate surrender to the Emperor Claudius</w:t>
      </w:r>
      <w:r w:rsidRPr="008A2C6F">
        <w:rPr>
          <w:rStyle w:val="FootnoteReference"/>
          <w:sz w:val="24"/>
          <w:szCs w:val="24"/>
        </w:rPr>
        <w:footnoteReference w:id="17"/>
      </w:r>
      <w:r w:rsidRPr="008A2C6F">
        <w:rPr>
          <w:sz w:val="24"/>
          <w:szCs w:val="24"/>
        </w:rPr>
        <w:t xml:space="preserve"> and later, after appearing to have lived on in Rome until around 68AD, Galba had him executed</w:t>
      </w:r>
      <w:r w:rsidRPr="008A2C6F">
        <w:rPr>
          <w:rStyle w:val="FootnoteReference"/>
          <w:sz w:val="24"/>
          <w:szCs w:val="24"/>
        </w:rPr>
        <w:footnoteReference w:id="18"/>
      </w:r>
      <w:r w:rsidRPr="008A2C6F">
        <w:rPr>
          <w:sz w:val="24"/>
          <w:szCs w:val="24"/>
        </w:rPr>
        <w:t>. For no reason that is found by Tacitus in the Annuls, Cotys I was deposed from power by Nero</w:t>
      </w:r>
      <w:r w:rsidRPr="008A2C6F">
        <w:rPr>
          <w:rStyle w:val="FootnoteReference"/>
          <w:sz w:val="24"/>
          <w:szCs w:val="24"/>
        </w:rPr>
        <w:footnoteReference w:id="19"/>
      </w:r>
      <w:r w:rsidRPr="008A2C6F">
        <w:rPr>
          <w:sz w:val="24"/>
          <w:szCs w:val="24"/>
        </w:rPr>
        <w:t xml:space="preserve"> and the territory absorbed by Moesia Inferior. Now this would make sense in the attempt to quell a revolt, it has also been observed that the absorption of client kingdoms into allied nearby provinces was common after the death of the client king </w:t>
      </w:r>
      <w:r w:rsidRPr="008A2C6F">
        <w:rPr>
          <w:sz w:val="24"/>
          <w:szCs w:val="24"/>
        </w:rPr>
        <w:lastRenderedPageBreak/>
        <w:t xml:space="preserve">especially in events where there are not clear successors. Furthermore, after the civil war between the two brothers, removing the need to have a client king on the throne would reduce the chance of something of this nature reoccurring. </w:t>
      </w:r>
    </w:p>
    <w:p w14:paraId="19F959EB" w14:textId="77777777" w:rsidR="00D543BC" w:rsidRPr="008A2C6F" w:rsidRDefault="00FF6FFF" w:rsidP="00FF6FFF">
      <w:pPr>
        <w:rPr>
          <w:sz w:val="24"/>
          <w:szCs w:val="24"/>
        </w:rPr>
      </w:pPr>
      <w:r w:rsidRPr="008A2C6F">
        <w:rPr>
          <w:sz w:val="24"/>
          <w:szCs w:val="24"/>
        </w:rPr>
        <w:t>On the other hand, the territory that was the Bosphoran Kingdom was then separated from Moesia Inferior and restored by the Emperor Galba to Rhescupons; the son of Cotys I and Eunice</w:t>
      </w:r>
      <w:r w:rsidRPr="008A2C6F">
        <w:rPr>
          <w:rStyle w:val="FootnoteReference"/>
          <w:sz w:val="24"/>
          <w:szCs w:val="24"/>
        </w:rPr>
        <w:footnoteReference w:id="20"/>
      </w:r>
      <w:r w:rsidRPr="008A2C6F">
        <w:rPr>
          <w:sz w:val="24"/>
          <w:szCs w:val="24"/>
        </w:rPr>
        <w:t>, a Greek noblewoman. As mentioned beforehand, Tacitus hadn’t mentioned a reason for Nero’s actions here</w:t>
      </w:r>
      <w:r w:rsidRPr="008A2C6F">
        <w:rPr>
          <w:rStyle w:val="FootnoteReference"/>
          <w:sz w:val="24"/>
          <w:szCs w:val="24"/>
        </w:rPr>
        <w:footnoteReference w:id="21"/>
      </w:r>
      <w:r w:rsidRPr="008A2C6F">
        <w:rPr>
          <w:sz w:val="24"/>
          <w:szCs w:val="24"/>
        </w:rPr>
        <w:t xml:space="preserve"> and the fact it was returned by Galba not long later with what appears to be little to no incentive it begs the question as to whether there was a logical reason for his doing so in the first instance. The geographical position of the Bosphoran Kingdom is an interesting discussion as it comprised of the northern shore of the Black sea</w:t>
      </w:r>
      <w:r w:rsidRPr="008A2C6F">
        <w:rPr>
          <w:rStyle w:val="FootnoteReference"/>
          <w:sz w:val="24"/>
          <w:szCs w:val="24"/>
        </w:rPr>
        <w:footnoteReference w:id="22"/>
      </w:r>
      <w:r w:rsidRPr="008A2C6F">
        <w:rPr>
          <w:sz w:val="24"/>
          <w:szCs w:val="24"/>
        </w:rPr>
        <w:t xml:space="preserve"> while this would be an isolated choice alone, by considering Nero’s attempted expedition into Caucasus</w:t>
      </w:r>
      <w:r w:rsidRPr="008A2C6F">
        <w:rPr>
          <w:rStyle w:val="FootnoteReference"/>
          <w:sz w:val="24"/>
          <w:szCs w:val="24"/>
        </w:rPr>
        <w:footnoteReference w:id="23"/>
      </w:r>
      <w:r w:rsidR="00D543BC" w:rsidRPr="008A2C6F">
        <w:rPr>
          <w:sz w:val="24"/>
          <w:szCs w:val="24"/>
        </w:rPr>
        <w:t xml:space="preserve"> the idea becomes more coherent. To summarise, Nero’s annex of the Bosphoran Kingdom appears to have little military justification beyond preventing issues of succession such as what arose between Mithridates and Cotys I yet after the resolution of this issue it seems unnecessary.</w:t>
      </w:r>
      <w:r w:rsidRPr="008A2C6F">
        <w:rPr>
          <w:sz w:val="24"/>
          <w:szCs w:val="24"/>
        </w:rPr>
        <w:t xml:space="preserve"> </w:t>
      </w:r>
    </w:p>
    <w:p w14:paraId="5694FFAD" w14:textId="639D41D8" w:rsidR="00FF6FFF" w:rsidRPr="008A2C6F" w:rsidRDefault="00D543BC" w:rsidP="00FF6FFF">
      <w:pPr>
        <w:rPr>
          <w:sz w:val="24"/>
          <w:szCs w:val="24"/>
        </w:rPr>
      </w:pPr>
      <w:r w:rsidRPr="008A2C6F">
        <w:rPr>
          <w:sz w:val="24"/>
          <w:szCs w:val="24"/>
        </w:rPr>
        <w:t xml:space="preserve">The Caucasus was the name of </w:t>
      </w:r>
      <w:r w:rsidR="00FF6FFF" w:rsidRPr="008A2C6F">
        <w:rPr>
          <w:sz w:val="24"/>
          <w:szCs w:val="24"/>
        </w:rPr>
        <w:t xml:space="preserve">the mountain range to the North East of the Armenian territory it provided a second point of entry to the area via Sarmatian territory. </w:t>
      </w:r>
      <w:r w:rsidR="00BE1019" w:rsidRPr="008A2C6F">
        <w:rPr>
          <w:sz w:val="24"/>
          <w:szCs w:val="24"/>
        </w:rPr>
        <w:t>This coincided with the annexation of Polemo’s Kingdom in approximately 64AD</w:t>
      </w:r>
      <w:r w:rsidR="00BE1019" w:rsidRPr="008A2C6F">
        <w:rPr>
          <w:rStyle w:val="FootnoteReference"/>
          <w:sz w:val="24"/>
          <w:szCs w:val="24"/>
        </w:rPr>
        <w:footnoteReference w:id="24"/>
      </w:r>
      <w:r w:rsidR="00BE1019" w:rsidRPr="008A2C6F">
        <w:rPr>
          <w:sz w:val="24"/>
          <w:szCs w:val="24"/>
        </w:rPr>
        <w:t>, the interesting aspect of this instance is Nero’s expeditions</w:t>
      </w:r>
      <w:r w:rsidRPr="008A2C6F">
        <w:rPr>
          <w:sz w:val="24"/>
          <w:szCs w:val="24"/>
        </w:rPr>
        <w:t>, both here and in wider Ethiopia,</w:t>
      </w:r>
      <w:r w:rsidR="00BE1019" w:rsidRPr="008A2C6F">
        <w:rPr>
          <w:sz w:val="24"/>
          <w:szCs w:val="24"/>
        </w:rPr>
        <w:t xml:space="preserve"> highlight his need to </w:t>
      </w:r>
      <w:r w:rsidRPr="008A2C6F">
        <w:rPr>
          <w:sz w:val="24"/>
          <w:szCs w:val="24"/>
        </w:rPr>
        <w:t>emulate</w:t>
      </w:r>
      <w:r w:rsidR="00BE1019" w:rsidRPr="008A2C6F">
        <w:rPr>
          <w:sz w:val="24"/>
          <w:szCs w:val="24"/>
        </w:rPr>
        <w:t xml:space="preserve"> Alexander the Great, creating a new legion for the excursion to the Caspian Gates</w:t>
      </w:r>
      <w:r w:rsidR="00BE1019" w:rsidRPr="008A2C6F">
        <w:rPr>
          <w:rStyle w:val="FootnoteReference"/>
          <w:sz w:val="24"/>
          <w:szCs w:val="24"/>
        </w:rPr>
        <w:footnoteReference w:id="25"/>
      </w:r>
      <w:r w:rsidR="00BE1019" w:rsidRPr="008A2C6F">
        <w:rPr>
          <w:sz w:val="24"/>
          <w:szCs w:val="24"/>
        </w:rPr>
        <w:t xml:space="preserve"> in which the legion was named “phalanx of Alexander the Great” and its troops drawn nearly entirely from Italy, with supplementary units being drawn in from Britain and Germany</w:t>
      </w:r>
      <w:r w:rsidR="00BE1019" w:rsidRPr="008A2C6F">
        <w:rPr>
          <w:rStyle w:val="FootnoteReference"/>
          <w:sz w:val="24"/>
          <w:szCs w:val="24"/>
        </w:rPr>
        <w:footnoteReference w:id="26"/>
      </w:r>
      <w:r w:rsidR="00BE1019" w:rsidRPr="008A2C6F">
        <w:rPr>
          <w:sz w:val="24"/>
          <w:szCs w:val="24"/>
        </w:rPr>
        <w:t xml:space="preserve">. </w:t>
      </w:r>
      <w:r w:rsidR="00FF6FFF" w:rsidRPr="008A2C6F">
        <w:rPr>
          <w:sz w:val="24"/>
          <w:szCs w:val="24"/>
        </w:rPr>
        <w:t>The purpose of this expedition was to replicate the feats of Alexander the Great</w:t>
      </w:r>
      <w:r w:rsidR="00BE1019" w:rsidRPr="008A2C6F">
        <w:rPr>
          <w:sz w:val="24"/>
          <w:szCs w:val="24"/>
        </w:rPr>
        <w:t xml:space="preserve"> which provided next to no militaristic advantage to the Empire nor defended it from direct threat, however it can be argued that due to the expectation that </w:t>
      </w:r>
      <w:r w:rsidRPr="008A2C6F">
        <w:rPr>
          <w:sz w:val="24"/>
          <w:szCs w:val="24"/>
        </w:rPr>
        <w:t>Iberian Kings, who held a strong interest in the Kingdom of Armenia, were expected to control the tribes of Sarmatia, the removal of Polemo held true to both the agreements reached at Rhandeia as well as remaining coherent to the rest of the Nero’s projected interests in the area. The expedition into Caucasus</w:t>
      </w:r>
      <w:r w:rsidR="00FF6FFF" w:rsidRPr="008A2C6F">
        <w:rPr>
          <w:sz w:val="24"/>
          <w:szCs w:val="24"/>
        </w:rPr>
        <w:t xml:space="preserve"> never took place due to rebellion against Nero within his own Empire</w:t>
      </w:r>
      <w:r w:rsidR="00FF6FFF" w:rsidRPr="008A2C6F">
        <w:rPr>
          <w:rStyle w:val="FootnoteReference"/>
          <w:sz w:val="24"/>
          <w:szCs w:val="24"/>
        </w:rPr>
        <w:footnoteReference w:id="27"/>
      </w:r>
      <w:r w:rsidR="00FF6FFF" w:rsidRPr="008A2C6F">
        <w:rPr>
          <w:sz w:val="24"/>
          <w:szCs w:val="24"/>
        </w:rPr>
        <w:t xml:space="preserve"> and his need to redeploy the troops elsewhere. </w:t>
      </w:r>
    </w:p>
    <w:p w14:paraId="2CA16152" w14:textId="759C75BD" w:rsidR="0059360A" w:rsidRPr="008A2C6F" w:rsidRDefault="0059360A" w:rsidP="0059360A">
      <w:pPr>
        <w:rPr>
          <w:sz w:val="24"/>
          <w:szCs w:val="24"/>
        </w:rPr>
      </w:pPr>
      <w:r w:rsidRPr="008A2C6F">
        <w:rPr>
          <w:sz w:val="24"/>
          <w:szCs w:val="24"/>
        </w:rPr>
        <w:t xml:space="preserve">The Balkans to the north of Armenia represented the land of tribes of warlike people that by the Neronian age practised domestic arts such as agriculture in a manner that led them to a more sedentary lifestyle. The primary concern presented in the works of </w:t>
      </w:r>
      <w:proofErr w:type="spellStart"/>
      <w:r w:rsidRPr="008A2C6F">
        <w:rPr>
          <w:sz w:val="24"/>
          <w:szCs w:val="24"/>
        </w:rPr>
        <w:t>Conole</w:t>
      </w:r>
      <w:proofErr w:type="spellEnd"/>
      <w:r w:rsidRPr="008A2C6F">
        <w:rPr>
          <w:sz w:val="24"/>
          <w:szCs w:val="24"/>
        </w:rPr>
        <w:t xml:space="preserve"> and </w:t>
      </w:r>
      <w:proofErr w:type="spellStart"/>
      <w:r w:rsidRPr="008A2C6F">
        <w:rPr>
          <w:sz w:val="24"/>
          <w:szCs w:val="24"/>
        </w:rPr>
        <w:t>Milns</w:t>
      </w:r>
      <w:proofErr w:type="spellEnd"/>
      <w:r w:rsidRPr="008A2C6F">
        <w:rPr>
          <w:sz w:val="24"/>
          <w:szCs w:val="24"/>
        </w:rPr>
        <w:t xml:space="preserve"> is that the reason for Nero’s expansion was at its core to maintain the secure hold over the </w:t>
      </w:r>
      <w:r w:rsidRPr="008A2C6F">
        <w:rPr>
          <w:sz w:val="24"/>
          <w:szCs w:val="24"/>
        </w:rPr>
        <w:lastRenderedPageBreak/>
        <w:t>territory they had conquered as well as where possible, Romanize it</w:t>
      </w:r>
      <w:r w:rsidRPr="008A2C6F">
        <w:rPr>
          <w:rStyle w:val="FootnoteReference"/>
          <w:sz w:val="24"/>
          <w:szCs w:val="24"/>
        </w:rPr>
        <w:footnoteReference w:id="28"/>
      </w:r>
      <w:r w:rsidRPr="008A2C6F">
        <w:rPr>
          <w:sz w:val="24"/>
          <w:szCs w:val="24"/>
        </w:rPr>
        <w:t xml:space="preserve">. By the time Nero took power in 54AD the tribes were subservient. By ensuring this was held securely Nero’s military issues would be significantly reduced, suggesting coherent intent, especially when considering the </w:t>
      </w:r>
      <w:r w:rsidR="00CF2882" w:rsidRPr="008A2C6F">
        <w:rPr>
          <w:sz w:val="24"/>
          <w:szCs w:val="24"/>
        </w:rPr>
        <w:t>fact,</w:t>
      </w:r>
      <w:r w:rsidRPr="008A2C6F">
        <w:rPr>
          <w:sz w:val="24"/>
          <w:szCs w:val="24"/>
        </w:rPr>
        <w:t xml:space="preserve"> he would be able to move his forces to combat the more semi-nomadic Sarmatian tribes that were spreading west to the fringes of what was considered the known world</w:t>
      </w:r>
      <w:r w:rsidRPr="008A2C6F">
        <w:rPr>
          <w:rStyle w:val="FootnoteReference"/>
          <w:sz w:val="24"/>
          <w:szCs w:val="24"/>
        </w:rPr>
        <w:footnoteReference w:id="29"/>
      </w:r>
      <w:r w:rsidRPr="008A2C6F">
        <w:rPr>
          <w:sz w:val="24"/>
          <w:szCs w:val="24"/>
        </w:rPr>
        <w:t>.</w:t>
      </w:r>
    </w:p>
    <w:p w14:paraId="3451FC3C" w14:textId="6330356D" w:rsidR="002528F9" w:rsidRPr="008A2C6F" w:rsidRDefault="0059360A">
      <w:pPr>
        <w:rPr>
          <w:sz w:val="24"/>
          <w:szCs w:val="24"/>
        </w:rPr>
      </w:pPr>
      <w:r w:rsidRPr="008A2C6F">
        <w:rPr>
          <w:sz w:val="24"/>
          <w:szCs w:val="24"/>
        </w:rPr>
        <w:t>Next, this essay will briefly consider the annex of the client Kingdom Pontus in 64AD. The interesting aspect of this is Nero did this while the King was still alive</w:t>
      </w:r>
      <w:r w:rsidRPr="008A2C6F">
        <w:rPr>
          <w:rStyle w:val="FootnoteReference"/>
          <w:sz w:val="24"/>
          <w:szCs w:val="24"/>
        </w:rPr>
        <w:footnoteReference w:id="30"/>
      </w:r>
      <w:r w:rsidRPr="008A2C6F">
        <w:rPr>
          <w:sz w:val="24"/>
          <w:szCs w:val="24"/>
        </w:rPr>
        <w:t>, contradicting the earlier observation that it was usually done after the death of the client king. This territory shared a border with Armenia and the actions taken by Nero at this point ensured that the territory was available for him to move troops freely should the need arise in the face of the potential threat and conflict with Parthia over Armenia. Thus, the geographical location provides a coherent justification for Nero’s actions towards both Pontus and Armenia by adapting the surrounding territories to support the intention he had for the Armenian monarch to be in favour of Roman policies and supporting them in the East.</w:t>
      </w:r>
    </w:p>
    <w:p w14:paraId="2AA001A3" w14:textId="2A377D63" w:rsidR="00531A02" w:rsidRPr="008A2C6F" w:rsidRDefault="00531A02" w:rsidP="00531A02">
      <w:pPr>
        <w:rPr>
          <w:sz w:val="24"/>
          <w:szCs w:val="24"/>
        </w:rPr>
      </w:pPr>
      <w:r w:rsidRPr="008A2C6F">
        <w:rPr>
          <w:sz w:val="24"/>
          <w:szCs w:val="24"/>
        </w:rPr>
        <w:t>Finally, this essay will look at the early actions Nero took to resolve the Great Revolt of Judea in 66AD which continued until after the end of his reign. Judea was a Roman Province in which Nero would not want to have revolts, combine this with the fondness the imperial family had for Eastern soothsayers as well as the sympathies Poppaea had towards the Jewish faith</w:t>
      </w:r>
      <w:r w:rsidRPr="008A2C6F">
        <w:rPr>
          <w:rStyle w:val="FootnoteReference"/>
          <w:sz w:val="24"/>
          <w:szCs w:val="24"/>
        </w:rPr>
        <w:footnoteReference w:id="31"/>
      </w:r>
      <w:r w:rsidRPr="008A2C6F">
        <w:rPr>
          <w:sz w:val="24"/>
          <w:szCs w:val="24"/>
        </w:rPr>
        <w:t>, it is an acceptable assumption Nero would like this dealt with quickly, however Nero also appeared to treat the Jewish people harshly as often or more so often than with kindness. Appointing Vespasian to resolve the situation, he defeated the revolting forces which were a combination of extremists and those who were pious that also resulted in the destruction of Jerusalem and its temple by the end of 73AD. Due to the conspiracy that ultimately removed Nero from power in June 68AD</w:t>
      </w:r>
      <w:r w:rsidRPr="008A2C6F">
        <w:rPr>
          <w:rStyle w:val="FootnoteReference"/>
          <w:sz w:val="24"/>
          <w:szCs w:val="24"/>
        </w:rPr>
        <w:footnoteReference w:id="32"/>
      </w:r>
      <w:r w:rsidRPr="008A2C6F">
        <w:rPr>
          <w:sz w:val="24"/>
          <w:szCs w:val="24"/>
        </w:rPr>
        <w:t xml:space="preserve"> Vespasian was recalled to Rome and made Emperor as Nero’s successor</w:t>
      </w:r>
      <w:r w:rsidRPr="008A2C6F">
        <w:rPr>
          <w:rStyle w:val="FootnoteReference"/>
          <w:sz w:val="24"/>
          <w:szCs w:val="24"/>
        </w:rPr>
        <w:footnoteReference w:id="33"/>
      </w:r>
      <w:r w:rsidRPr="008A2C6F">
        <w:rPr>
          <w:sz w:val="24"/>
          <w:szCs w:val="24"/>
        </w:rPr>
        <w:t xml:space="preserve">. This shows the way in which Nero relied upon his subordinates similarly to how he did with Corbulo with the Roman-Parthian conflict and the resulting image portrayed to the rest of the Roman Empire. </w:t>
      </w:r>
    </w:p>
    <w:p w14:paraId="4B7E7B00" w14:textId="433D68D1" w:rsidR="00531A02" w:rsidRPr="008A2C6F" w:rsidRDefault="00FB775C">
      <w:pPr>
        <w:rPr>
          <w:sz w:val="24"/>
          <w:szCs w:val="24"/>
        </w:rPr>
      </w:pPr>
      <w:r w:rsidRPr="008A2C6F">
        <w:rPr>
          <w:sz w:val="24"/>
          <w:szCs w:val="24"/>
        </w:rPr>
        <w:t xml:space="preserve">To conclude, it can be argued that Nero did have some coherent ideas towards his military objectives in the East during the time of his reign, by maintaining the state borders and absorbing the client kingdoms where fit to do so he was able to maintain the integrity and stability of these borders, this primarily assisted with both governing the Empire and providing stability in the attempts to further expand. However, it is important to note he rarely did the enforcement himself, preferring to rely on men such as Corbulo and Vespasian to function as a leader while he was able to claim a majority of the pride and acclaim that came with defeating opposing forces such as those of the Parthian Empire. While baring this </w:t>
      </w:r>
      <w:r w:rsidRPr="008A2C6F">
        <w:rPr>
          <w:sz w:val="24"/>
          <w:szCs w:val="24"/>
        </w:rPr>
        <w:lastRenderedPageBreak/>
        <w:t>in mind; the objectives Nero had in the East of the Empire and beyond its immediate borders were logical in maintaining the stability of the Roman Empire.</w:t>
      </w:r>
    </w:p>
    <w:p w14:paraId="25EAEE12" w14:textId="60C23529" w:rsidR="00207EDD" w:rsidRPr="008A2C6F" w:rsidRDefault="00207EDD">
      <w:pPr>
        <w:rPr>
          <w:sz w:val="24"/>
          <w:szCs w:val="24"/>
        </w:rPr>
      </w:pPr>
      <w:r w:rsidRPr="008A2C6F">
        <w:rPr>
          <w:sz w:val="24"/>
          <w:szCs w:val="24"/>
        </w:rPr>
        <w:t>(2,039)</w:t>
      </w:r>
    </w:p>
    <w:p w14:paraId="157E5790" w14:textId="6485062B" w:rsidR="00207EDD" w:rsidRPr="008A2C6F" w:rsidRDefault="00207EDD">
      <w:pPr>
        <w:rPr>
          <w:b/>
          <w:sz w:val="24"/>
          <w:szCs w:val="24"/>
          <w:u w:val="single"/>
        </w:rPr>
      </w:pPr>
      <w:r w:rsidRPr="008A2C6F">
        <w:rPr>
          <w:b/>
          <w:sz w:val="24"/>
          <w:szCs w:val="24"/>
          <w:u w:val="single"/>
        </w:rPr>
        <w:t>Bibliography:</w:t>
      </w:r>
    </w:p>
    <w:p w14:paraId="5E4A86CC" w14:textId="2805001E" w:rsidR="00207EDD" w:rsidRPr="008A2C6F" w:rsidRDefault="00207EDD">
      <w:pPr>
        <w:rPr>
          <w:b/>
          <w:sz w:val="24"/>
          <w:szCs w:val="24"/>
        </w:rPr>
      </w:pPr>
      <w:r w:rsidRPr="008A2C6F">
        <w:rPr>
          <w:b/>
          <w:sz w:val="24"/>
          <w:szCs w:val="24"/>
        </w:rPr>
        <w:t>Ancient Sources:</w:t>
      </w:r>
    </w:p>
    <w:p w14:paraId="7226425F" w14:textId="77847323" w:rsidR="003500E6" w:rsidRDefault="003500E6" w:rsidP="003500E6">
      <w:pPr>
        <w:pStyle w:val="NormalWeb"/>
        <w:spacing w:before="0" w:beforeAutospacing="0" w:after="180" w:afterAutospacing="0"/>
        <w:ind w:left="450" w:hanging="450"/>
        <w:rPr>
          <w:rFonts w:ascii="&amp;quot" w:hAnsi="&amp;quot"/>
          <w:color w:val="000000"/>
        </w:rPr>
      </w:pPr>
      <w:r>
        <w:rPr>
          <w:rFonts w:ascii="&amp;quot" w:hAnsi="&amp;quot"/>
          <w:color w:val="000000"/>
        </w:rPr>
        <w:t xml:space="preserve">Suetonius. </w:t>
      </w:r>
      <w:r>
        <w:rPr>
          <w:rFonts w:ascii="&amp;quot" w:hAnsi="&amp;quot"/>
          <w:i/>
          <w:iCs/>
          <w:color w:val="000000"/>
        </w:rPr>
        <w:t xml:space="preserve">Lives of the twelve </w:t>
      </w:r>
      <w:proofErr w:type="spellStart"/>
      <w:r>
        <w:rPr>
          <w:rFonts w:ascii="&amp;quot" w:hAnsi="&amp;quot"/>
          <w:i/>
          <w:iCs/>
          <w:color w:val="000000"/>
        </w:rPr>
        <w:t>Ceasars</w:t>
      </w:r>
      <w:proofErr w:type="spellEnd"/>
      <w:r>
        <w:rPr>
          <w:rFonts w:ascii="&amp;quot" w:hAnsi="&amp;quot"/>
          <w:color w:val="000000"/>
        </w:rPr>
        <w:t>. Translated by; Genealogical Society of Utah.</w:t>
      </w:r>
      <w:r w:rsidRPr="003500E6">
        <w:rPr>
          <w:rFonts w:ascii="&amp;quot" w:hAnsi="&amp;quot"/>
          <w:color w:val="000000"/>
        </w:rPr>
        <w:t xml:space="preserve"> </w:t>
      </w:r>
      <w:r>
        <w:rPr>
          <w:rFonts w:ascii="&amp;quot" w:hAnsi="&amp;quot"/>
          <w:color w:val="000000"/>
        </w:rPr>
        <w:t>Salt Lake City, Utah: (1982).</w:t>
      </w:r>
    </w:p>
    <w:p w14:paraId="40CD312B" w14:textId="13263755" w:rsidR="003500E6" w:rsidRDefault="003500E6" w:rsidP="003500E6">
      <w:pPr>
        <w:pStyle w:val="NormalWeb"/>
        <w:spacing w:before="0" w:beforeAutospacing="0" w:after="180" w:afterAutospacing="0"/>
        <w:ind w:left="450" w:hanging="450"/>
        <w:rPr>
          <w:rFonts w:ascii="&amp;quot" w:hAnsi="&amp;quot"/>
          <w:color w:val="000000"/>
        </w:rPr>
      </w:pPr>
      <w:r>
        <w:rPr>
          <w:rFonts w:ascii="&amp;quot" w:hAnsi="&amp;quot"/>
          <w:color w:val="000000"/>
        </w:rPr>
        <w:t xml:space="preserve">Tacitus (2018). </w:t>
      </w:r>
      <w:r>
        <w:rPr>
          <w:rFonts w:ascii="&amp;quot" w:hAnsi="&amp;quot"/>
          <w:i/>
          <w:iCs/>
          <w:color w:val="000000"/>
        </w:rPr>
        <w:t>The Internet Classics Archive | The Histories by Tacitus</w:t>
      </w:r>
      <w:r>
        <w:rPr>
          <w:rFonts w:ascii="&amp;quot" w:hAnsi="&amp;quot"/>
          <w:color w:val="000000"/>
        </w:rPr>
        <w:t>. [online] Classics.mit.edu. Available at: http://classics.mit.edu/Tacitus/histories.html [Accessed 23 Apr. 2018].</w:t>
      </w:r>
    </w:p>
    <w:p w14:paraId="010A8574" w14:textId="5A028384" w:rsidR="003500E6" w:rsidRDefault="003500E6" w:rsidP="003500E6">
      <w:pPr>
        <w:pStyle w:val="NormalWeb"/>
        <w:spacing w:before="0" w:beforeAutospacing="0" w:after="180" w:afterAutospacing="0"/>
        <w:ind w:left="450" w:hanging="450"/>
        <w:rPr>
          <w:rFonts w:ascii="&amp;quot" w:hAnsi="&amp;quot"/>
          <w:color w:val="000000"/>
        </w:rPr>
      </w:pPr>
      <w:r>
        <w:rPr>
          <w:rFonts w:ascii="&amp;quot" w:hAnsi="&amp;quot"/>
          <w:color w:val="000000"/>
        </w:rPr>
        <w:t xml:space="preserve">Tacitus (2018). </w:t>
      </w:r>
      <w:r>
        <w:rPr>
          <w:rFonts w:ascii="&amp;quot" w:hAnsi="&amp;quot"/>
          <w:i/>
          <w:iCs/>
          <w:color w:val="000000"/>
        </w:rPr>
        <w:t>The Internet Classics Archive | The Annuls by Tacitus</w:t>
      </w:r>
      <w:r>
        <w:rPr>
          <w:rFonts w:ascii="&amp;quot" w:hAnsi="&amp;quot"/>
          <w:color w:val="000000"/>
        </w:rPr>
        <w:t>. [online] Classics.mit.edu. Available at: http://classics.mit.edu/Tacitus/Annuls.html [Accessed 23 Apr. 2018].</w:t>
      </w:r>
    </w:p>
    <w:p w14:paraId="15BD65D4" w14:textId="77777777" w:rsidR="003500E6" w:rsidRDefault="003500E6" w:rsidP="006A20BD">
      <w:pPr>
        <w:rPr>
          <w:b/>
          <w:sz w:val="24"/>
          <w:szCs w:val="24"/>
        </w:rPr>
      </w:pPr>
    </w:p>
    <w:p w14:paraId="000BD2CA" w14:textId="2D7C545E" w:rsidR="006A20BD" w:rsidRPr="008A2C6F" w:rsidRDefault="00207EDD" w:rsidP="006A20BD">
      <w:pPr>
        <w:rPr>
          <w:b/>
          <w:sz w:val="24"/>
          <w:szCs w:val="24"/>
        </w:rPr>
      </w:pPr>
      <w:r w:rsidRPr="008A2C6F">
        <w:rPr>
          <w:b/>
          <w:sz w:val="24"/>
          <w:szCs w:val="24"/>
        </w:rPr>
        <w:t>Modern Scholarship:</w:t>
      </w:r>
    </w:p>
    <w:p w14:paraId="5B853C18" w14:textId="77777777" w:rsidR="008A2C6F" w:rsidRPr="008A2C6F" w:rsidRDefault="008A2C6F" w:rsidP="008A2C6F">
      <w:pPr>
        <w:pStyle w:val="NormalWeb"/>
        <w:spacing w:before="0" w:beforeAutospacing="0" w:after="180" w:afterAutospacing="0"/>
        <w:ind w:left="450" w:hanging="450"/>
        <w:rPr>
          <w:rFonts w:ascii="&amp;quot" w:hAnsi="&amp;quot"/>
          <w:color w:val="000000"/>
        </w:rPr>
      </w:pPr>
      <w:r w:rsidRPr="008A2C6F">
        <w:rPr>
          <w:rFonts w:ascii="&amp;quot" w:hAnsi="&amp;quot"/>
          <w:color w:val="000000"/>
        </w:rPr>
        <w:t xml:space="preserve">Ball, W. (2000). </w:t>
      </w:r>
      <w:r w:rsidRPr="008A2C6F">
        <w:rPr>
          <w:rFonts w:ascii="&amp;quot" w:hAnsi="&amp;quot"/>
          <w:i/>
          <w:iCs/>
          <w:color w:val="000000"/>
        </w:rPr>
        <w:t>Rome in the East</w:t>
      </w:r>
      <w:r w:rsidRPr="008A2C6F">
        <w:rPr>
          <w:rFonts w:ascii="&amp;quot" w:hAnsi="&amp;quot"/>
          <w:color w:val="000000"/>
        </w:rPr>
        <w:t>. London [</w:t>
      </w:r>
      <w:proofErr w:type="spellStart"/>
      <w:r w:rsidRPr="008A2C6F">
        <w:rPr>
          <w:rFonts w:ascii="&amp;quot" w:hAnsi="&amp;quot"/>
          <w:color w:val="000000"/>
        </w:rPr>
        <w:t>u.a</w:t>
      </w:r>
      <w:proofErr w:type="spellEnd"/>
      <w:r w:rsidRPr="008A2C6F">
        <w:rPr>
          <w:rFonts w:ascii="&amp;quot" w:hAnsi="&amp;quot"/>
          <w:color w:val="000000"/>
        </w:rPr>
        <w:t>.]: Routledge.</w:t>
      </w:r>
    </w:p>
    <w:p w14:paraId="215F587C" w14:textId="77777777" w:rsidR="008A2C6F" w:rsidRPr="008A2C6F" w:rsidRDefault="008A2C6F" w:rsidP="008A2C6F">
      <w:pPr>
        <w:pStyle w:val="NormalWeb"/>
        <w:spacing w:before="0" w:beforeAutospacing="0" w:after="180" w:afterAutospacing="0"/>
        <w:ind w:left="450" w:hanging="450"/>
        <w:rPr>
          <w:rFonts w:ascii="&amp;quot" w:hAnsi="&amp;quot"/>
          <w:color w:val="000000"/>
        </w:rPr>
      </w:pPr>
      <w:r w:rsidRPr="008A2C6F">
        <w:rPr>
          <w:rFonts w:ascii="&amp;quot" w:hAnsi="&amp;quot"/>
          <w:color w:val="000000"/>
        </w:rPr>
        <w:t xml:space="preserve">Buckley, E. and </w:t>
      </w:r>
      <w:proofErr w:type="spellStart"/>
      <w:r w:rsidRPr="008A2C6F">
        <w:rPr>
          <w:rFonts w:ascii="&amp;quot" w:hAnsi="&amp;quot"/>
          <w:color w:val="000000"/>
        </w:rPr>
        <w:t>Dinter</w:t>
      </w:r>
      <w:proofErr w:type="spellEnd"/>
      <w:r w:rsidRPr="008A2C6F">
        <w:rPr>
          <w:rFonts w:ascii="&amp;quot" w:hAnsi="&amp;quot"/>
          <w:color w:val="000000"/>
        </w:rPr>
        <w:t xml:space="preserve">, M. (2013). </w:t>
      </w:r>
      <w:r w:rsidRPr="008A2C6F">
        <w:rPr>
          <w:rFonts w:ascii="&amp;quot" w:hAnsi="&amp;quot"/>
          <w:i/>
          <w:iCs/>
          <w:color w:val="000000"/>
        </w:rPr>
        <w:t>Companion to the Neronian Age, A</w:t>
      </w:r>
      <w:r w:rsidRPr="008A2C6F">
        <w:rPr>
          <w:rFonts w:ascii="&amp;quot" w:hAnsi="&amp;quot"/>
          <w:color w:val="000000"/>
        </w:rPr>
        <w:t>. Hoboken: Wiley, pp.83-101.</w:t>
      </w:r>
    </w:p>
    <w:p w14:paraId="61D258DF" w14:textId="77777777" w:rsidR="008A2C6F" w:rsidRPr="008A2C6F" w:rsidRDefault="008A2C6F" w:rsidP="008A2C6F">
      <w:pPr>
        <w:pStyle w:val="NormalWeb"/>
        <w:spacing w:before="0" w:beforeAutospacing="0" w:after="180" w:afterAutospacing="0"/>
        <w:ind w:left="450" w:hanging="450"/>
        <w:rPr>
          <w:rFonts w:ascii="&amp;quot" w:hAnsi="&amp;quot"/>
          <w:color w:val="000000"/>
        </w:rPr>
      </w:pPr>
      <w:proofErr w:type="spellStart"/>
      <w:r w:rsidRPr="008A2C6F">
        <w:rPr>
          <w:rFonts w:ascii="&amp;quot" w:hAnsi="&amp;quot"/>
          <w:color w:val="000000"/>
        </w:rPr>
        <w:t>Colledge</w:t>
      </w:r>
      <w:proofErr w:type="spellEnd"/>
      <w:r w:rsidRPr="008A2C6F">
        <w:rPr>
          <w:rFonts w:ascii="&amp;quot" w:hAnsi="&amp;quot"/>
          <w:color w:val="000000"/>
        </w:rPr>
        <w:t xml:space="preserve">, M. (1967). </w:t>
      </w:r>
      <w:r w:rsidRPr="008A2C6F">
        <w:rPr>
          <w:rFonts w:ascii="&amp;quot" w:hAnsi="&amp;quot"/>
          <w:i/>
          <w:iCs/>
          <w:color w:val="000000"/>
        </w:rPr>
        <w:t>The Parthians</w:t>
      </w:r>
      <w:r w:rsidRPr="008A2C6F">
        <w:rPr>
          <w:rFonts w:ascii="&amp;quot" w:hAnsi="&amp;quot"/>
          <w:color w:val="000000"/>
        </w:rPr>
        <w:t>. New York: Praeger.</w:t>
      </w:r>
    </w:p>
    <w:p w14:paraId="5DA85C52" w14:textId="77777777" w:rsidR="008A2C6F" w:rsidRPr="008A2C6F" w:rsidRDefault="008A2C6F" w:rsidP="008A2C6F">
      <w:pPr>
        <w:pStyle w:val="NormalWeb"/>
        <w:spacing w:before="0" w:beforeAutospacing="0" w:after="180" w:afterAutospacing="0"/>
        <w:ind w:left="450" w:hanging="450"/>
        <w:rPr>
          <w:rFonts w:ascii="&amp;quot" w:hAnsi="&amp;quot"/>
          <w:color w:val="000000"/>
        </w:rPr>
      </w:pPr>
      <w:proofErr w:type="spellStart"/>
      <w:r w:rsidRPr="008A2C6F">
        <w:rPr>
          <w:rFonts w:ascii="&amp;quot" w:hAnsi="&amp;quot"/>
          <w:color w:val="000000"/>
        </w:rPr>
        <w:t>Conole</w:t>
      </w:r>
      <w:proofErr w:type="spellEnd"/>
      <w:r w:rsidRPr="008A2C6F">
        <w:rPr>
          <w:rFonts w:ascii="&amp;quot" w:hAnsi="&amp;quot"/>
          <w:color w:val="000000"/>
        </w:rPr>
        <w:t xml:space="preserve">, P. and </w:t>
      </w:r>
      <w:proofErr w:type="spellStart"/>
      <w:r w:rsidRPr="008A2C6F">
        <w:rPr>
          <w:rFonts w:ascii="&amp;quot" w:hAnsi="&amp;quot"/>
          <w:color w:val="000000"/>
        </w:rPr>
        <w:t>Milns</w:t>
      </w:r>
      <w:proofErr w:type="spellEnd"/>
      <w:r w:rsidRPr="008A2C6F">
        <w:rPr>
          <w:rFonts w:ascii="&amp;quot" w:hAnsi="&amp;quot"/>
          <w:color w:val="000000"/>
        </w:rPr>
        <w:t xml:space="preserve">, R. (1983). Neronian Frontier Policy in the Balkans: The Career of </w:t>
      </w:r>
      <w:proofErr w:type="spellStart"/>
      <w:r w:rsidRPr="008A2C6F">
        <w:rPr>
          <w:rFonts w:ascii="&amp;quot" w:hAnsi="&amp;quot"/>
          <w:color w:val="000000"/>
        </w:rPr>
        <w:t>Ti</w:t>
      </w:r>
      <w:proofErr w:type="spellEnd"/>
      <w:r w:rsidRPr="008A2C6F">
        <w:rPr>
          <w:rFonts w:ascii="&amp;quot" w:hAnsi="&amp;quot"/>
          <w:color w:val="000000"/>
        </w:rPr>
        <w:t xml:space="preserve">. </w:t>
      </w:r>
      <w:proofErr w:type="spellStart"/>
      <w:r w:rsidRPr="008A2C6F">
        <w:rPr>
          <w:rFonts w:ascii="&amp;quot" w:hAnsi="&amp;quot"/>
          <w:color w:val="000000"/>
        </w:rPr>
        <w:t>Plautius</w:t>
      </w:r>
      <w:proofErr w:type="spellEnd"/>
      <w:r w:rsidRPr="008A2C6F">
        <w:rPr>
          <w:rFonts w:ascii="&amp;quot" w:hAnsi="&amp;quot"/>
          <w:color w:val="000000"/>
        </w:rPr>
        <w:t xml:space="preserve"> Silvanus. </w:t>
      </w:r>
      <w:r w:rsidRPr="008A2C6F">
        <w:rPr>
          <w:rFonts w:ascii="&amp;quot" w:hAnsi="&amp;quot"/>
          <w:i/>
          <w:iCs/>
          <w:color w:val="000000"/>
        </w:rPr>
        <w:t>Historia, Band XXXII/2</w:t>
      </w:r>
      <w:r w:rsidRPr="008A2C6F">
        <w:rPr>
          <w:rFonts w:ascii="&amp;quot" w:hAnsi="&amp;quot"/>
          <w:color w:val="000000"/>
        </w:rPr>
        <w:t>, [online] pp.183-200. Available at: http://about.jstor.org/terms [Accessed 15 Mar. 2018].</w:t>
      </w:r>
    </w:p>
    <w:p w14:paraId="1EEA928D" w14:textId="77777777" w:rsidR="008A2C6F" w:rsidRPr="008A2C6F" w:rsidRDefault="008A2C6F" w:rsidP="008A2C6F">
      <w:pPr>
        <w:pStyle w:val="NormalWeb"/>
        <w:spacing w:before="0" w:beforeAutospacing="0" w:after="180" w:afterAutospacing="0"/>
        <w:ind w:left="450" w:hanging="450"/>
        <w:rPr>
          <w:rFonts w:ascii="&amp;quot" w:hAnsi="&amp;quot"/>
          <w:color w:val="000000"/>
        </w:rPr>
      </w:pPr>
      <w:r w:rsidRPr="008A2C6F">
        <w:rPr>
          <w:rFonts w:ascii="&amp;quot" w:hAnsi="&amp;quot"/>
          <w:color w:val="000000"/>
        </w:rPr>
        <w:t xml:space="preserve">Hammond, M. (1934). Corbulo and Nero's Eastern Policy. </w:t>
      </w:r>
      <w:r w:rsidRPr="008A2C6F">
        <w:rPr>
          <w:rFonts w:ascii="&amp;quot" w:hAnsi="&amp;quot"/>
          <w:i/>
          <w:iCs/>
          <w:color w:val="000000"/>
        </w:rPr>
        <w:t>Harvard Studies in Classical Philology</w:t>
      </w:r>
      <w:r w:rsidRPr="008A2C6F">
        <w:rPr>
          <w:rFonts w:ascii="&amp;quot" w:hAnsi="&amp;quot"/>
          <w:color w:val="000000"/>
        </w:rPr>
        <w:t>, [online] 45, pp.81-104. Available at: http://about.jstor.org/terms [Accessed 15 Mar. 2018].</w:t>
      </w:r>
    </w:p>
    <w:p w14:paraId="5C3C7DE9" w14:textId="77FD83D7" w:rsidR="006A20BD" w:rsidRPr="008A2C6F" w:rsidRDefault="006A20BD">
      <w:pPr>
        <w:rPr>
          <w:b/>
          <w:sz w:val="24"/>
          <w:szCs w:val="24"/>
        </w:rPr>
      </w:pPr>
    </w:p>
    <w:sectPr w:rsidR="006A20BD" w:rsidRPr="008A2C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E580E9" w14:textId="77777777" w:rsidR="00FF6FFF" w:rsidRDefault="00FF6FFF" w:rsidP="00FF6FFF">
      <w:pPr>
        <w:spacing w:after="0" w:line="240" w:lineRule="auto"/>
      </w:pPr>
      <w:r>
        <w:separator/>
      </w:r>
    </w:p>
  </w:endnote>
  <w:endnote w:type="continuationSeparator" w:id="0">
    <w:p w14:paraId="176F2C62" w14:textId="77777777" w:rsidR="00FF6FFF" w:rsidRDefault="00FF6FFF" w:rsidP="00FF6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A91DCA" w14:textId="77777777" w:rsidR="00FF6FFF" w:rsidRDefault="00FF6FFF" w:rsidP="00FF6FFF">
      <w:pPr>
        <w:spacing w:after="0" w:line="240" w:lineRule="auto"/>
      </w:pPr>
      <w:r>
        <w:separator/>
      </w:r>
    </w:p>
  </w:footnote>
  <w:footnote w:type="continuationSeparator" w:id="0">
    <w:p w14:paraId="426F3CC9" w14:textId="77777777" w:rsidR="00FF6FFF" w:rsidRDefault="00FF6FFF" w:rsidP="00FF6FFF">
      <w:pPr>
        <w:spacing w:after="0" w:line="240" w:lineRule="auto"/>
      </w:pPr>
      <w:r>
        <w:continuationSeparator/>
      </w:r>
    </w:p>
  </w:footnote>
  <w:footnote w:id="1">
    <w:p w14:paraId="567F65A3" w14:textId="7CCB15EA" w:rsidR="00FF6FFF" w:rsidRDefault="00FF6FFF" w:rsidP="00FF6FFF">
      <w:pPr>
        <w:pStyle w:val="FootnoteText"/>
      </w:pPr>
      <w:r>
        <w:rPr>
          <w:rStyle w:val="FootnoteReference"/>
        </w:rPr>
        <w:footnoteRef/>
      </w:r>
      <w:r>
        <w:t xml:space="preserve"> </w:t>
      </w:r>
      <w:r w:rsidR="008A2C6F">
        <w:t>(</w:t>
      </w:r>
      <w:r>
        <w:t>Hammond</w:t>
      </w:r>
      <w:r w:rsidR="008A2C6F">
        <w:t>, 1934)</w:t>
      </w:r>
    </w:p>
  </w:footnote>
  <w:footnote w:id="2">
    <w:p w14:paraId="706B0C6F" w14:textId="1155D865" w:rsidR="00FF6FFF" w:rsidRDefault="00FF6FFF" w:rsidP="00FF6FFF">
      <w:pPr>
        <w:pStyle w:val="FootnoteText"/>
      </w:pPr>
      <w:r>
        <w:rPr>
          <w:rStyle w:val="FootnoteReference"/>
        </w:rPr>
        <w:footnoteRef/>
      </w:r>
      <w:r>
        <w:t xml:space="preserve"> </w:t>
      </w:r>
      <w:r w:rsidR="008A2C6F">
        <w:t>(Hammond, 1934)</w:t>
      </w:r>
    </w:p>
  </w:footnote>
  <w:footnote w:id="3">
    <w:p w14:paraId="55C8DF95" w14:textId="21CC10E2" w:rsidR="00FF6FFF" w:rsidRDefault="00FF6FFF" w:rsidP="00FF6FFF">
      <w:pPr>
        <w:pStyle w:val="FootnoteText"/>
      </w:pPr>
      <w:r>
        <w:rPr>
          <w:rStyle w:val="FootnoteReference"/>
        </w:rPr>
        <w:footnoteRef/>
      </w:r>
      <w:r>
        <w:t xml:space="preserve"> </w:t>
      </w:r>
      <w:r w:rsidR="008A2C6F">
        <w:t xml:space="preserve">(Buckley and </w:t>
      </w:r>
      <w:proofErr w:type="spellStart"/>
      <w:r w:rsidR="008A2C6F">
        <w:t>Dinter</w:t>
      </w:r>
      <w:proofErr w:type="spellEnd"/>
      <w:r w:rsidR="008A2C6F">
        <w:t>, 2013)</w:t>
      </w:r>
      <w:r>
        <w:t xml:space="preserve"> </w:t>
      </w:r>
    </w:p>
  </w:footnote>
  <w:footnote w:id="4">
    <w:p w14:paraId="16362847" w14:textId="09480797" w:rsidR="00FF6FFF" w:rsidRDefault="00FF6FFF" w:rsidP="00FF6FFF">
      <w:pPr>
        <w:pStyle w:val="FootnoteText"/>
      </w:pPr>
      <w:r>
        <w:rPr>
          <w:rStyle w:val="FootnoteReference"/>
        </w:rPr>
        <w:footnoteRef/>
      </w:r>
      <w:r>
        <w:t xml:space="preserve"> </w:t>
      </w:r>
      <w:r w:rsidR="008A2C6F">
        <w:t>(Hammond, 1934)</w:t>
      </w:r>
    </w:p>
  </w:footnote>
  <w:footnote w:id="5">
    <w:p w14:paraId="36B3FAC5" w14:textId="502B1E54" w:rsidR="00FF6FFF" w:rsidRDefault="00FF6FFF" w:rsidP="00FF6FFF">
      <w:pPr>
        <w:pStyle w:val="FootnoteText"/>
      </w:pPr>
      <w:r>
        <w:rPr>
          <w:rStyle w:val="FootnoteReference"/>
        </w:rPr>
        <w:footnoteRef/>
      </w:r>
      <w:r>
        <w:t xml:space="preserve"> </w:t>
      </w:r>
      <w:r w:rsidR="008A2C6F">
        <w:t>(Hammond, 1934)</w:t>
      </w:r>
    </w:p>
  </w:footnote>
  <w:footnote w:id="6">
    <w:p w14:paraId="31A81C47" w14:textId="2F5885DE" w:rsidR="00FF6FFF" w:rsidRDefault="00FF6FFF" w:rsidP="00FF6FFF">
      <w:pPr>
        <w:pStyle w:val="FootnoteText"/>
      </w:pPr>
      <w:r>
        <w:rPr>
          <w:rStyle w:val="FootnoteReference"/>
        </w:rPr>
        <w:footnoteRef/>
      </w:r>
      <w:r w:rsidR="008A2C6F">
        <w:t xml:space="preserve"> (Hammond, 1934)</w:t>
      </w:r>
    </w:p>
  </w:footnote>
  <w:footnote w:id="7">
    <w:p w14:paraId="195198ED" w14:textId="1C863A71" w:rsidR="00FF6FFF" w:rsidRDefault="00FF6FFF" w:rsidP="00FF6FFF">
      <w:pPr>
        <w:pStyle w:val="FootnoteText"/>
      </w:pPr>
      <w:r>
        <w:rPr>
          <w:rStyle w:val="FootnoteReference"/>
        </w:rPr>
        <w:footnoteRef/>
      </w:r>
      <w:r w:rsidR="008A2C6F">
        <w:t xml:space="preserve"> (Hammond, 1934)</w:t>
      </w:r>
    </w:p>
  </w:footnote>
  <w:footnote w:id="8">
    <w:p w14:paraId="6A647A5C" w14:textId="77777777" w:rsidR="00FF6FFF" w:rsidRPr="00496410" w:rsidRDefault="00FF6FFF" w:rsidP="00FF6FFF">
      <w:pPr>
        <w:pStyle w:val="FootnoteText"/>
      </w:pPr>
      <w:r>
        <w:rPr>
          <w:rStyle w:val="FootnoteReference"/>
        </w:rPr>
        <w:footnoteRef/>
      </w:r>
      <w:r>
        <w:t xml:space="preserve"> </w:t>
      </w:r>
      <w:r>
        <w:rPr>
          <w:i/>
        </w:rPr>
        <w:t>Ann</w:t>
      </w:r>
      <w:r>
        <w:t>.13.9.4-7</w:t>
      </w:r>
    </w:p>
  </w:footnote>
  <w:footnote w:id="9">
    <w:p w14:paraId="2BB71974" w14:textId="77777777" w:rsidR="00FF6FFF" w:rsidRPr="00290388" w:rsidRDefault="00FF6FFF" w:rsidP="00FF6FFF">
      <w:pPr>
        <w:pStyle w:val="FootnoteText"/>
      </w:pPr>
      <w:r>
        <w:rPr>
          <w:rStyle w:val="FootnoteReference"/>
        </w:rPr>
        <w:footnoteRef/>
      </w:r>
      <w:r>
        <w:t xml:space="preserve"> </w:t>
      </w:r>
      <w:r>
        <w:rPr>
          <w:i/>
        </w:rPr>
        <w:t>Ann.</w:t>
      </w:r>
      <w:r>
        <w:t>15.3.2</w:t>
      </w:r>
    </w:p>
  </w:footnote>
  <w:footnote w:id="10">
    <w:p w14:paraId="2A583E8D" w14:textId="1A793253" w:rsidR="00FF6FFF" w:rsidRDefault="00FF6FFF" w:rsidP="00FF6FFF">
      <w:pPr>
        <w:pStyle w:val="FootnoteText"/>
      </w:pPr>
      <w:r>
        <w:rPr>
          <w:rStyle w:val="FootnoteReference"/>
        </w:rPr>
        <w:footnoteRef/>
      </w:r>
      <w:r w:rsidR="008A2C6F">
        <w:t>(Hammond, 1934)</w:t>
      </w:r>
    </w:p>
  </w:footnote>
  <w:footnote w:id="11">
    <w:p w14:paraId="16645EAC" w14:textId="77777777" w:rsidR="00FF6FFF" w:rsidRPr="00D43D3C" w:rsidRDefault="00FF6FFF" w:rsidP="00FF6FFF">
      <w:pPr>
        <w:pStyle w:val="FootnoteText"/>
      </w:pPr>
      <w:r>
        <w:rPr>
          <w:rStyle w:val="FootnoteReference"/>
        </w:rPr>
        <w:footnoteRef/>
      </w:r>
      <w:r>
        <w:t xml:space="preserve"> </w:t>
      </w:r>
      <w:r>
        <w:rPr>
          <w:i/>
        </w:rPr>
        <w:t>Ann.</w:t>
      </w:r>
      <w:r>
        <w:t>13.41.4</w:t>
      </w:r>
    </w:p>
  </w:footnote>
  <w:footnote w:id="12">
    <w:p w14:paraId="2390AFD9" w14:textId="31FF4C8B" w:rsidR="00FF6FFF" w:rsidRDefault="00FF6FFF" w:rsidP="00FF6FFF">
      <w:pPr>
        <w:pStyle w:val="FootnoteText"/>
      </w:pPr>
      <w:r>
        <w:rPr>
          <w:rStyle w:val="FootnoteReference"/>
        </w:rPr>
        <w:footnoteRef/>
      </w:r>
      <w:r w:rsidR="008A2C6F">
        <w:t>(Hammond, 1934)</w:t>
      </w:r>
    </w:p>
  </w:footnote>
  <w:footnote w:id="13">
    <w:p w14:paraId="00B6D6A0" w14:textId="77777777" w:rsidR="00FF6FFF" w:rsidRDefault="00FF6FFF" w:rsidP="00FF6FFF">
      <w:pPr>
        <w:pStyle w:val="FootnoteText"/>
      </w:pPr>
      <w:r>
        <w:rPr>
          <w:rStyle w:val="FootnoteReference"/>
        </w:rPr>
        <w:footnoteRef/>
      </w:r>
      <w:r>
        <w:t xml:space="preserve"> (Henderson 1903)</w:t>
      </w:r>
    </w:p>
  </w:footnote>
  <w:footnote w:id="14">
    <w:p w14:paraId="015473D9" w14:textId="77777777" w:rsidR="00FF6FFF" w:rsidRPr="0063584A" w:rsidRDefault="00FF6FFF" w:rsidP="00FF6FFF">
      <w:pPr>
        <w:pStyle w:val="FootnoteText"/>
      </w:pPr>
      <w:r>
        <w:rPr>
          <w:rStyle w:val="FootnoteReference"/>
        </w:rPr>
        <w:footnoteRef/>
      </w:r>
      <w:r>
        <w:t xml:space="preserve"> Suet.</w:t>
      </w:r>
      <w:r>
        <w:rPr>
          <w:i/>
        </w:rPr>
        <w:t>Nero.</w:t>
      </w:r>
      <w:r>
        <w:t>13</w:t>
      </w:r>
    </w:p>
  </w:footnote>
  <w:footnote w:id="15">
    <w:p w14:paraId="1FECF665" w14:textId="60C68B4A" w:rsidR="00FF6FFF" w:rsidRDefault="00FF6FFF" w:rsidP="00FF6FFF">
      <w:pPr>
        <w:pStyle w:val="FootnoteText"/>
      </w:pPr>
      <w:r>
        <w:rPr>
          <w:rStyle w:val="FootnoteReference"/>
        </w:rPr>
        <w:footnoteRef/>
      </w:r>
      <w:r w:rsidR="008A2C6F">
        <w:t>(Hammond, 1934)</w:t>
      </w:r>
    </w:p>
  </w:footnote>
  <w:footnote w:id="16">
    <w:p w14:paraId="2D21723B" w14:textId="6DBD735C" w:rsidR="00FF6FFF" w:rsidRDefault="00FF6FFF" w:rsidP="00FF6FFF">
      <w:pPr>
        <w:pStyle w:val="FootnoteText"/>
      </w:pPr>
      <w:r>
        <w:rPr>
          <w:rStyle w:val="FootnoteReference"/>
        </w:rPr>
        <w:footnoteRef/>
      </w:r>
      <w:r>
        <w:t xml:space="preserve"> </w:t>
      </w:r>
      <w:r w:rsidR="008A2C6F">
        <w:t xml:space="preserve">(Buckley and </w:t>
      </w:r>
      <w:proofErr w:type="spellStart"/>
      <w:r w:rsidR="008A2C6F">
        <w:t>Dinter</w:t>
      </w:r>
      <w:proofErr w:type="spellEnd"/>
      <w:r w:rsidR="008A2C6F">
        <w:t>, 2013)</w:t>
      </w:r>
    </w:p>
  </w:footnote>
  <w:footnote w:id="17">
    <w:p w14:paraId="772807DD" w14:textId="6DDEEF10" w:rsidR="00FF6FFF" w:rsidRPr="008A2C6F" w:rsidRDefault="00FF6FFF" w:rsidP="00FF6FFF">
      <w:pPr>
        <w:pStyle w:val="FootnoteText"/>
        <w:rPr>
          <w:rFonts w:cstheme="minorHAnsi"/>
        </w:rPr>
      </w:pPr>
      <w:r>
        <w:rPr>
          <w:rStyle w:val="FootnoteReference"/>
        </w:rPr>
        <w:footnoteRef/>
      </w:r>
      <w:r w:rsidR="008A2C6F">
        <w:t>(</w:t>
      </w:r>
      <w:proofErr w:type="spellStart"/>
      <w:r w:rsidR="008A2C6F">
        <w:t>Con</w:t>
      </w:r>
      <w:r w:rsidR="008A2C6F" w:rsidRPr="008A2C6F">
        <w:rPr>
          <w:rFonts w:cstheme="minorHAnsi"/>
        </w:rPr>
        <w:t>ole</w:t>
      </w:r>
      <w:proofErr w:type="spellEnd"/>
      <w:r w:rsidR="008A2C6F" w:rsidRPr="008A2C6F">
        <w:rPr>
          <w:rFonts w:cstheme="minorHAnsi"/>
        </w:rPr>
        <w:t xml:space="preserve"> and </w:t>
      </w:r>
      <w:proofErr w:type="spellStart"/>
      <w:r w:rsidR="008A2C6F" w:rsidRPr="008A2C6F">
        <w:rPr>
          <w:rFonts w:cstheme="minorHAnsi"/>
        </w:rPr>
        <w:t>Milns</w:t>
      </w:r>
      <w:proofErr w:type="spellEnd"/>
      <w:r w:rsidR="008A2C6F" w:rsidRPr="008A2C6F">
        <w:rPr>
          <w:rFonts w:cstheme="minorHAnsi"/>
        </w:rPr>
        <w:t>, 1983)</w:t>
      </w:r>
      <w:r w:rsidRPr="008A2C6F">
        <w:rPr>
          <w:rFonts w:cstheme="minorHAnsi"/>
        </w:rPr>
        <w:t xml:space="preserve"> </w:t>
      </w:r>
    </w:p>
  </w:footnote>
  <w:footnote w:id="18">
    <w:p w14:paraId="55C29F99" w14:textId="40BB4EB3" w:rsidR="00FF6FFF" w:rsidRPr="008A2C6F" w:rsidRDefault="00FF6FFF" w:rsidP="00FF6FFF">
      <w:pPr>
        <w:pStyle w:val="FootnoteText"/>
        <w:rPr>
          <w:rFonts w:cstheme="minorHAnsi"/>
        </w:rPr>
      </w:pPr>
      <w:r w:rsidRPr="008A2C6F">
        <w:rPr>
          <w:rStyle w:val="FootnoteReference"/>
          <w:rFonts w:cstheme="minorHAnsi"/>
        </w:rPr>
        <w:footnoteRef/>
      </w:r>
      <w:r w:rsidRPr="008A2C6F">
        <w:rPr>
          <w:rFonts w:cstheme="minorHAnsi"/>
        </w:rPr>
        <w:t xml:space="preserve"> </w:t>
      </w:r>
      <w:r w:rsidR="008A2C6F" w:rsidRPr="008A2C6F">
        <w:rPr>
          <w:rFonts w:cstheme="minorHAnsi"/>
        </w:rPr>
        <w:t xml:space="preserve">(Buckley and </w:t>
      </w:r>
      <w:proofErr w:type="spellStart"/>
      <w:r w:rsidR="008A2C6F" w:rsidRPr="008A2C6F">
        <w:rPr>
          <w:rFonts w:cstheme="minorHAnsi"/>
        </w:rPr>
        <w:t>Dinter</w:t>
      </w:r>
      <w:proofErr w:type="spellEnd"/>
      <w:r w:rsidR="008A2C6F" w:rsidRPr="008A2C6F">
        <w:rPr>
          <w:rFonts w:cstheme="minorHAnsi"/>
        </w:rPr>
        <w:t>, 2013)</w:t>
      </w:r>
    </w:p>
  </w:footnote>
  <w:footnote w:id="19">
    <w:p w14:paraId="2671833B" w14:textId="6513B93C" w:rsidR="00FF6FFF" w:rsidRDefault="00FF6FFF" w:rsidP="00FF6FFF">
      <w:pPr>
        <w:pStyle w:val="FootnoteText"/>
      </w:pPr>
      <w:r w:rsidRPr="008A2C6F">
        <w:rPr>
          <w:rStyle w:val="FootnoteReference"/>
          <w:rFonts w:cstheme="minorHAnsi"/>
        </w:rPr>
        <w:footnoteRef/>
      </w:r>
      <w:r w:rsidRPr="008A2C6F">
        <w:rPr>
          <w:rFonts w:cstheme="minorHAnsi"/>
        </w:rPr>
        <w:t xml:space="preserve"> </w:t>
      </w:r>
      <w:r w:rsidR="008A2C6F" w:rsidRPr="008A2C6F">
        <w:rPr>
          <w:rStyle w:val="selectable"/>
          <w:rFonts w:cstheme="minorHAnsi"/>
        </w:rPr>
        <w:t>(</w:t>
      </w:r>
      <w:proofErr w:type="spellStart"/>
      <w:r w:rsidR="008A2C6F" w:rsidRPr="008A2C6F">
        <w:rPr>
          <w:rStyle w:val="selectable"/>
          <w:rFonts w:cstheme="minorHAnsi"/>
        </w:rPr>
        <w:t>Colledge</w:t>
      </w:r>
      <w:proofErr w:type="spellEnd"/>
      <w:r w:rsidR="008A2C6F" w:rsidRPr="008A2C6F">
        <w:rPr>
          <w:rStyle w:val="selectable"/>
          <w:rFonts w:cstheme="minorHAnsi"/>
        </w:rPr>
        <w:t>, 1967)</w:t>
      </w:r>
    </w:p>
  </w:footnote>
  <w:footnote w:id="20">
    <w:p w14:paraId="6BC42F52" w14:textId="55AA2C39" w:rsidR="00FF6FFF" w:rsidRDefault="00FF6FFF" w:rsidP="00FF6FFF">
      <w:pPr>
        <w:pStyle w:val="FootnoteText"/>
      </w:pPr>
      <w:r>
        <w:rPr>
          <w:rStyle w:val="FootnoteReference"/>
        </w:rPr>
        <w:footnoteRef/>
      </w:r>
      <w:r w:rsidR="008A2C6F">
        <w:t>(</w:t>
      </w:r>
      <w:proofErr w:type="spellStart"/>
      <w:r w:rsidR="008A2C6F">
        <w:t>Conole</w:t>
      </w:r>
      <w:proofErr w:type="spellEnd"/>
      <w:r w:rsidR="008A2C6F">
        <w:t xml:space="preserve"> and </w:t>
      </w:r>
      <w:proofErr w:type="spellStart"/>
      <w:r w:rsidR="008A2C6F">
        <w:t>Milns</w:t>
      </w:r>
      <w:proofErr w:type="spellEnd"/>
      <w:r w:rsidR="008A2C6F">
        <w:t>, 1983)</w:t>
      </w:r>
    </w:p>
  </w:footnote>
  <w:footnote w:id="21">
    <w:p w14:paraId="6058422A" w14:textId="77777777" w:rsidR="00FF6FFF" w:rsidRPr="00E5124B" w:rsidRDefault="00FF6FFF" w:rsidP="00FF6FFF">
      <w:pPr>
        <w:pStyle w:val="FootnoteText"/>
      </w:pPr>
      <w:r>
        <w:rPr>
          <w:rStyle w:val="FootnoteReference"/>
        </w:rPr>
        <w:footnoteRef/>
      </w:r>
      <w:r>
        <w:t xml:space="preserve"> </w:t>
      </w:r>
      <w:r>
        <w:rPr>
          <w:i/>
        </w:rPr>
        <w:t>Ann.</w:t>
      </w:r>
      <w:r>
        <w:t>XII.18</w:t>
      </w:r>
    </w:p>
  </w:footnote>
  <w:footnote w:id="22">
    <w:p w14:paraId="34EF3C52" w14:textId="295B751B" w:rsidR="00FF6FFF" w:rsidRDefault="00FF6FFF" w:rsidP="00FF6FFF">
      <w:pPr>
        <w:pStyle w:val="FootnoteText"/>
      </w:pPr>
      <w:r>
        <w:rPr>
          <w:rStyle w:val="FootnoteReference"/>
        </w:rPr>
        <w:footnoteRef/>
      </w:r>
      <w:r>
        <w:t xml:space="preserve"> </w:t>
      </w:r>
      <w:r w:rsidR="008A2C6F">
        <w:t xml:space="preserve">(Buckley and </w:t>
      </w:r>
      <w:proofErr w:type="spellStart"/>
      <w:r w:rsidR="008A2C6F">
        <w:t>Dinter</w:t>
      </w:r>
      <w:proofErr w:type="spellEnd"/>
      <w:r w:rsidR="008A2C6F">
        <w:t>, 2013)</w:t>
      </w:r>
    </w:p>
  </w:footnote>
  <w:footnote w:id="23">
    <w:p w14:paraId="58E9E151" w14:textId="3B43024E" w:rsidR="00FF6FFF" w:rsidRPr="008A2C6F" w:rsidRDefault="00FF6FFF" w:rsidP="00FF6FFF">
      <w:pPr>
        <w:pStyle w:val="FootnoteText"/>
        <w:rPr>
          <w:rFonts w:cstheme="minorHAnsi"/>
        </w:rPr>
      </w:pPr>
      <w:r>
        <w:rPr>
          <w:rStyle w:val="FootnoteReference"/>
        </w:rPr>
        <w:footnoteRef/>
      </w:r>
      <w:r>
        <w:t xml:space="preserve"> </w:t>
      </w:r>
      <w:r w:rsidR="008A2C6F">
        <w:t>(</w:t>
      </w:r>
      <w:r w:rsidR="008A2C6F" w:rsidRPr="008A2C6F">
        <w:rPr>
          <w:rFonts w:cstheme="minorHAnsi"/>
        </w:rPr>
        <w:t xml:space="preserve">Buckley and </w:t>
      </w:r>
      <w:proofErr w:type="spellStart"/>
      <w:r w:rsidR="008A2C6F" w:rsidRPr="008A2C6F">
        <w:rPr>
          <w:rFonts w:cstheme="minorHAnsi"/>
        </w:rPr>
        <w:t>Dinter</w:t>
      </w:r>
      <w:proofErr w:type="spellEnd"/>
      <w:r w:rsidR="008A2C6F" w:rsidRPr="008A2C6F">
        <w:rPr>
          <w:rFonts w:cstheme="minorHAnsi"/>
        </w:rPr>
        <w:t>, 2013)</w:t>
      </w:r>
    </w:p>
  </w:footnote>
  <w:footnote w:id="24">
    <w:p w14:paraId="1990999E" w14:textId="35BD3A76" w:rsidR="00BE1019" w:rsidRPr="008A2C6F" w:rsidRDefault="00BE1019">
      <w:pPr>
        <w:pStyle w:val="FootnoteText"/>
        <w:rPr>
          <w:rFonts w:cstheme="minorHAnsi"/>
        </w:rPr>
      </w:pPr>
      <w:r w:rsidRPr="008A2C6F">
        <w:rPr>
          <w:rStyle w:val="FootnoteReference"/>
          <w:rFonts w:cstheme="minorHAnsi"/>
        </w:rPr>
        <w:footnoteRef/>
      </w:r>
      <w:r w:rsidRPr="008A2C6F">
        <w:rPr>
          <w:rFonts w:cstheme="minorHAnsi"/>
        </w:rPr>
        <w:t xml:space="preserve"> </w:t>
      </w:r>
      <w:r w:rsidR="008A2C6F" w:rsidRPr="008A2C6F">
        <w:rPr>
          <w:rStyle w:val="selectable"/>
          <w:rFonts w:cstheme="minorHAnsi"/>
        </w:rPr>
        <w:t>(</w:t>
      </w:r>
      <w:proofErr w:type="spellStart"/>
      <w:r w:rsidR="008A2C6F" w:rsidRPr="008A2C6F">
        <w:rPr>
          <w:rStyle w:val="selectable"/>
          <w:rFonts w:cstheme="minorHAnsi"/>
        </w:rPr>
        <w:t>Conole</w:t>
      </w:r>
      <w:proofErr w:type="spellEnd"/>
      <w:r w:rsidR="008A2C6F" w:rsidRPr="008A2C6F">
        <w:rPr>
          <w:rStyle w:val="selectable"/>
          <w:rFonts w:cstheme="minorHAnsi"/>
        </w:rPr>
        <w:t xml:space="preserve"> and </w:t>
      </w:r>
      <w:proofErr w:type="spellStart"/>
      <w:r w:rsidR="008A2C6F" w:rsidRPr="008A2C6F">
        <w:rPr>
          <w:rStyle w:val="selectable"/>
          <w:rFonts w:cstheme="minorHAnsi"/>
        </w:rPr>
        <w:t>Milns</w:t>
      </w:r>
      <w:proofErr w:type="spellEnd"/>
      <w:r w:rsidR="008A2C6F" w:rsidRPr="008A2C6F">
        <w:rPr>
          <w:rStyle w:val="selectable"/>
          <w:rFonts w:cstheme="minorHAnsi"/>
        </w:rPr>
        <w:t>, 1983)</w:t>
      </w:r>
    </w:p>
  </w:footnote>
  <w:footnote w:id="25">
    <w:p w14:paraId="42E7FCE1" w14:textId="047F0561" w:rsidR="00BE1019" w:rsidRPr="008A2C6F" w:rsidRDefault="00BE1019">
      <w:pPr>
        <w:pStyle w:val="FootnoteText"/>
        <w:rPr>
          <w:rFonts w:cstheme="minorHAnsi"/>
        </w:rPr>
      </w:pPr>
      <w:r w:rsidRPr="008A2C6F">
        <w:rPr>
          <w:rStyle w:val="FootnoteReference"/>
          <w:rFonts w:cstheme="minorHAnsi"/>
        </w:rPr>
        <w:footnoteRef/>
      </w:r>
      <w:r w:rsidRPr="008A2C6F">
        <w:rPr>
          <w:rFonts w:cstheme="minorHAnsi"/>
        </w:rPr>
        <w:t xml:space="preserve">  </w:t>
      </w:r>
      <w:r w:rsidR="008A2C6F" w:rsidRPr="008A2C6F">
        <w:rPr>
          <w:rStyle w:val="selectable"/>
          <w:rFonts w:cstheme="minorHAnsi"/>
        </w:rPr>
        <w:t>(</w:t>
      </w:r>
      <w:proofErr w:type="spellStart"/>
      <w:r w:rsidR="008A2C6F" w:rsidRPr="008A2C6F">
        <w:rPr>
          <w:rStyle w:val="selectable"/>
          <w:rFonts w:cstheme="minorHAnsi"/>
        </w:rPr>
        <w:t>Conole</w:t>
      </w:r>
      <w:proofErr w:type="spellEnd"/>
      <w:r w:rsidR="008A2C6F" w:rsidRPr="008A2C6F">
        <w:rPr>
          <w:rStyle w:val="selectable"/>
          <w:rFonts w:cstheme="minorHAnsi"/>
        </w:rPr>
        <w:t xml:space="preserve"> and </w:t>
      </w:r>
      <w:proofErr w:type="spellStart"/>
      <w:r w:rsidR="008A2C6F" w:rsidRPr="008A2C6F">
        <w:rPr>
          <w:rStyle w:val="selectable"/>
          <w:rFonts w:cstheme="minorHAnsi"/>
        </w:rPr>
        <w:t>Milns</w:t>
      </w:r>
      <w:proofErr w:type="spellEnd"/>
      <w:r w:rsidR="008A2C6F" w:rsidRPr="008A2C6F">
        <w:rPr>
          <w:rStyle w:val="selectable"/>
          <w:rFonts w:cstheme="minorHAnsi"/>
        </w:rPr>
        <w:t>, 1983)</w:t>
      </w:r>
    </w:p>
  </w:footnote>
  <w:footnote w:id="26">
    <w:p w14:paraId="2E6C5377" w14:textId="6CB08ECE" w:rsidR="00BE1019" w:rsidRDefault="00BE1019">
      <w:pPr>
        <w:pStyle w:val="FootnoteText"/>
      </w:pPr>
      <w:r w:rsidRPr="008A2C6F">
        <w:rPr>
          <w:rStyle w:val="FootnoteReference"/>
          <w:rFonts w:cstheme="minorHAnsi"/>
        </w:rPr>
        <w:footnoteRef/>
      </w:r>
      <w:r w:rsidRPr="008A2C6F">
        <w:rPr>
          <w:rFonts w:cstheme="minorHAnsi"/>
        </w:rPr>
        <w:t xml:space="preserve"> </w:t>
      </w:r>
      <w:r w:rsidR="008A2C6F" w:rsidRPr="008A2C6F">
        <w:rPr>
          <w:rStyle w:val="selectable"/>
          <w:rFonts w:cstheme="minorHAnsi"/>
        </w:rPr>
        <w:t>(</w:t>
      </w:r>
      <w:proofErr w:type="spellStart"/>
      <w:r w:rsidR="008A2C6F" w:rsidRPr="008A2C6F">
        <w:rPr>
          <w:rStyle w:val="selectable"/>
          <w:rFonts w:cstheme="minorHAnsi"/>
        </w:rPr>
        <w:t>Conole</w:t>
      </w:r>
      <w:proofErr w:type="spellEnd"/>
      <w:r w:rsidR="008A2C6F" w:rsidRPr="008A2C6F">
        <w:rPr>
          <w:rStyle w:val="selectable"/>
          <w:rFonts w:cstheme="minorHAnsi"/>
        </w:rPr>
        <w:t xml:space="preserve"> and </w:t>
      </w:r>
      <w:proofErr w:type="spellStart"/>
      <w:r w:rsidR="008A2C6F" w:rsidRPr="008A2C6F">
        <w:rPr>
          <w:rStyle w:val="selectable"/>
          <w:rFonts w:cstheme="minorHAnsi"/>
        </w:rPr>
        <w:t>Milns</w:t>
      </w:r>
      <w:proofErr w:type="spellEnd"/>
      <w:r w:rsidR="008A2C6F" w:rsidRPr="008A2C6F">
        <w:rPr>
          <w:rStyle w:val="selectable"/>
          <w:rFonts w:cstheme="minorHAnsi"/>
        </w:rPr>
        <w:t>, 1983)</w:t>
      </w:r>
    </w:p>
  </w:footnote>
  <w:footnote w:id="27">
    <w:p w14:paraId="1F75BDDD" w14:textId="77777777" w:rsidR="00FF6FFF" w:rsidRDefault="00FF6FFF" w:rsidP="00FF6FFF">
      <w:pPr>
        <w:pStyle w:val="FootnoteText"/>
      </w:pPr>
      <w:r>
        <w:rPr>
          <w:rStyle w:val="FootnoteReference"/>
        </w:rPr>
        <w:footnoteRef/>
      </w:r>
      <w:r>
        <w:t xml:space="preserve"> Tacitus annuls </w:t>
      </w:r>
    </w:p>
  </w:footnote>
  <w:footnote w:id="28">
    <w:p w14:paraId="461F5FE1" w14:textId="28991B28" w:rsidR="0059360A" w:rsidRDefault="0059360A" w:rsidP="0059360A">
      <w:pPr>
        <w:pStyle w:val="FootnoteText"/>
      </w:pPr>
      <w:r>
        <w:rPr>
          <w:rStyle w:val="FootnoteReference"/>
        </w:rPr>
        <w:footnoteRef/>
      </w:r>
      <w:r w:rsidR="008A2C6F">
        <w:t>(</w:t>
      </w:r>
      <w:proofErr w:type="spellStart"/>
      <w:r w:rsidR="008A2C6F">
        <w:t>Conole</w:t>
      </w:r>
      <w:proofErr w:type="spellEnd"/>
      <w:r w:rsidR="008A2C6F">
        <w:t xml:space="preserve"> and </w:t>
      </w:r>
      <w:proofErr w:type="spellStart"/>
      <w:r w:rsidR="008A2C6F">
        <w:t>Milns</w:t>
      </w:r>
      <w:proofErr w:type="spellEnd"/>
      <w:r w:rsidR="008A2C6F">
        <w:t>, 1983)</w:t>
      </w:r>
    </w:p>
  </w:footnote>
  <w:footnote w:id="29">
    <w:p w14:paraId="3CAE1374" w14:textId="6B6B0F37" w:rsidR="0059360A" w:rsidRDefault="0059360A" w:rsidP="0059360A">
      <w:pPr>
        <w:pStyle w:val="FootnoteText"/>
      </w:pPr>
      <w:r>
        <w:rPr>
          <w:rStyle w:val="FootnoteReference"/>
        </w:rPr>
        <w:footnoteRef/>
      </w:r>
      <w:r w:rsidR="008A2C6F">
        <w:t>(</w:t>
      </w:r>
      <w:proofErr w:type="spellStart"/>
      <w:r w:rsidR="008A2C6F">
        <w:t>Conole</w:t>
      </w:r>
      <w:proofErr w:type="spellEnd"/>
      <w:r w:rsidR="008A2C6F">
        <w:t xml:space="preserve"> and</w:t>
      </w:r>
      <w:r>
        <w:t xml:space="preserve"> </w:t>
      </w:r>
      <w:proofErr w:type="spellStart"/>
      <w:r>
        <w:t>Milns</w:t>
      </w:r>
      <w:proofErr w:type="spellEnd"/>
      <w:r w:rsidR="008A2C6F">
        <w:t>, 1983)</w:t>
      </w:r>
    </w:p>
  </w:footnote>
  <w:footnote w:id="30">
    <w:p w14:paraId="6C2FFD6D" w14:textId="77777777" w:rsidR="0059360A" w:rsidRDefault="0059360A" w:rsidP="0059360A">
      <w:pPr>
        <w:pStyle w:val="FootnoteText"/>
      </w:pPr>
      <w:r>
        <w:rPr>
          <w:rStyle w:val="FootnoteReference"/>
        </w:rPr>
        <w:footnoteRef/>
      </w:r>
      <w:r>
        <w:t xml:space="preserve"> Tac.histories.1.6.</w:t>
      </w:r>
    </w:p>
  </w:footnote>
  <w:footnote w:id="31">
    <w:p w14:paraId="576B84E2" w14:textId="78C7921E" w:rsidR="00531A02" w:rsidRDefault="00531A02" w:rsidP="00531A02">
      <w:pPr>
        <w:pStyle w:val="FootnoteText"/>
      </w:pPr>
      <w:r>
        <w:rPr>
          <w:rStyle w:val="FootnoteReference"/>
        </w:rPr>
        <w:footnoteRef/>
      </w:r>
      <w:r w:rsidR="008A2C6F">
        <w:t>(</w:t>
      </w:r>
      <w:r>
        <w:t>Ball</w:t>
      </w:r>
      <w:r w:rsidR="008A2C6F">
        <w:t>, 2000)</w:t>
      </w:r>
    </w:p>
  </w:footnote>
  <w:footnote w:id="32">
    <w:p w14:paraId="52D5B48E" w14:textId="77777777" w:rsidR="00531A02" w:rsidRDefault="00531A02" w:rsidP="00531A02">
      <w:pPr>
        <w:pStyle w:val="FootnoteText"/>
      </w:pPr>
      <w:r>
        <w:rPr>
          <w:rStyle w:val="FootnoteReference"/>
        </w:rPr>
        <w:footnoteRef/>
      </w:r>
      <w:r>
        <w:t xml:space="preserve"> Tacitus Annuls</w:t>
      </w:r>
    </w:p>
  </w:footnote>
  <w:footnote w:id="33">
    <w:p w14:paraId="6B7C9F59" w14:textId="77777777" w:rsidR="00531A02" w:rsidRDefault="00531A02" w:rsidP="00531A02">
      <w:pPr>
        <w:pStyle w:val="FootnoteText"/>
      </w:pPr>
      <w:r>
        <w:rPr>
          <w:rStyle w:val="FootnoteReference"/>
        </w:rPr>
        <w:footnoteRef/>
      </w:r>
      <w:r>
        <w:t xml:space="preserve"> Tacitus Annuls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6806"/>
    <w:rsid w:val="00207EDD"/>
    <w:rsid w:val="00236B60"/>
    <w:rsid w:val="003500E6"/>
    <w:rsid w:val="003D4E09"/>
    <w:rsid w:val="00436806"/>
    <w:rsid w:val="00531A02"/>
    <w:rsid w:val="005506FB"/>
    <w:rsid w:val="0059360A"/>
    <w:rsid w:val="006439AF"/>
    <w:rsid w:val="006A20BD"/>
    <w:rsid w:val="008A2C6F"/>
    <w:rsid w:val="00A04E83"/>
    <w:rsid w:val="00BE1019"/>
    <w:rsid w:val="00CB18A8"/>
    <w:rsid w:val="00CF2882"/>
    <w:rsid w:val="00CF506C"/>
    <w:rsid w:val="00D543BC"/>
    <w:rsid w:val="00D84ADC"/>
    <w:rsid w:val="00FB775C"/>
    <w:rsid w:val="00FF6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8828A"/>
  <w15:chartTrackingRefBased/>
  <w15:docId w15:val="{87EEC8C1-E860-498C-BD25-8957EFC14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6806"/>
  </w:style>
  <w:style w:type="paragraph" w:styleId="Heading2">
    <w:name w:val="heading 2"/>
    <w:basedOn w:val="Normal"/>
    <w:link w:val="Heading2Char"/>
    <w:uiPriority w:val="9"/>
    <w:qFormat/>
    <w:rsid w:val="006A20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F6F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6FFF"/>
    <w:rPr>
      <w:sz w:val="20"/>
      <w:szCs w:val="20"/>
    </w:rPr>
  </w:style>
  <w:style w:type="character" w:styleId="FootnoteReference">
    <w:name w:val="footnote reference"/>
    <w:basedOn w:val="DefaultParagraphFont"/>
    <w:uiPriority w:val="99"/>
    <w:semiHidden/>
    <w:unhideWhenUsed/>
    <w:rsid w:val="00FF6FFF"/>
    <w:rPr>
      <w:vertAlign w:val="superscript"/>
    </w:rPr>
  </w:style>
  <w:style w:type="character" w:customStyle="1" w:styleId="Heading2Char">
    <w:name w:val="Heading 2 Char"/>
    <w:basedOn w:val="DefaultParagraphFont"/>
    <w:link w:val="Heading2"/>
    <w:uiPriority w:val="9"/>
    <w:rsid w:val="006A20B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A20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8A2C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0537989">
      <w:bodyDiv w:val="1"/>
      <w:marLeft w:val="0"/>
      <w:marRight w:val="0"/>
      <w:marTop w:val="0"/>
      <w:marBottom w:val="0"/>
      <w:divBdr>
        <w:top w:val="none" w:sz="0" w:space="0" w:color="auto"/>
        <w:left w:val="none" w:sz="0" w:space="0" w:color="auto"/>
        <w:bottom w:val="none" w:sz="0" w:space="0" w:color="auto"/>
        <w:right w:val="none" w:sz="0" w:space="0" w:color="auto"/>
      </w:divBdr>
    </w:div>
    <w:div w:id="811796075">
      <w:bodyDiv w:val="1"/>
      <w:marLeft w:val="0"/>
      <w:marRight w:val="0"/>
      <w:marTop w:val="0"/>
      <w:marBottom w:val="0"/>
      <w:divBdr>
        <w:top w:val="none" w:sz="0" w:space="0" w:color="auto"/>
        <w:left w:val="none" w:sz="0" w:space="0" w:color="auto"/>
        <w:bottom w:val="none" w:sz="0" w:space="0" w:color="auto"/>
        <w:right w:val="none" w:sz="0" w:space="0" w:color="auto"/>
      </w:divBdr>
    </w:div>
    <w:div w:id="965310073">
      <w:bodyDiv w:val="1"/>
      <w:marLeft w:val="0"/>
      <w:marRight w:val="0"/>
      <w:marTop w:val="0"/>
      <w:marBottom w:val="0"/>
      <w:divBdr>
        <w:top w:val="none" w:sz="0" w:space="0" w:color="auto"/>
        <w:left w:val="none" w:sz="0" w:space="0" w:color="auto"/>
        <w:bottom w:val="none" w:sz="0" w:space="0" w:color="auto"/>
        <w:right w:val="none" w:sz="0" w:space="0" w:color="auto"/>
      </w:divBdr>
    </w:div>
    <w:div w:id="1173180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025556-BB03-4F57-9EB2-76733F440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1936</Words>
  <Characters>11041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Bowie (1601293)</dc:creator>
  <cp:keywords/>
  <dc:description/>
  <cp:lastModifiedBy>Tamara Bowie</cp:lastModifiedBy>
  <cp:revision>3</cp:revision>
  <dcterms:created xsi:type="dcterms:W3CDTF">2018-04-23T20:20:00Z</dcterms:created>
  <dcterms:modified xsi:type="dcterms:W3CDTF">2018-04-23T20:22:00Z</dcterms:modified>
</cp:coreProperties>
</file>