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A3DC9" w14:textId="2EE19CD7" w:rsidR="00A06744" w:rsidRDefault="001D6EC0">
      <w:r>
        <w:t xml:space="preserve">How Useful is the Bayeux Tapestry as a Source for the Events Surrounding the Norman Invasion of England? </w:t>
      </w:r>
    </w:p>
    <w:p w14:paraId="6ADF2731" w14:textId="77777777" w:rsidR="001D6EC0" w:rsidRDefault="001D6EC0"/>
    <w:p w14:paraId="36E3A1BC" w14:textId="782482C3" w:rsidR="001D6EC0" w:rsidRDefault="001D6EC0">
      <w:pPr>
        <w:rPr>
          <w:sz w:val="22"/>
          <w:szCs w:val="22"/>
        </w:rPr>
      </w:pPr>
      <w:r w:rsidRPr="001D6EC0">
        <w:rPr>
          <w:sz w:val="22"/>
          <w:szCs w:val="22"/>
        </w:rPr>
        <w:t>The</w:t>
      </w:r>
      <w:r>
        <w:rPr>
          <w:sz w:val="22"/>
          <w:szCs w:val="22"/>
        </w:rPr>
        <w:t xml:space="preserve"> Bayeux Tapestry is arguably the most well known embroidered piece of artwork in history. The tapestry is around 200 feet long and depicts the Norman account of the Conquest of England in 1066.</w:t>
      </w:r>
      <w:r w:rsidR="003B7BA0">
        <w:rPr>
          <w:rStyle w:val="FootnoteReference"/>
          <w:sz w:val="22"/>
          <w:szCs w:val="22"/>
        </w:rPr>
        <w:footnoteReference w:id="1"/>
      </w:r>
      <w:r>
        <w:rPr>
          <w:sz w:val="22"/>
          <w:szCs w:val="22"/>
        </w:rPr>
        <w:t xml:space="preserve"> This essay will look at the Bayeux Tapestry and other Norman accounts of this event and compare them to other </w:t>
      </w:r>
      <w:r w:rsidR="00402A08">
        <w:rPr>
          <w:sz w:val="22"/>
          <w:szCs w:val="22"/>
        </w:rPr>
        <w:t>historians’</w:t>
      </w:r>
      <w:r>
        <w:rPr>
          <w:sz w:val="22"/>
          <w:szCs w:val="22"/>
        </w:rPr>
        <w:t xml:space="preserve"> accounts of what happened during the conquest. This will allow for the tapestry to be gauged on its accuracy and therefore its usefulness on these events. </w:t>
      </w:r>
      <w:r w:rsidR="008A02EB">
        <w:rPr>
          <w:sz w:val="22"/>
          <w:szCs w:val="22"/>
        </w:rPr>
        <w:t>It will also look at details such as clothing and weaponry, and whether these details are useful to a historian studying the tapestry.</w:t>
      </w:r>
    </w:p>
    <w:p w14:paraId="3D71DDD2" w14:textId="302C4689" w:rsidR="005C0BFB" w:rsidRDefault="00CF258F">
      <w:pPr>
        <w:rPr>
          <w:sz w:val="22"/>
          <w:szCs w:val="22"/>
        </w:rPr>
      </w:pPr>
      <w:r>
        <w:rPr>
          <w:sz w:val="22"/>
          <w:szCs w:val="22"/>
        </w:rPr>
        <w:t xml:space="preserve">The Bayeux Tapestry shows events leading up to and including the Norman Conquest. Using a scanned copy of the tapestry by the Bayeux Museum, these were the major </w:t>
      </w:r>
      <w:r w:rsidR="005D50EB">
        <w:rPr>
          <w:sz w:val="22"/>
          <w:szCs w:val="22"/>
        </w:rPr>
        <w:t>scenes</w:t>
      </w:r>
      <w:r>
        <w:rPr>
          <w:sz w:val="22"/>
          <w:szCs w:val="22"/>
        </w:rPr>
        <w:t xml:space="preserve"> that were</w:t>
      </w:r>
      <w:r w:rsidR="005D50EB">
        <w:rPr>
          <w:sz w:val="22"/>
          <w:szCs w:val="22"/>
        </w:rPr>
        <w:t xml:space="preserve"> chosen</w:t>
      </w:r>
      <w:r>
        <w:rPr>
          <w:sz w:val="22"/>
          <w:szCs w:val="22"/>
        </w:rPr>
        <w:t>.</w:t>
      </w:r>
      <w:r w:rsidR="00AC49FE">
        <w:rPr>
          <w:sz w:val="22"/>
          <w:szCs w:val="22"/>
        </w:rPr>
        <w:t xml:space="preserve"> Starting a</w:t>
      </w:r>
      <w:r>
        <w:rPr>
          <w:sz w:val="22"/>
          <w:szCs w:val="22"/>
        </w:rPr>
        <w:t xml:space="preserve">t number </w:t>
      </w:r>
      <w:r w:rsidR="00A35E4E">
        <w:rPr>
          <w:sz w:val="22"/>
          <w:szCs w:val="22"/>
        </w:rPr>
        <w:t>twenty-six</w:t>
      </w:r>
      <w:r>
        <w:rPr>
          <w:sz w:val="22"/>
          <w:szCs w:val="22"/>
        </w:rPr>
        <w:t xml:space="preserve"> on the scan is the death of King Edward.</w:t>
      </w:r>
      <w:r w:rsidR="00BA1B07">
        <w:rPr>
          <w:rStyle w:val="FootnoteReference"/>
          <w:sz w:val="22"/>
          <w:szCs w:val="22"/>
        </w:rPr>
        <w:footnoteReference w:id="2"/>
      </w:r>
      <w:r>
        <w:rPr>
          <w:sz w:val="22"/>
          <w:szCs w:val="22"/>
        </w:rPr>
        <w:t xml:space="preserve"> This is shown by multiple people carrying what looks to be a casket.</w:t>
      </w:r>
      <w:r w:rsidR="00663278">
        <w:rPr>
          <w:rStyle w:val="FootnoteReference"/>
          <w:sz w:val="22"/>
          <w:szCs w:val="22"/>
        </w:rPr>
        <w:footnoteReference w:id="3"/>
      </w:r>
      <w:r>
        <w:rPr>
          <w:sz w:val="22"/>
          <w:szCs w:val="22"/>
        </w:rPr>
        <w:t xml:space="preserve"> The other indication showing that Edward has died is the Latin text that reads </w:t>
      </w:r>
      <w:r w:rsidR="00DC7B2E">
        <w:rPr>
          <w:sz w:val="22"/>
          <w:szCs w:val="22"/>
        </w:rPr>
        <w:t>‘CORPUS: EDWARDI: REGIS’.</w:t>
      </w:r>
      <w:r w:rsidR="009F1776">
        <w:rPr>
          <w:rStyle w:val="FootnoteReference"/>
          <w:sz w:val="22"/>
          <w:szCs w:val="22"/>
        </w:rPr>
        <w:footnoteReference w:id="4"/>
      </w:r>
      <w:r w:rsidR="00DC7B2E">
        <w:rPr>
          <w:sz w:val="22"/>
          <w:szCs w:val="22"/>
        </w:rPr>
        <w:t xml:space="preserve"> At number thirty on the scan it is shown that Harold is being</w:t>
      </w:r>
      <w:r w:rsidR="00A35E4E">
        <w:rPr>
          <w:sz w:val="22"/>
          <w:szCs w:val="22"/>
        </w:rPr>
        <w:t xml:space="preserve"> crowned </w:t>
      </w:r>
      <w:r w:rsidR="00DC7B2E">
        <w:rPr>
          <w:sz w:val="22"/>
          <w:szCs w:val="22"/>
        </w:rPr>
        <w:t>as King of England by the Archbishop Stigan</w:t>
      </w:r>
      <w:r w:rsidR="0027651C">
        <w:rPr>
          <w:sz w:val="22"/>
          <w:szCs w:val="22"/>
        </w:rPr>
        <w:t>d</w:t>
      </w:r>
      <w:r w:rsidR="00DC7B2E">
        <w:rPr>
          <w:sz w:val="22"/>
          <w:szCs w:val="22"/>
        </w:rPr>
        <w:t>, shown by the Latin ‘STIGANT ARCHIEPS’.</w:t>
      </w:r>
      <w:r w:rsidR="009F1776">
        <w:rPr>
          <w:rStyle w:val="FootnoteReference"/>
          <w:sz w:val="22"/>
          <w:szCs w:val="22"/>
        </w:rPr>
        <w:footnoteReference w:id="5"/>
      </w:r>
      <w:r w:rsidR="00DC7B2E">
        <w:rPr>
          <w:sz w:val="22"/>
          <w:szCs w:val="22"/>
        </w:rPr>
        <w:t xml:space="preserve"> Between number </w:t>
      </w:r>
      <w:r w:rsidR="00A35E4E">
        <w:rPr>
          <w:sz w:val="22"/>
          <w:szCs w:val="22"/>
        </w:rPr>
        <w:t>thirty-five</w:t>
      </w:r>
      <w:r w:rsidR="00DC7B2E">
        <w:rPr>
          <w:sz w:val="22"/>
          <w:szCs w:val="22"/>
        </w:rPr>
        <w:t xml:space="preserve"> and </w:t>
      </w:r>
      <w:r w:rsidR="00F01942">
        <w:rPr>
          <w:sz w:val="22"/>
          <w:szCs w:val="22"/>
        </w:rPr>
        <w:t>thirty-six</w:t>
      </w:r>
      <w:r w:rsidR="00DC7B2E">
        <w:rPr>
          <w:sz w:val="22"/>
          <w:szCs w:val="22"/>
        </w:rPr>
        <w:t xml:space="preserve"> it is shown that William the Conquerors’ men are chopping down trees and building boats in preparation for the invasion of England.</w:t>
      </w:r>
      <w:r w:rsidR="009F1776">
        <w:rPr>
          <w:rStyle w:val="FootnoteReference"/>
          <w:sz w:val="22"/>
          <w:szCs w:val="22"/>
        </w:rPr>
        <w:footnoteReference w:id="6"/>
      </w:r>
      <w:r w:rsidR="00DC7B2E">
        <w:rPr>
          <w:sz w:val="22"/>
          <w:szCs w:val="22"/>
        </w:rPr>
        <w:t xml:space="preserve"> </w:t>
      </w:r>
      <w:r w:rsidR="005C0BFB">
        <w:rPr>
          <w:sz w:val="22"/>
          <w:szCs w:val="22"/>
        </w:rPr>
        <w:t>The fighting between William</w:t>
      </w:r>
      <w:r w:rsidR="00332A84">
        <w:rPr>
          <w:sz w:val="22"/>
          <w:szCs w:val="22"/>
        </w:rPr>
        <w:t>’</w:t>
      </w:r>
      <w:r w:rsidR="005C0BFB">
        <w:rPr>
          <w:sz w:val="22"/>
          <w:szCs w:val="22"/>
        </w:rPr>
        <w:t>s and Harold</w:t>
      </w:r>
      <w:r w:rsidR="00332A84">
        <w:rPr>
          <w:sz w:val="22"/>
          <w:szCs w:val="22"/>
        </w:rPr>
        <w:t>’</w:t>
      </w:r>
      <w:r w:rsidR="005C0BFB">
        <w:rPr>
          <w:sz w:val="22"/>
          <w:szCs w:val="22"/>
        </w:rPr>
        <w:t xml:space="preserve">s men start at number </w:t>
      </w:r>
      <w:r w:rsidR="00A35E4E">
        <w:rPr>
          <w:sz w:val="22"/>
          <w:szCs w:val="22"/>
        </w:rPr>
        <w:t>forty-eight</w:t>
      </w:r>
      <w:r w:rsidR="005C0BFB">
        <w:rPr>
          <w:sz w:val="22"/>
          <w:szCs w:val="22"/>
        </w:rPr>
        <w:t xml:space="preserve"> and end at fifty</w:t>
      </w:r>
      <w:r w:rsidR="00A35E4E">
        <w:rPr>
          <w:sz w:val="22"/>
          <w:szCs w:val="22"/>
        </w:rPr>
        <w:t>-</w:t>
      </w:r>
      <w:r w:rsidR="005C0BFB">
        <w:rPr>
          <w:sz w:val="22"/>
          <w:szCs w:val="22"/>
        </w:rPr>
        <w:t>seven with William defeating Harold.</w:t>
      </w:r>
      <w:r w:rsidR="009F1776">
        <w:rPr>
          <w:rStyle w:val="FootnoteReference"/>
          <w:sz w:val="22"/>
          <w:szCs w:val="22"/>
        </w:rPr>
        <w:footnoteReference w:id="7"/>
      </w:r>
      <w:r w:rsidR="005C0BFB">
        <w:rPr>
          <w:sz w:val="22"/>
          <w:szCs w:val="22"/>
        </w:rPr>
        <w:t xml:space="preserve"> </w:t>
      </w:r>
      <w:r w:rsidR="0025163A">
        <w:rPr>
          <w:sz w:val="22"/>
          <w:szCs w:val="22"/>
        </w:rPr>
        <w:t>These will be the main scenes that will be used to determine the tapestry’s usefulness.</w:t>
      </w:r>
    </w:p>
    <w:p w14:paraId="0071DD61" w14:textId="4EDA21E3" w:rsidR="008C149F" w:rsidRDefault="008C149F">
      <w:pPr>
        <w:rPr>
          <w:sz w:val="22"/>
          <w:szCs w:val="22"/>
        </w:rPr>
      </w:pPr>
      <w:r>
        <w:rPr>
          <w:sz w:val="22"/>
          <w:szCs w:val="22"/>
        </w:rPr>
        <w:t xml:space="preserve">Firstly, it can be argued that the Bayeux Tapestry is biased in favour of the Normans. It is argued that </w:t>
      </w:r>
      <w:r w:rsidR="009E4784">
        <w:rPr>
          <w:sz w:val="22"/>
          <w:szCs w:val="22"/>
        </w:rPr>
        <w:t>the tapestry is used as a propaganda piece for the Normans.</w:t>
      </w:r>
      <w:r w:rsidR="00AE555C">
        <w:rPr>
          <w:rStyle w:val="FootnoteReference"/>
          <w:sz w:val="22"/>
          <w:szCs w:val="22"/>
        </w:rPr>
        <w:footnoteReference w:id="8"/>
      </w:r>
      <w:r w:rsidR="009E4784">
        <w:rPr>
          <w:sz w:val="22"/>
          <w:szCs w:val="22"/>
        </w:rPr>
        <w:t xml:space="preserve"> Its pictographic depiction of events suggest that it was the intention of the Normans to be show</w:t>
      </w:r>
      <w:r w:rsidR="001F277A">
        <w:rPr>
          <w:sz w:val="22"/>
          <w:szCs w:val="22"/>
        </w:rPr>
        <w:t>n</w:t>
      </w:r>
      <w:r w:rsidR="009E4784">
        <w:rPr>
          <w:sz w:val="22"/>
          <w:szCs w:val="22"/>
        </w:rPr>
        <w:t xml:space="preserve"> to a large audience of people, a large quantity of which would have been illiterate.</w:t>
      </w:r>
      <w:r w:rsidR="00AE555C">
        <w:rPr>
          <w:rStyle w:val="FootnoteReference"/>
          <w:sz w:val="22"/>
          <w:szCs w:val="22"/>
        </w:rPr>
        <w:footnoteReference w:id="9"/>
      </w:r>
      <w:r w:rsidR="009E4784">
        <w:rPr>
          <w:sz w:val="22"/>
          <w:szCs w:val="22"/>
        </w:rPr>
        <w:t xml:space="preserve"> This point is further shown by the tapestr</w:t>
      </w:r>
      <w:r w:rsidR="004B21CB">
        <w:rPr>
          <w:sz w:val="22"/>
          <w:szCs w:val="22"/>
        </w:rPr>
        <w:t>y’s</w:t>
      </w:r>
      <w:r w:rsidR="009E4784">
        <w:rPr>
          <w:sz w:val="22"/>
          <w:szCs w:val="22"/>
        </w:rPr>
        <w:t xml:space="preserve"> size, which was stated in the introduction.</w:t>
      </w:r>
      <w:r w:rsidR="0058607E">
        <w:rPr>
          <w:sz w:val="22"/>
          <w:szCs w:val="22"/>
        </w:rPr>
        <w:t xml:space="preserve"> </w:t>
      </w:r>
      <w:r w:rsidR="004761E0">
        <w:rPr>
          <w:sz w:val="22"/>
          <w:szCs w:val="22"/>
        </w:rPr>
        <w:t>Although the tapestry can be considered as propaganda, it can still be useful to historians as it</w:t>
      </w:r>
      <w:r w:rsidR="008A4847">
        <w:rPr>
          <w:sz w:val="22"/>
          <w:szCs w:val="22"/>
        </w:rPr>
        <w:t xml:space="preserve"> creates</w:t>
      </w:r>
      <w:r w:rsidR="004761E0">
        <w:rPr>
          <w:sz w:val="22"/>
          <w:szCs w:val="22"/>
        </w:rPr>
        <w:t xml:space="preserve"> further debate about why the tapestry was made this way.</w:t>
      </w:r>
    </w:p>
    <w:p w14:paraId="71BF5E6C" w14:textId="62402111" w:rsidR="001D6EC0" w:rsidRDefault="00A94F79">
      <w:pPr>
        <w:rPr>
          <w:sz w:val="22"/>
          <w:szCs w:val="22"/>
        </w:rPr>
      </w:pPr>
      <w:r>
        <w:rPr>
          <w:sz w:val="22"/>
          <w:szCs w:val="22"/>
        </w:rPr>
        <w:t>The tapestry is a very detailed historical document through its visual depiction of events.</w:t>
      </w:r>
      <w:r w:rsidR="005C0BFB">
        <w:rPr>
          <w:sz w:val="22"/>
          <w:szCs w:val="22"/>
        </w:rPr>
        <w:t xml:space="preserve"> </w:t>
      </w:r>
      <w:r>
        <w:rPr>
          <w:sz w:val="22"/>
          <w:szCs w:val="22"/>
        </w:rPr>
        <w:t>According to Shirl</w:t>
      </w:r>
      <w:r w:rsidR="009D75CB">
        <w:rPr>
          <w:sz w:val="22"/>
          <w:szCs w:val="22"/>
        </w:rPr>
        <w:t>e</w:t>
      </w:r>
      <w:r>
        <w:rPr>
          <w:sz w:val="22"/>
          <w:szCs w:val="22"/>
        </w:rPr>
        <w:t xml:space="preserve">y A. Brown many historians agree that the tapestry is an accurate source of information on events of the Norman Conquest, despite the </w:t>
      </w:r>
      <w:r w:rsidR="00AD438F">
        <w:rPr>
          <w:sz w:val="22"/>
          <w:szCs w:val="22"/>
        </w:rPr>
        <w:t>possibility</w:t>
      </w:r>
      <w:r>
        <w:rPr>
          <w:sz w:val="22"/>
          <w:szCs w:val="22"/>
        </w:rPr>
        <w:t xml:space="preserve"> that its events may not </w:t>
      </w:r>
      <w:r>
        <w:rPr>
          <w:sz w:val="22"/>
          <w:szCs w:val="22"/>
        </w:rPr>
        <w:lastRenderedPageBreak/>
        <w:t xml:space="preserve">be able to be </w:t>
      </w:r>
      <w:r w:rsidR="00BE4D39">
        <w:rPr>
          <w:sz w:val="22"/>
          <w:szCs w:val="22"/>
        </w:rPr>
        <w:t>used</w:t>
      </w:r>
      <w:r>
        <w:rPr>
          <w:sz w:val="22"/>
          <w:szCs w:val="22"/>
        </w:rPr>
        <w:t xml:space="preserve"> at face value.</w:t>
      </w:r>
      <w:r w:rsidR="00D74565">
        <w:rPr>
          <w:rStyle w:val="FootnoteReference"/>
          <w:sz w:val="22"/>
          <w:szCs w:val="22"/>
        </w:rPr>
        <w:footnoteReference w:id="10"/>
      </w:r>
      <w:r>
        <w:rPr>
          <w:sz w:val="22"/>
          <w:szCs w:val="22"/>
        </w:rPr>
        <w:t xml:space="preserve"> This point can be </w:t>
      </w:r>
      <w:r w:rsidR="000B134F">
        <w:rPr>
          <w:sz w:val="22"/>
          <w:szCs w:val="22"/>
        </w:rPr>
        <w:t>dis</w:t>
      </w:r>
      <w:r>
        <w:rPr>
          <w:sz w:val="22"/>
          <w:szCs w:val="22"/>
        </w:rPr>
        <w:t>agree</w:t>
      </w:r>
      <w:r w:rsidR="005C414A">
        <w:rPr>
          <w:sz w:val="22"/>
          <w:szCs w:val="22"/>
        </w:rPr>
        <w:t>d upon</w:t>
      </w:r>
      <w:r>
        <w:rPr>
          <w:sz w:val="22"/>
          <w:szCs w:val="22"/>
        </w:rPr>
        <w:t xml:space="preserve"> </w:t>
      </w:r>
      <w:r w:rsidR="00AE5E20">
        <w:rPr>
          <w:sz w:val="22"/>
          <w:szCs w:val="22"/>
        </w:rPr>
        <w:t>as during the fighting scenes in the Bayeux Tapestry it can be suggested that there are exaggerations in favour of the Normans. One such exaggeration is shown where all the Norman invaders are depicted as being on horseback, whereas the Englishmen under Harold are on foot.</w:t>
      </w:r>
      <w:r w:rsidR="0092030D">
        <w:rPr>
          <w:rStyle w:val="FootnoteReference"/>
          <w:sz w:val="22"/>
          <w:szCs w:val="22"/>
        </w:rPr>
        <w:footnoteReference w:id="11"/>
      </w:r>
      <w:r w:rsidR="00AE5E20">
        <w:rPr>
          <w:sz w:val="22"/>
          <w:szCs w:val="22"/>
        </w:rPr>
        <w:t xml:space="preserve"> This large exaggeration can be suggested to project power over the English fighters. It also </w:t>
      </w:r>
      <w:r w:rsidR="005C5926">
        <w:rPr>
          <w:sz w:val="22"/>
          <w:szCs w:val="22"/>
        </w:rPr>
        <w:t>suggests that the Norman invaders had the upper ha</w:t>
      </w:r>
      <w:r w:rsidR="006961DD">
        <w:rPr>
          <w:sz w:val="22"/>
          <w:szCs w:val="22"/>
        </w:rPr>
        <w:t>n</w:t>
      </w:r>
      <w:r w:rsidR="005C5926">
        <w:rPr>
          <w:sz w:val="22"/>
          <w:szCs w:val="22"/>
        </w:rPr>
        <w:t>d in the battle from the beginning. This removes some accuracy in the tapestry making it less useful as a source for historians.</w:t>
      </w:r>
      <w:r w:rsidR="004D4448">
        <w:rPr>
          <w:sz w:val="22"/>
          <w:szCs w:val="22"/>
        </w:rPr>
        <w:t xml:space="preserve"> </w:t>
      </w:r>
    </w:p>
    <w:p w14:paraId="32CF7C5D" w14:textId="1614C023" w:rsidR="004D4448" w:rsidRDefault="000466FD">
      <w:pPr>
        <w:rPr>
          <w:sz w:val="22"/>
          <w:szCs w:val="22"/>
        </w:rPr>
      </w:pPr>
      <w:r>
        <w:rPr>
          <w:sz w:val="22"/>
          <w:szCs w:val="22"/>
        </w:rPr>
        <w:t>An extract from the Chronicle of Battle Abbey supposedly shows the immediate event before the Battle of Hastings</w:t>
      </w:r>
      <w:r w:rsidR="00D61602">
        <w:rPr>
          <w:sz w:val="22"/>
          <w:szCs w:val="22"/>
        </w:rPr>
        <w:t>. The extract explains how William gathered barons and knights to fight with him to defeat Harold.</w:t>
      </w:r>
      <w:r w:rsidR="00F07DDC">
        <w:rPr>
          <w:rStyle w:val="FootnoteReference"/>
          <w:sz w:val="22"/>
          <w:szCs w:val="22"/>
        </w:rPr>
        <w:footnoteReference w:id="12"/>
      </w:r>
      <w:r w:rsidR="00D61602">
        <w:rPr>
          <w:sz w:val="22"/>
          <w:szCs w:val="22"/>
        </w:rPr>
        <w:t xml:space="preserve"> It further gives a small depiction of the battle and the date they won.</w:t>
      </w:r>
      <w:r w:rsidR="00FA1FE5">
        <w:rPr>
          <w:rStyle w:val="FootnoteReference"/>
          <w:sz w:val="22"/>
          <w:szCs w:val="22"/>
        </w:rPr>
        <w:footnoteReference w:id="13"/>
      </w:r>
      <w:r w:rsidR="00D61602">
        <w:rPr>
          <w:sz w:val="22"/>
          <w:szCs w:val="22"/>
        </w:rPr>
        <w:t xml:space="preserve"> There is a constant theme of religion throughout the text</w:t>
      </w:r>
      <w:r w:rsidR="00122703">
        <w:rPr>
          <w:sz w:val="22"/>
          <w:szCs w:val="22"/>
        </w:rPr>
        <w:t>. Language is used to describe William and his army, using words such as ‘devout’ and ‘faithfully’.</w:t>
      </w:r>
      <w:r w:rsidR="00FA1FE5">
        <w:rPr>
          <w:rStyle w:val="FootnoteReference"/>
          <w:sz w:val="22"/>
          <w:szCs w:val="22"/>
        </w:rPr>
        <w:footnoteReference w:id="14"/>
      </w:r>
      <w:r w:rsidR="00122703">
        <w:rPr>
          <w:sz w:val="22"/>
          <w:szCs w:val="22"/>
        </w:rPr>
        <w:t xml:space="preserve"> This language is used not only to legitimise their actions but suggests that their actions are </w:t>
      </w:r>
      <w:r w:rsidR="00E76791">
        <w:rPr>
          <w:sz w:val="22"/>
          <w:szCs w:val="22"/>
        </w:rPr>
        <w:t>carried out</w:t>
      </w:r>
      <w:r w:rsidR="00122703">
        <w:rPr>
          <w:sz w:val="22"/>
          <w:szCs w:val="22"/>
        </w:rPr>
        <w:t xml:space="preserve"> in the name of God. This is further shown later in the extract when William </w:t>
      </w:r>
      <w:r w:rsidR="00834D73">
        <w:rPr>
          <w:sz w:val="22"/>
          <w:szCs w:val="22"/>
        </w:rPr>
        <w:t>makes a vow to God that if he is victorious against Harold, then he will build a monastery on the site of the battle.</w:t>
      </w:r>
      <w:r w:rsidR="00FA1FE5">
        <w:rPr>
          <w:rStyle w:val="FootnoteReference"/>
          <w:sz w:val="22"/>
          <w:szCs w:val="22"/>
        </w:rPr>
        <w:footnoteReference w:id="15"/>
      </w:r>
      <w:r w:rsidR="00834D73">
        <w:rPr>
          <w:sz w:val="22"/>
          <w:szCs w:val="22"/>
        </w:rPr>
        <w:t xml:space="preserve"> Comparatively, the Bayeux Tapestry does not specifically show events through a religious point of view; Although,</w:t>
      </w:r>
      <w:r w:rsidR="00B03A15">
        <w:rPr>
          <w:sz w:val="22"/>
          <w:szCs w:val="22"/>
        </w:rPr>
        <w:t xml:space="preserve"> the writing being in Latin implies an underlying theme of religion.</w:t>
      </w:r>
      <w:r w:rsidR="00DE1D3D">
        <w:rPr>
          <w:rStyle w:val="FootnoteReference"/>
          <w:sz w:val="22"/>
          <w:szCs w:val="22"/>
        </w:rPr>
        <w:footnoteReference w:id="16"/>
      </w:r>
      <w:r w:rsidR="00B03A15">
        <w:rPr>
          <w:sz w:val="22"/>
          <w:szCs w:val="22"/>
        </w:rPr>
        <w:t xml:space="preserve"> This allows for the tapestry to be more factual in its depictions, which makes it more useful to historians using it as a source. Also, the extract has very little about the battle itself; It only explains that they entered the battle and the exact date they won.</w:t>
      </w:r>
      <w:r w:rsidR="00FA1FE5">
        <w:rPr>
          <w:rStyle w:val="FootnoteReference"/>
          <w:sz w:val="22"/>
          <w:szCs w:val="22"/>
        </w:rPr>
        <w:footnoteReference w:id="17"/>
      </w:r>
      <w:r w:rsidR="00B03A15">
        <w:rPr>
          <w:sz w:val="22"/>
          <w:szCs w:val="22"/>
        </w:rPr>
        <w:t xml:space="preserve"> This makes the tapestry more useful as there is a large depiction of the battle to study in comparison to the text.</w:t>
      </w:r>
      <w:r w:rsidR="003863B4">
        <w:rPr>
          <w:rStyle w:val="FootnoteReference"/>
          <w:sz w:val="22"/>
          <w:szCs w:val="22"/>
        </w:rPr>
        <w:footnoteReference w:id="18"/>
      </w:r>
      <w:r w:rsidR="00B03A15">
        <w:rPr>
          <w:sz w:val="22"/>
          <w:szCs w:val="22"/>
        </w:rPr>
        <w:t xml:space="preserve"> However, the tapestry is not without its own bias</w:t>
      </w:r>
      <w:r w:rsidR="00BB1840">
        <w:rPr>
          <w:sz w:val="22"/>
          <w:szCs w:val="22"/>
        </w:rPr>
        <w:t>, meaning it must be studied with care. The date shown in the extract, October 14</w:t>
      </w:r>
      <w:r w:rsidR="00BB1840" w:rsidRPr="00BB1840">
        <w:rPr>
          <w:sz w:val="22"/>
          <w:szCs w:val="22"/>
          <w:vertAlign w:val="superscript"/>
        </w:rPr>
        <w:t>th</w:t>
      </w:r>
      <w:r w:rsidR="00BB1840">
        <w:rPr>
          <w:sz w:val="22"/>
          <w:szCs w:val="22"/>
        </w:rPr>
        <w:t>, is shown as the date the Battle of Hastings is won.</w:t>
      </w:r>
      <w:r w:rsidR="00FA1FE5">
        <w:rPr>
          <w:rStyle w:val="FootnoteReference"/>
          <w:sz w:val="22"/>
          <w:szCs w:val="22"/>
        </w:rPr>
        <w:footnoteReference w:id="19"/>
      </w:r>
      <w:r w:rsidR="00BB1840">
        <w:rPr>
          <w:sz w:val="22"/>
          <w:szCs w:val="22"/>
        </w:rPr>
        <w:t xml:space="preserve"> If true, the date is useful to historians to study, and can be used with the Bayeux Tapestry to improve its accuracy and usefulness.</w:t>
      </w:r>
      <w:r w:rsidR="009A17B4">
        <w:rPr>
          <w:sz w:val="22"/>
          <w:szCs w:val="22"/>
        </w:rPr>
        <w:t xml:space="preserve"> The date also s</w:t>
      </w:r>
      <w:r w:rsidR="00FA1FE5">
        <w:rPr>
          <w:sz w:val="22"/>
          <w:szCs w:val="22"/>
        </w:rPr>
        <w:t>uggests</w:t>
      </w:r>
      <w:r w:rsidR="009A17B4">
        <w:rPr>
          <w:sz w:val="22"/>
          <w:szCs w:val="22"/>
        </w:rPr>
        <w:t xml:space="preserve"> accuracy in the extract. However, it can be suggested that a large part of the writing in the text is made up. The way that the chronicler writes</w:t>
      </w:r>
      <w:r w:rsidR="000802B4">
        <w:rPr>
          <w:sz w:val="22"/>
          <w:szCs w:val="22"/>
        </w:rPr>
        <w:t>,</w:t>
      </w:r>
      <w:r w:rsidR="009A17B4">
        <w:rPr>
          <w:sz w:val="22"/>
          <w:szCs w:val="22"/>
        </w:rPr>
        <w:t xml:space="preserve"> is as if they are with William and his men.</w:t>
      </w:r>
      <w:r w:rsidR="00587E63">
        <w:rPr>
          <w:rStyle w:val="FootnoteReference"/>
          <w:sz w:val="22"/>
          <w:szCs w:val="22"/>
        </w:rPr>
        <w:footnoteReference w:id="20"/>
      </w:r>
      <w:r w:rsidR="009A17B4">
        <w:rPr>
          <w:sz w:val="22"/>
          <w:szCs w:val="22"/>
        </w:rPr>
        <w:t xml:space="preserve"> This removes accuracy in the extract and questions further whether the date October 14</w:t>
      </w:r>
      <w:r w:rsidR="009A17B4" w:rsidRPr="009A17B4">
        <w:rPr>
          <w:sz w:val="22"/>
          <w:szCs w:val="22"/>
          <w:vertAlign w:val="superscript"/>
        </w:rPr>
        <w:t>th</w:t>
      </w:r>
      <w:r w:rsidR="009A17B4">
        <w:rPr>
          <w:sz w:val="22"/>
          <w:szCs w:val="22"/>
        </w:rPr>
        <w:t xml:space="preserve"> is accurate.</w:t>
      </w:r>
      <w:r w:rsidR="00E61F71">
        <w:rPr>
          <w:rStyle w:val="FootnoteReference"/>
          <w:sz w:val="22"/>
          <w:szCs w:val="22"/>
        </w:rPr>
        <w:footnoteReference w:id="21"/>
      </w:r>
      <w:r w:rsidR="009A17B4">
        <w:rPr>
          <w:sz w:val="22"/>
          <w:szCs w:val="22"/>
        </w:rPr>
        <w:t xml:space="preserve"> The possible invention of events puts more emphasis on the importance of the accuracy of the Bayeux Tapestry. </w:t>
      </w:r>
    </w:p>
    <w:p w14:paraId="66D7D80A" w14:textId="1AB0B152" w:rsidR="009A17B4" w:rsidRDefault="00CE2D6A">
      <w:pPr>
        <w:rPr>
          <w:sz w:val="22"/>
          <w:szCs w:val="22"/>
        </w:rPr>
      </w:pPr>
      <w:r>
        <w:rPr>
          <w:sz w:val="22"/>
          <w:szCs w:val="22"/>
        </w:rPr>
        <w:lastRenderedPageBreak/>
        <w:t>Another source that can be used to determine the usefulness of the tapestry is William of Poitiers account of the events of the Norman Conquest</w:t>
      </w:r>
      <w:r w:rsidR="00E40F12">
        <w:rPr>
          <w:sz w:val="22"/>
          <w:szCs w:val="22"/>
        </w:rPr>
        <w:t>. It starts by mentioning that William has been appointed as heir to the throne by Edward, and to officiate this Harold needed to swear an oath</w:t>
      </w:r>
      <w:r w:rsidR="00A76238">
        <w:rPr>
          <w:sz w:val="22"/>
          <w:szCs w:val="22"/>
        </w:rPr>
        <w:t xml:space="preserve"> as a promise to William that he is the heir to the throne</w:t>
      </w:r>
      <w:r w:rsidR="00E40F12">
        <w:rPr>
          <w:sz w:val="22"/>
          <w:szCs w:val="22"/>
        </w:rPr>
        <w:t>.</w:t>
      </w:r>
      <w:r w:rsidR="005C2DA5">
        <w:rPr>
          <w:rStyle w:val="FootnoteReference"/>
          <w:sz w:val="22"/>
          <w:szCs w:val="22"/>
        </w:rPr>
        <w:footnoteReference w:id="22"/>
      </w:r>
      <w:r w:rsidR="00E40F12">
        <w:rPr>
          <w:sz w:val="22"/>
          <w:szCs w:val="22"/>
        </w:rPr>
        <w:t xml:space="preserve"> This furthers the argument that the tapestry is useful as a source as William of Poitier</w:t>
      </w:r>
      <w:r w:rsidR="00C52242">
        <w:rPr>
          <w:sz w:val="22"/>
          <w:szCs w:val="22"/>
        </w:rPr>
        <w:t xml:space="preserve"> authenticates the event of Harold swearing an oath not to usurp the throne after </w:t>
      </w:r>
      <w:r w:rsidR="00CF1A3F">
        <w:rPr>
          <w:sz w:val="22"/>
          <w:szCs w:val="22"/>
        </w:rPr>
        <w:t>Edward’s</w:t>
      </w:r>
      <w:r w:rsidR="00C52242">
        <w:rPr>
          <w:sz w:val="22"/>
          <w:szCs w:val="22"/>
        </w:rPr>
        <w:t xml:space="preserve"> death. In the tapestry</w:t>
      </w:r>
      <w:r w:rsidR="00992E7B">
        <w:rPr>
          <w:sz w:val="22"/>
          <w:szCs w:val="22"/>
        </w:rPr>
        <w:t>,</w:t>
      </w:r>
      <w:r w:rsidR="00C52242">
        <w:rPr>
          <w:sz w:val="22"/>
          <w:szCs w:val="22"/>
        </w:rPr>
        <w:t xml:space="preserve"> Harold is depicted swearing on two religious items to complete his oath.</w:t>
      </w:r>
      <w:r w:rsidR="00781DCE">
        <w:rPr>
          <w:rStyle w:val="FootnoteReference"/>
          <w:sz w:val="22"/>
          <w:szCs w:val="22"/>
        </w:rPr>
        <w:footnoteReference w:id="23"/>
      </w:r>
      <w:r w:rsidR="00C52242">
        <w:rPr>
          <w:sz w:val="22"/>
          <w:szCs w:val="22"/>
        </w:rPr>
        <w:t xml:space="preserve"> The text continues that after Edward dies Harold is c</w:t>
      </w:r>
      <w:r w:rsidR="00E41FDC">
        <w:rPr>
          <w:sz w:val="22"/>
          <w:szCs w:val="22"/>
        </w:rPr>
        <w:t>rowned</w:t>
      </w:r>
      <w:r w:rsidR="00C52242">
        <w:rPr>
          <w:sz w:val="22"/>
          <w:szCs w:val="22"/>
        </w:rPr>
        <w:t xml:space="preserve"> as </w:t>
      </w:r>
      <w:r w:rsidR="003D27A9">
        <w:rPr>
          <w:sz w:val="22"/>
          <w:szCs w:val="22"/>
        </w:rPr>
        <w:t>king by Stigan</w:t>
      </w:r>
      <w:r w:rsidR="00E27409">
        <w:rPr>
          <w:sz w:val="22"/>
          <w:szCs w:val="22"/>
        </w:rPr>
        <w:t>d</w:t>
      </w:r>
      <w:r w:rsidR="003D27A9">
        <w:rPr>
          <w:sz w:val="22"/>
          <w:szCs w:val="22"/>
        </w:rPr>
        <w:t xml:space="preserve"> on the day Edward is buried.</w:t>
      </w:r>
      <w:r w:rsidR="00033451">
        <w:rPr>
          <w:rStyle w:val="FootnoteReference"/>
          <w:sz w:val="22"/>
          <w:szCs w:val="22"/>
        </w:rPr>
        <w:footnoteReference w:id="24"/>
      </w:r>
      <w:r w:rsidR="003D27A9">
        <w:rPr>
          <w:sz w:val="22"/>
          <w:szCs w:val="22"/>
        </w:rPr>
        <w:t xml:space="preserve"> This is also depicted by the tapestry, next to number </w:t>
      </w:r>
      <w:r w:rsidR="00CF1A3F">
        <w:rPr>
          <w:sz w:val="22"/>
          <w:szCs w:val="22"/>
        </w:rPr>
        <w:t>twenty-six</w:t>
      </w:r>
      <w:r w:rsidR="003D27A9">
        <w:rPr>
          <w:sz w:val="22"/>
          <w:szCs w:val="22"/>
        </w:rPr>
        <w:t xml:space="preserve"> on the scan, eight people are shown carrying a box assumed to contain the body of Edward.</w:t>
      </w:r>
      <w:r w:rsidR="00033451">
        <w:rPr>
          <w:rStyle w:val="FootnoteReference"/>
          <w:sz w:val="22"/>
          <w:szCs w:val="22"/>
        </w:rPr>
        <w:footnoteReference w:id="25"/>
      </w:r>
      <w:r w:rsidR="003D27A9">
        <w:rPr>
          <w:sz w:val="22"/>
          <w:szCs w:val="22"/>
        </w:rPr>
        <w:t xml:space="preserve"> Along the tapestry at number thirty Harold is being </w:t>
      </w:r>
      <w:r w:rsidR="00020E9E">
        <w:rPr>
          <w:sz w:val="22"/>
          <w:szCs w:val="22"/>
        </w:rPr>
        <w:t>crowned</w:t>
      </w:r>
      <w:r w:rsidR="003D27A9">
        <w:rPr>
          <w:sz w:val="22"/>
          <w:szCs w:val="22"/>
        </w:rPr>
        <w:t xml:space="preserve"> as king.</w:t>
      </w:r>
      <w:r w:rsidR="00033451">
        <w:rPr>
          <w:rStyle w:val="FootnoteReference"/>
          <w:sz w:val="22"/>
          <w:szCs w:val="22"/>
        </w:rPr>
        <w:footnoteReference w:id="26"/>
      </w:r>
      <w:r w:rsidR="003D27A9">
        <w:rPr>
          <w:sz w:val="22"/>
          <w:szCs w:val="22"/>
        </w:rPr>
        <w:t xml:space="preserve"> It can be suggested that Harold is c</w:t>
      </w:r>
      <w:r w:rsidR="00020E9E">
        <w:rPr>
          <w:sz w:val="22"/>
          <w:szCs w:val="22"/>
        </w:rPr>
        <w:t>rowned</w:t>
      </w:r>
      <w:r w:rsidR="003D27A9">
        <w:rPr>
          <w:sz w:val="22"/>
          <w:szCs w:val="22"/>
        </w:rPr>
        <w:t xml:space="preserve"> on the same day as </w:t>
      </w:r>
      <w:r w:rsidR="008B3AF5">
        <w:rPr>
          <w:sz w:val="22"/>
          <w:szCs w:val="22"/>
        </w:rPr>
        <w:t>Edward’s</w:t>
      </w:r>
      <w:r w:rsidR="003D27A9">
        <w:rPr>
          <w:sz w:val="22"/>
          <w:szCs w:val="22"/>
        </w:rPr>
        <w:t xml:space="preserve"> burial as the two scenes are close together, however as this is not specifically stated in the tapestry it cannot be proven. This does not remove any accuracy from both the text and the tapestry. </w:t>
      </w:r>
    </w:p>
    <w:p w14:paraId="794C7F1D" w14:textId="49978A9F" w:rsidR="003D27A9" w:rsidRDefault="003D27A9">
      <w:pPr>
        <w:rPr>
          <w:sz w:val="22"/>
          <w:szCs w:val="22"/>
        </w:rPr>
      </w:pPr>
      <w:r>
        <w:rPr>
          <w:sz w:val="22"/>
          <w:szCs w:val="22"/>
        </w:rPr>
        <w:t xml:space="preserve">Furthermore, it is also depicted in both the text and the tapestry of Williams preparation for the invasion of England. In the tapestry </w:t>
      </w:r>
      <w:r w:rsidR="00206E53">
        <w:rPr>
          <w:sz w:val="22"/>
          <w:szCs w:val="22"/>
        </w:rPr>
        <w:t>William</w:t>
      </w:r>
      <w:r w:rsidR="00D30C5E">
        <w:rPr>
          <w:sz w:val="22"/>
          <w:szCs w:val="22"/>
        </w:rPr>
        <w:t>’</w:t>
      </w:r>
      <w:r w:rsidR="00206E53">
        <w:rPr>
          <w:sz w:val="22"/>
          <w:szCs w:val="22"/>
        </w:rPr>
        <w:t>s men are shown to be cutting down trees to make boats.</w:t>
      </w:r>
      <w:r w:rsidR="00033451">
        <w:rPr>
          <w:rStyle w:val="FootnoteReference"/>
          <w:sz w:val="22"/>
          <w:szCs w:val="22"/>
        </w:rPr>
        <w:footnoteReference w:id="27"/>
      </w:r>
      <w:r w:rsidR="00206E53">
        <w:rPr>
          <w:sz w:val="22"/>
          <w:szCs w:val="22"/>
        </w:rPr>
        <w:t xml:space="preserve"> In comparison, in William of Poitiers description of events they also describe the building of ships but also of supplies and weapons.</w:t>
      </w:r>
      <w:r w:rsidR="00033451">
        <w:rPr>
          <w:rStyle w:val="FootnoteReference"/>
          <w:sz w:val="22"/>
          <w:szCs w:val="22"/>
        </w:rPr>
        <w:footnoteReference w:id="28"/>
      </w:r>
      <w:r w:rsidR="00206E53">
        <w:rPr>
          <w:sz w:val="22"/>
          <w:szCs w:val="22"/>
        </w:rPr>
        <w:t xml:space="preserve"> William of Poitiers account of events furthers the accuracy and usefulness of the Bayeux Tapestry due to the biases made by William of Poitier</w:t>
      </w:r>
      <w:r w:rsidR="003B29DA">
        <w:rPr>
          <w:sz w:val="22"/>
          <w:szCs w:val="22"/>
        </w:rPr>
        <w:t>s</w:t>
      </w:r>
      <w:r w:rsidR="00206E53">
        <w:rPr>
          <w:sz w:val="22"/>
          <w:szCs w:val="22"/>
        </w:rPr>
        <w:t>. The account of events</w:t>
      </w:r>
      <w:r w:rsidR="001C43DE">
        <w:rPr>
          <w:sz w:val="22"/>
          <w:szCs w:val="22"/>
        </w:rPr>
        <w:t xml:space="preserve"> in</w:t>
      </w:r>
      <w:r w:rsidR="00206E53">
        <w:rPr>
          <w:sz w:val="22"/>
          <w:szCs w:val="22"/>
        </w:rPr>
        <w:t xml:space="preserve"> </w:t>
      </w:r>
      <w:r w:rsidR="00F77A88">
        <w:rPr>
          <w:sz w:val="22"/>
          <w:szCs w:val="22"/>
        </w:rPr>
        <w:t>William of Poitiers writing</w:t>
      </w:r>
      <w:r w:rsidR="001C43DE">
        <w:rPr>
          <w:sz w:val="22"/>
          <w:szCs w:val="22"/>
        </w:rPr>
        <w:t xml:space="preserve"> is biased in favour of William </w:t>
      </w:r>
      <w:r w:rsidR="001362BF">
        <w:rPr>
          <w:sz w:val="22"/>
          <w:szCs w:val="22"/>
        </w:rPr>
        <w:t>throughout the text</w:t>
      </w:r>
      <w:r w:rsidR="001C43DE">
        <w:rPr>
          <w:sz w:val="22"/>
          <w:szCs w:val="22"/>
        </w:rPr>
        <w:t>. This is first shown by the starting sentence, which centres around William, states that he is heir to the throne when Edward dies.</w:t>
      </w:r>
      <w:r w:rsidR="00033451">
        <w:rPr>
          <w:rStyle w:val="FootnoteReference"/>
          <w:sz w:val="22"/>
          <w:szCs w:val="22"/>
        </w:rPr>
        <w:footnoteReference w:id="29"/>
      </w:r>
      <w:r w:rsidR="001C43DE">
        <w:rPr>
          <w:sz w:val="22"/>
          <w:szCs w:val="22"/>
        </w:rPr>
        <w:t xml:space="preserve"> </w:t>
      </w:r>
      <w:r w:rsidR="001362BF">
        <w:rPr>
          <w:sz w:val="22"/>
          <w:szCs w:val="22"/>
        </w:rPr>
        <w:t>Furthermore, religion is also used to be biased in favour of William on multiple occasions. On one occasion, the text suggests that God is on Williams side and would not allow him to fail against Harold as it is for a religious cause.</w:t>
      </w:r>
      <w:r w:rsidR="00033451">
        <w:rPr>
          <w:rStyle w:val="FootnoteReference"/>
          <w:sz w:val="22"/>
          <w:szCs w:val="22"/>
        </w:rPr>
        <w:footnoteReference w:id="30"/>
      </w:r>
      <w:r w:rsidR="001362BF">
        <w:rPr>
          <w:sz w:val="22"/>
          <w:szCs w:val="22"/>
        </w:rPr>
        <w:t xml:space="preserve"> It also describes William as ‘wise’ and ‘faithful’ suggesting that he is fighting for righteous means.</w:t>
      </w:r>
      <w:r w:rsidR="00033451">
        <w:rPr>
          <w:rStyle w:val="FootnoteReference"/>
          <w:sz w:val="22"/>
          <w:szCs w:val="22"/>
        </w:rPr>
        <w:footnoteReference w:id="31"/>
      </w:r>
      <w:r w:rsidR="00057C8B">
        <w:rPr>
          <w:sz w:val="22"/>
          <w:szCs w:val="22"/>
        </w:rPr>
        <w:t xml:space="preserve"> </w:t>
      </w:r>
    </w:p>
    <w:p w14:paraId="0ADACD31" w14:textId="11BF067D" w:rsidR="00F07DDC" w:rsidRDefault="00EF3645">
      <w:pPr>
        <w:rPr>
          <w:sz w:val="22"/>
          <w:szCs w:val="22"/>
        </w:rPr>
      </w:pPr>
      <w:r>
        <w:rPr>
          <w:sz w:val="22"/>
          <w:szCs w:val="22"/>
        </w:rPr>
        <w:t>The usefulness of the Bayeux Tapestry is questioned further over whether Harold or William were rightful heirs to the throne. This can be argued either way as according to Megan Rice both William and Harold had legitimate claims to the throne, in 1051 and 1066.</w:t>
      </w:r>
      <w:r w:rsidR="00A61687">
        <w:rPr>
          <w:rStyle w:val="FootnoteReference"/>
          <w:sz w:val="22"/>
          <w:szCs w:val="22"/>
        </w:rPr>
        <w:footnoteReference w:id="32"/>
      </w:r>
      <w:r>
        <w:rPr>
          <w:sz w:val="22"/>
          <w:szCs w:val="22"/>
        </w:rPr>
        <w:t xml:space="preserve"> The question arises as to which claim to the throne is more legitimate. On one side, William has been promised as the heir to the throne by Edward and Harold</w:t>
      </w:r>
      <w:r w:rsidR="00C43FDC">
        <w:rPr>
          <w:sz w:val="22"/>
          <w:szCs w:val="22"/>
        </w:rPr>
        <w:t>,</w:t>
      </w:r>
      <w:r>
        <w:rPr>
          <w:sz w:val="22"/>
          <w:szCs w:val="22"/>
        </w:rPr>
        <w:t xml:space="preserve"> according to the Bayeux Tapestry and other </w:t>
      </w:r>
      <w:r>
        <w:rPr>
          <w:sz w:val="22"/>
          <w:szCs w:val="22"/>
        </w:rPr>
        <w:lastRenderedPageBreak/>
        <w:t>Norman writing</w:t>
      </w:r>
      <w:r w:rsidR="00C43FDC">
        <w:rPr>
          <w:sz w:val="22"/>
          <w:szCs w:val="22"/>
        </w:rPr>
        <w:t>,</w:t>
      </w:r>
      <w:r>
        <w:rPr>
          <w:sz w:val="22"/>
          <w:szCs w:val="22"/>
        </w:rPr>
        <w:t xml:space="preserve"> made an oath to William that he was the rightful heir to the throne.</w:t>
      </w:r>
      <w:r w:rsidR="00FC21D7">
        <w:rPr>
          <w:rStyle w:val="FootnoteReference"/>
          <w:sz w:val="22"/>
          <w:szCs w:val="22"/>
        </w:rPr>
        <w:footnoteReference w:id="33"/>
      </w:r>
      <w:r>
        <w:rPr>
          <w:sz w:val="22"/>
          <w:szCs w:val="22"/>
        </w:rPr>
        <w:t xml:space="preserve"> However, Harold was promised the throne on </w:t>
      </w:r>
      <w:r w:rsidR="00C43FDC">
        <w:rPr>
          <w:sz w:val="22"/>
          <w:szCs w:val="22"/>
        </w:rPr>
        <w:t>Edward’s</w:t>
      </w:r>
      <w:r>
        <w:rPr>
          <w:sz w:val="22"/>
          <w:szCs w:val="22"/>
        </w:rPr>
        <w:t xml:space="preserve"> deathbed.</w:t>
      </w:r>
      <w:r w:rsidR="00FC21D7">
        <w:rPr>
          <w:rStyle w:val="FootnoteReference"/>
          <w:sz w:val="22"/>
          <w:szCs w:val="22"/>
        </w:rPr>
        <w:footnoteReference w:id="34"/>
      </w:r>
      <w:r>
        <w:rPr>
          <w:sz w:val="22"/>
          <w:szCs w:val="22"/>
        </w:rPr>
        <w:t xml:space="preserve"> </w:t>
      </w:r>
      <w:r w:rsidR="00C43FDC">
        <w:rPr>
          <w:sz w:val="22"/>
          <w:szCs w:val="22"/>
        </w:rPr>
        <w:t>Also, William and Harold’s respective legal systems play a role in who has a more legitimate claim. Under the Normans legal system William’s claim is legitimate but not binding.</w:t>
      </w:r>
      <w:r w:rsidR="00FC21D7">
        <w:rPr>
          <w:rStyle w:val="FootnoteReference"/>
          <w:sz w:val="22"/>
          <w:szCs w:val="22"/>
        </w:rPr>
        <w:footnoteReference w:id="35"/>
      </w:r>
      <w:r w:rsidR="00C43FDC">
        <w:rPr>
          <w:sz w:val="22"/>
          <w:szCs w:val="22"/>
        </w:rPr>
        <w:t xml:space="preserve"> However, under the Anglo Saxon legal system Harold’s claim is also legitimate but also binding as the promise was made on </w:t>
      </w:r>
      <w:r w:rsidR="00BA5D4F">
        <w:rPr>
          <w:sz w:val="22"/>
          <w:szCs w:val="22"/>
        </w:rPr>
        <w:t>Edward’s</w:t>
      </w:r>
      <w:r w:rsidR="00C43FDC">
        <w:rPr>
          <w:sz w:val="22"/>
          <w:szCs w:val="22"/>
        </w:rPr>
        <w:t xml:space="preserve"> death bed.</w:t>
      </w:r>
      <w:r w:rsidR="00FC21D7">
        <w:rPr>
          <w:rStyle w:val="FootnoteReference"/>
          <w:sz w:val="22"/>
          <w:szCs w:val="22"/>
        </w:rPr>
        <w:footnoteReference w:id="36"/>
      </w:r>
      <w:r w:rsidR="00C43FDC">
        <w:rPr>
          <w:sz w:val="22"/>
          <w:szCs w:val="22"/>
        </w:rPr>
        <w:t xml:space="preserve"> This suggests that Harold was rightfully King of England and William usurped the throne from him. </w:t>
      </w:r>
    </w:p>
    <w:p w14:paraId="01C4C70E" w14:textId="60A03B21" w:rsidR="00EF3645" w:rsidRDefault="00C43FDC">
      <w:pPr>
        <w:rPr>
          <w:sz w:val="22"/>
          <w:szCs w:val="22"/>
        </w:rPr>
      </w:pPr>
      <w:r>
        <w:rPr>
          <w:sz w:val="22"/>
          <w:szCs w:val="22"/>
        </w:rPr>
        <w:t>Furthermore, the Norman depiction of the coronation of Harold comes into question over its accuracy.</w:t>
      </w:r>
      <w:r w:rsidR="00935971">
        <w:rPr>
          <w:sz w:val="22"/>
          <w:szCs w:val="22"/>
        </w:rPr>
        <w:t xml:space="preserve"> The Bayeux Tapestry depicts Harold being c</w:t>
      </w:r>
      <w:r w:rsidR="00E73DAD">
        <w:rPr>
          <w:sz w:val="22"/>
          <w:szCs w:val="22"/>
        </w:rPr>
        <w:t>rowned</w:t>
      </w:r>
      <w:r w:rsidR="00935971">
        <w:rPr>
          <w:sz w:val="22"/>
          <w:szCs w:val="22"/>
        </w:rPr>
        <w:t xml:space="preserve"> by the Archbishop Stigand.</w:t>
      </w:r>
      <w:r w:rsidR="004E2EDC">
        <w:rPr>
          <w:rStyle w:val="FootnoteReference"/>
          <w:sz w:val="22"/>
          <w:szCs w:val="22"/>
        </w:rPr>
        <w:footnoteReference w:id="37"/>
      </w:r>
      <w:r w:rsidR="00935971">
        <w:rPr>
          <w:sz w:val="22"/>
          <w:szCs w:val="22"/>
        </w:rPr>
        <w:t xml:space="preserve"> This detail is also backed up by William of Poitier</w:t>
      </w:r>
      <w:r w:rsidR="003B29DA">
        <w:rPr>
          <w:sz w:val="22"/>
          <w:szCs w:val="22"/>
        </w:rPr>
        <w:t>s</w:t>
      </w:r>
      <w:r w:rsidR="00935971">
        <w:rPr>
          <w:sz w:val="22"/>
          <w:szCs w:val="22"/>
        </w:rPr>
        <w:t xml:space="preserve"> who also claims that Archbishop Stigand c</w:t>
      </w:r>
      <w:r w:rsidR="00E73DAD">
        <w:rPr>
          <w:sz w:val="22"/>
          <w:szCs w:val="22"/>
        </w:rPr>
        <w:t>rowned</w:t>
      </w:r>
      <w:r w:rsidR="00935971">
        <w:rPr>
          <w:sz w:val="22"/>
          <w:szCs w:val="22"/>
        </w:rPr>
        <w:t xml:space="preserve"> Harold as king.</w:t>
      </w:r>
      <w:r w:rsidR="00FC21D7">
        <w:rPr>
          <w:rStyle w:val="FootnoteReference"/>
          <w:sz w:val="22"/>
          <w:szCs w:val="22"/>
        </w:rPr>
        <w:footnoteReference w:id="38"/>
      </w:r>
      <w:r w:rsidR="00935971">
        <w:rPr>
          <w:sz w:val="22"/>
          <w:szCs w:val="22"/>
        </w:rPr>
        <w:t xml:space="preserve"> This is an interesting detail depicted by the Normans as Archbishop Stigand was excommunicated by the pope.</w:t>
      </w:r>
      <w:r w:rsidR="00215BBB">
        <w:rPr>
          <w:rStyle w:val="FootnoteReference"/>
          <w:sz w:val="22"/>
          <w:szCs w:val="22"/>
        </w:rPr>
        <w:footnoteReference w:id="39"/>
      </w:r>
      <w:r w:rsidR="00935971">
        <w:rPr>
          <w:sz w:val="22"/>
          <w:szCs w:val="22"/>
        </w:rPr>
        <w:t xml:space="preserve"> As Stigand was excommunicated, this would mean that Harolds coronation is illegitimate, making Williams claim to the throne more legitimate. This would suggest further that by making Harold</w:t>
      </w:r>
      <w:r w:rsidR="00E34E53">
        <w:rPr>
          <w:sz w:val="22"/>
          <w:szCs w:val="22"/>
        </w:rPr>
        <w:t>’</w:t>
      </w:r>
      <w:r w:rsidR="00935971">
        <w:rPr>
          <w:sz w:val="22"/>
          <w:szCs w:val="22"/>
        </w:rPr>
        <w:t xml:space="preserve">s coronation illegitimate </w:t>
      </w:r>
      <w:r w:rsidR="00CD389E">
        <w:rPr>
          <w:sz w:val="22"/>
          <w:szCs w:val="22"/>
        </w:rPr>
        <w:t>and</w:t>
      </w:r>
      <w:r w:rsidR="00935971">
        <w:rPr>
          <w:sz w:val="22"/>
          <w:szCs w:val="22"/>
        </w:rPr>
        <w:t xml:space="preserve"> legitimise Williams actions in the later Battle of Hastings.</w:t>
      </w:r>
      <w:r w:rsidR="00F77CCD">
        <w:rPr>
          <w:sz w:val="22"/>
          <w:szCs w:val="22"/>
        </w:rPr>
        <w:t xml:space="preserve"> However, a chronicler named John of Worchester stated that the Archbishop of York Ealdred coronated </w:t>
      </w:r>
      <w:r w:rsidR="00BA5D4F">
        <w:rPr>
          <w:sz w:val="22"/>
          <w:szCs w:val="22"/>
        </w:rPr>
        <w:t>Harold rather than Stigand.</w:t>
      </w:r>
      <w:r w:rsidR="004060E5">
        <w:rPr>
          <w:rStyle w:val="FootnoteReference"/>
          <w:sz w:val="22"/>
          <w:szCs w:val="22"/>
        </w:rPr>
        <w:footnoteReference w:id="40"/>
      </w:r>
      <w:r w:rsidR="00BA5D4F">
        <w:rPr>
          <w:sz w:val="22"/>
          <w:szCs w:val="22"/>
        </w:rPr>
        <w:t xml:space="preserve"> If this is truthful and accurate, it would </w:t>
      </w:r>
      <w:r w:rsidR="00FC1F43">
        <w:rPr>
          <w:sz w:val="22"/>
          <w:szCs w:val="22"/>
        </w:rPr>
        <w:t xml:space="preserve">further </w:t>
      </w:r>
      <w:r w:rsidR="00BA5D4F">
        <w:rPr>
          <w:sz w:val="22"/>
          <w:szCs w:val="22"/>
        </w:rPr>
        <w:t xml:space="preserve">imply that Harold was the rightful King of England, and the depictions of Harold in the Bayeux Tapestry and in William of Poitiers writing </w:t>
      </w:r>
      <w:r w:rsidR="00C53238">
        <w:rPr>
          <w:sz w:val="22"/>
          <w:szCs w:val="22"/>
        </w:rPr>
        <w:t xml:space="preserve">of Harold making an oath to William </w:t>
      </w:r>
      <w:r w:rsidR="00BA5D4F">
        <w:rPr>
          <w:sz w:val="22"/>
          <w:szCs w:val="22"/>
        </w:rPr>
        <w:t>is used to legitimise Williams</w:t>
      </w:r>
      <w:r w:rsidR="00DD06F1">
        <w:rPr>
          <w:sz w:val="22"/>
          <w:szCs w:val="22"/>
        </w:rPr>
        <w:t>’</w:t>
      </w:r>
      <w:r w:rsidR="00BA5D4F">
        <w:rPr>
          <w:sz w:val="22"/>
          <w:szCs w:val="22"/>
        </w:rPr>
        <w:t xml:space="preserve"> and the Normans actions of usurping power from Harold.</w:t>
      </w:r>
      <w:r w:rsidR="00C53238">
        <w:rPr>
          <w:rStyle w:val="FootnoteReference"/>
          <w:sz w:val="22"/>
          <w:szCs w:val="22"/>
        </w:rPr>
        <w:footnoteReference w:id="41"/>
      </w:r>
      <w:r w:rsidR="00BA5D4F">
        <w:rPr>
          <w:sz w:val="22"/>
          <w:szCs w:val="22"/>
        </w:rPr>
        <w:t xml:space="preserve"> This removes some usefulness in the tapestry as bias and false depictions make it harder for historians to determine the truth of events. However, these depictions, although not reliable, could also be useful as it allows for debate over questions such as why the Normans depicted Harold in this way.</w:t>
      </w:r>
      <w:r w:rsidR="00F87BBB">
        <w:rPr>
          <w:sz w:val="22"/>
          <w:szCs w:val="22"/>
        </w:rPr>
        <w:t xml:space="preserve"> </w:t>
      </w:r>
    </w:p>
    <w:p w14:paraId="6F7A5E62" w14:textId="2EDAF5F5" w:rsidR="00117EC4" w:rsidRDefault="00446455">
      <w:pPr>
        <w:rPr>
          <w:sz w:val="22"/>
          <w:szCs w:val="22"/>
        </w:rPr>
      </w:pPr>
      <w:r>
        <w:rPr>
          <w:sz w:val="22"/>
          <w:szCs w:val="22"/>
        </w:rPr>
        <w:t xml:space="preserve">The Bayeux Tapestry also shows that it can be useful in ways other than the events itself such as in clothing and weaponry that was used at the time. There are multiple arguments over the weaponry </w:t>
      </w:r>
      <w:r w:rsidR="00951FB8">
        <w:rPr>
          <w:sz w:val="22"/>
          <w:szCs w:val="22"/>
        </w:rPr>
        <w:t xml:space="preserve">and clothing </w:t>
      </w:r>
      <w:r>
        <w:rPr>
          <w:sz w:val="22"/>
          <w:szCs w:val="22"/>
        </w:rPr>
        <w:t xml:space="preserve">used in the Bayeux Tapestry. One argument is by the </w:t>
      </w:r>
      <w:r>
        <w:rPr>
          <w:i/>
          <w:iCs/>
          <w:sz w:val="22"/>
          <w:szCs w:val="22"/>
        </w:rPr>
        <w:t>English Historical Review</w:t>
      </w:r>
      <w:r>
        <w:rPr>
          <w:sz w:val="22"/>
          <w:szCs w:val="22"/>
        </w:rPr>
        <w:t xml:space="preserve"> which argues that the</w:t>
      </w:r>
      <w:r w:rsidR="00743B6C">
        <w:rPr>
          <w:sz w:val="22"/>
          <w:szCs w:val="22"/>
        </w:rPr>
        <w:t xml:space="preserve"> clothing</w:t>
      </w:r>
      <w:r>
        <w:rPr>
          <w:sz w:val="22"/>
          <w:szCs w:val="22"/>
        </w:rPr>
        <w:t xml:space="preserve"> used in both sides in the battle scenes are exactly the same.</w:t>
      </w:r>
      <w:r w:rsidR="00B50079">
        <w:rPr>
          <w:rStyle w:val="FootnoteReference"/>
          <w:sz w:val="22"/>
          <w:szCs w:val="22"/>
        </w:rPr>
        <w:footnoteReference w:id="42"/>
      </w:r>
      <w:r>
        <w:rPr>
          <w:sz w:val="22"/>
          <w:szCs w:val="22"/>
        </w:rPr>
        <w:t xml:space="preserve"> It is explained that the soldiers on both sides wear the same knee length clothing and the same helmets with a nose piece.</w:t>
      </w:r>
      <w:r w:rsidR="00F768CA">
        <w:rPr>
          <w:rStyle w:val="FootnoteReference"/>
          <w:sz w:val="22"/>
          <w:szCs w:val="22"/>
        </w:rPr>
        <w:footnoteReference w:id="43"/>
      </w:r>
      <w:r>
        <w:rPr>
          <w:sz w:val="22"/>
          <w:szCs w:val="22"/>
        </w:rPr>
        <w:t xml:space="preserve"> This is clearly shown in the tapestry during the scenes of the Battle of Hastings, </w:t>
      </w:r>
      <w:r w:rsidR="00407424">
        <w:rPr>
          <w:sz w:val="22"/>
          <w:szCs w:val="22"/>
        </w:rPr>
        <w:t>it</w:t>
      </w:r>
      <w:r>
        <w:rPr>
          <w:sz w:val="22"/>
          <w:szCs w:val="22"/>
        </w:rPr>
        <w:t xml:space="preserve"> is easiest to be seen between scenes fifty-one and fifty-two </w:t>
      </w:r>
      <w:r w:rsidR="00DD431F">
        <w:rPr>
          <w:sz w:val="22"/>
          <w:szCs w:val="22"/>
        </w:rPr>
        <w:t>of the tapestry as there is the largest contrast between Norman and English fighters.</w:t>
      </w:r>
      <w:r w:rsidR="004E2EDC">
        <w:rPr>
          <w:rStyle w:val="FootnoteReference"/>
          <w:sz w:val="22"/>
          <w:szCs w:val="22"/>
        </w:rPr>
        <w:footnoteReference w:id="44"/>
      </w:r>
      <w:r w:rsidR="00DD431F">
        <w:rPr>
          <w:sz w:val="22"/>
          <w:szCs w:val="22"/>
        </w:rPr>
        <w:t xml:space="preserve"> The Norman </w:t>
      </w:r>
      <w:r w:rsidR="00DD431F">
        <w:rPr>
          <w:sz w:val="22"/>
          <w:szCs w:val="22"/>
        </w:rPr>
        <w:lastRenderedPageBreak/>
        <w:t>fighters, shown on horseback, are seen wearing the same garments and helmets as English fighters.</w:t>
      </w:r>
      <w:r w:rsidR="004E2EDC">
        <w:rPr>
          <w:rStyle w:val="FootnoteReference"/>
          <w:sz w:val="22"/>
          <w:szCs w:val="22"/>
        </w:rPr>
        <w:footnoteReference w:id="45"/>
      </w:r>
      <w:r w:rsidR="00DD431F">
        <w:rPr>
          <w:sz w:val="22"/>
          <w:szCs w:val="22"/>
        </w:rPr>
        <w:t xml:space="preserve"> </w:t>
      </w:r>
      <w:r w:rsidR="00E36F05">
        <w:rPr>
          <w:sz w:val="22"/>
          <w:szCs w:val="22"/>
        </w:rPr>
        <w:t>This is shown clearly throughout the scenes of the Battle of Hastings</w:t>
      </w:r>
      <w:r w:rsidR="00DD431F">
        <w:rPr>
          <w:sz w:val="22"/>
          <w:szCs w:val="22"/>
        </w:rPr>
        <w:t>.</w:t>
      </w:r>
      <w:r w:rsidR="001E5C2F">
        <w:rPr>
          <w:rStyle w:val="FootnoteReference"/>
          <w:sz w:val="22"/>
          <w:szCs w:val="22"/>
        </w:rPr>
        <w:footnoteReference w:id="46"/>
      </w:r>
      <w:r w:rsidR="00DD431F">
        <w:rPr>
          <w:sz w:val="22"/>
          <w:szCs w:val="22"/>
        </w:rPr>
        <w:t xml:space="preserve"> This makes the Bayeux Tapestry useful to </w:t>
      </w:r>
      <w:r w:rsidR="00407424">
        <w:rPr>
          <w:sz w:val="22"/>
          <w:szCs w:val="22"/>
        </w:rPr>
        <w:t>a historian studying it, as it gives historians an insight into what the Normans wore into battle at this time. However, as the tapestry is from a Norman perspective, it is not useful to historians understanding English dress in battle in this period.</w:t>
      </w:r>
      <w:r w:rsidR="00EC3934">
        <w:rPr>
          <w:sz w:val="22"/>
          <w:szCs w:val="22"/>
        </w:rPr>
        <w:t xml:space="preserve"> </w:t>
      </w:r>
    </w:p>
    <w:p w14:paraId="22F38B18" w14:textId="3D8BFD43" w:rsidR="00F87BBB" w:rsidRDefault="00117EC4">
      <w:pPr>
        <w:rPr>
          <w:sz w:val="22"/>
          <w:szCs w:val="22"/>
        </w:rPr>
      </w:pPr>
      <w:r>
        <w:rPr>
          <w:sz w:val="22"/>
          <w:szCs w:val="22"/>
        </w:rPr>
        <w:t>Another argument, by Michael John Lewis, suggests that there were differing types of weaponry between sides in the Bayeux Tapestry.</w:t>
      </w:r>
      <w:r w:rsidR="0030092C">
        <w:rPr>
          <w:rStyle w:val="FootnoteReference"/>
          <w:sz w:val="22"/>
          <w:szCs w:val="22"/>
        </w:rPr>
        <w:footnoteReference w:id="47"/>
      </w:r>
      <w:r>
        <w:rPr>
          <w:sz w:val="22"/>
          <w:szCs w:val="22"/>
        </w:rPr>
        <w:t xml:space="preserve"> Multiple types of weaponry are specific to either the Normans or the English. For example, bows are used during the battle scenes but the majority of depictions of bows are depicted on the Norman fighters.</w:t>
      </w:r>
      <w:r w:rsidR="0030092C">
        <w:rPr>
          <w:rStyle w:val="FootnoteReference"/>
          <w:sz w:val="22"/>
          <w:szCs w:val="22"/>
        </w:rPr>
        <w:footnoteReference w:id="48"/>
      </w:r>
      <w:r>
        <w:rPr>
          <w:sz w:val="22"/>
          <w:szCs w:val="22"/>
        </w:rPr>
        <w:t xml:space="preserve"> Also, large hafted axes are shown in the tapestry and are mainly used by the English.</w:t>
      </w:r>
      <w:r w:rsidR="00BF2C15">
        <w:rPr>
          <w:rStyle w:val="FootnoteReference"/>
          <w:sz w:val="22"/>
          <w:szCs w:val="22"/>
        </w:rPr>
        <w:footnoteReference w:id="49"/>
      </w:r>
      <w:r>
        <w:rPr>
          <w:sz w:val="22"/>
          <w:szCs w:val="22"/>
        </w:rPr>
        <w:t xml:space="preserve"> </w:t>
      </w:r>
      <w:r w:rsidR="00E36F05">
        <w:rPr>
          <w:sz w:val="22"/>
          <w:szCs w:val="22"/>
        </w:rPr>
        <w:t>Furthermore, spears seem to be specifically used by the Normans.</w:t>
      </w:r>
      <w:r w:rsidR="00E36F05">
        <w:rPr>
          <w:rStyle w:val="FootnoteReference"/>
          <w:sz w:val="22"/>
          <w:szCs w:val="22"/>
        </w:rPr>
        <w:footnoteReference w:id="50"/>
      </w:r>
      <w:r w:rsidR="00E36F05">
        <w:rPr>
          <w:sz w:val="22"/>
          <w:szCs w:val="22"/>
        </w:rPr>
        <w:t xml:space="preserve"> </w:t>
      </w:r>
      <w:r>
        <w:rPr>
          <w:sz w:val="22"/>
          <w:szCs w:val="22"/>
        </w:rPr>
        <w:t>Lewis further argues that the reason for the differing weapons is so that the Normans and the English can be differed between.</w:t>
      </w:r>
      <w:r w:rsidR="00BF2C15">
        <w:rPr>
          <w:rStyle w:val="FootnoteReference"/>
          <w:sz w:val="22"/>
          <w:szCs w:val="22"/>
        </w:rPr>
        <w:footnoteReference w:id="51"/>
      </w:r>
      <w:r>
        <w:rPr>
          <w:sz w:val="22"/>
          <w:szCs w:val="22"/>
        </w:rPr>
        <w:t xml:space="preserve"> This is agreeable as the Normans would likely want to differ from the English, so viewers of the tapestry could see that the Normans took victory over the </w:t>
      </w:r>
      <w:r w:rsidR="00BA24A6">
        <w:rPr>
          <w:sz w:val="22"/>
          <w:szCs w:val="22"/>
        </w:rPr>
        <w:t>English. However, this argument does not explain why both the English and the Normans wear the same clothes during the scenes of the Battle of Hastings, as if the Normans wanted to differentiate themselves from the English their clothing would be different as well as their weaponry.</w:t>
      </w:r>
      <w:r w:rsidR="00510BC5">
        <w:rPr>
          <w:sz w:val="22"/>
          <w:szCs w:val="22"/>
        </w:rPr>
        <w:t xml:space="preserve"> This shows that the tapestry is useful to historians, as it is a pictographic source</w:t>
      </w:r>
      <w:r w:rsidR="009C7BC1">
        <w:rPr>
          <w:sz w:val="22"/>
          <w:szCs w:val="22"/>
        </w:rPr>
        <w:t xml:space="preserve">, it allows for historians to view visual representations of weaponry and clothing used at the time. This is </w:t>
      </w:r>
      <w:r w:rsidR="006B4070">
        <w:rPr>
          <w:sz w:val="22"/>
          <w:szCs w:val="22"/>
        </w:rPr>
        <w:t xml:space="preserve">also </w:t>
      </w:r>
      <w:r w:rsidR="009C7BC1">
        <w:rPr>
          <w:sz w:val="22"/>
          <w:szCs w:val="22"/>
        </w:rPr>
        <w:t xml:space="preserve">useful to historians as we can see a more accurate view of these objects, unlike with written sources where it can only be described and interpreted. </w:t>
      </w:r>
    </w:p>
    <w:p w14:paraId="0305891C" w14:textId="30DF531C" w:rsidR="009C7BC1" w:rsidRDefault="00F52AC1">
      <w:pPr>
        <w:rPr>
          <w:sz w:val="22"/>
          <w:szCs w:val="22"/>
        </w:rPr>
      </w:pPr>
      <w:r>
        <w:rPr>
          <w:sz w:val="22"/>
          <w:szCs w:val="22"/>
        </w:rPr>
        <w:t xml:space="preserve">In conclusion, </w:t>
      </w:r>
      <w:r w:rsidR="00AD6750">
        <w:rPr>
          <w:sz w:val="22"/>
          <w:szCs w:val="22"/>
        </w:rPr>
        <w:t xml:space="preserve">the Bayeux Tapestry is useful as a source for the events surrounding the Norman invasion of England. The tapestry is a pictographic source on the events of the Norman Conquest. However, the tapestry has large biases and possible falsehoods </w:t>
      </w:r>
      <w:r w:rsidR="008A3277">
        <w:rPr>
          <w:sz w:val="22"/>
          <w:szCs w:val="22"/>
        </w:rPr>
        <w:t xml:space="preserve">which remove some usefulness when looking at the accuracy of events that took place. Nonetheless, it is still a useful source as it </w:t>
      </w:r>
      <w:r w:rsidR="00C65B39">
        <w:rPr>
          <w:sz w:val="22"/>
          <w:szCs w:val="22"/>
        </w:rPr>
        <w:t>allows for</w:t>
      </w:r>
      <w:r w:rsidR="008A3277">
        <w:rPr>
          <w:sz w:val="22"/>
          <w:szCs w:val="22"/>
        </w:rPr>
        <w:t xml:space="preserve"> debate over why the Normans would be inaccurate in their recording of events</w:t>
      </w:r>
      <w:r w:rsidR="00B83EBF">
        <w:rPr>
          <w:sz w:val="22"/>
          <w:szCs w:val="22"/>
        </w:rPr>
        <w:t xml:space="preserve"> and why they depicted themselves and others in this way</w:t>
      </w:r>
      <w:r w:rsidR="008A3277">
        <w:rPr>
          <w:sz w:val="22"/>
          <w:szCs w:val="22"/>
        </w:rPr>
        <w:t xml:space="preserve">. Furthermore, as the tapestry is pictographic, it allows historians to </w:t>
      </w:r>
      <w:r w:rsidR="00474383">
        <w:rPr>
          <w:sz w:val="22"/>
          <w:szCs w:val="22"/>
        </w:rPr>
        <w:t>view depictions of clothing and weaponry of the time. This is incredibly useful for historians as visual depictions of objects allow historians to view what these objects looked like at the time, in comparison to written descriptions of objects where historians could only describe and interpret what an object looked like.</w:t>
      </w:r>
      <w:r w:rsidR="009C70C1">
        <w:rPr>
          <w:sz w:val="22"/>
          <w:szCs w:val="22"/>
        </w:rPr>
        <w:t xml:space="preserve"> </w:t>
      </w:r>
    </w:p>
    <w:p w14:paraId="582C682F" w14:textId="77777777" w:rsidR="009C70C1" w:rsidRDefault="009C70C1">
      <w:pPr>
        <w:rPr>
          <w:sz w:val="22"/>
          <w:szCs w:val="22"/>
        </w:rPr>
      </w:pPr>
    </w:p>
    <w:p w14:paraId="49D06350" w14:textId="29490B02" w:rsidR="009C70C1" w:rsidRDefault="009C70C1">
      <w:pPr>
        <w:rPr>
          <w:sz w:val="22"/>
          <w:szCs w:val="22"/>
          <w:u w:val="single"/>
        </w:rPr>
      </w:pPr>
      <w:r>
        <w:rPr>
          <w:sz w:val="22"/>
          <w:szCs w:val="22"/>
          <w:u w:val="single"/>
        </w:rPr>
        <w:t xml:space="preserve">Bibliography </w:t>
      </w:r>
    </w:p>
    <w:p w14:paraId="64DCDE31" w14:textId="7CC33001" w:rsidR="00EB3A45" w:rsidRDefault="00EB3A45" w:rsidP="009C70C1">
      <w:pPr>
        <w:pStyle w:val="ListParagraph"/>
        <w:numPr>
          <w:ilvl w:val="0"/>
          <w:numId w:val="1"/>
        </w:numPr>
        <w:rPr>
          <w:sz w:val="22"/>
          <w:szCs w:val="22"/>
        </w:rPr>
      </w:pPr>
      <w:r>
        <w:rPr>
          <w:sz w:val="22"/>
          <w:szCs w:val="22"/>
        </w:rPr>
        <w:t xml:space="preserve">A. Brown, Shirley, ‘The Bayeux Tapestry: History or Propaganda?’, in </w:t>
      </w:r>
      <w:r>
        <w:rPr>
          <w:i/>
          <w:iCs/>
          <w:sz w:val="22"/>
          <w:szCs w:val="22"/>
        </w:rPr>
        <w:t>The Anglo-Saxons: Synthesis and Achievement</w:t>
      </w:r>
      <w:r>
        <w:rPr>
          <w:sz w:val="22"/>
          <w:szCs w:val="22"/>
        </w:rPr>
        <w:t xml:space="preserve">, </w:t>
      </w:r>
      <w:r w:rsidR="00FA357E">
        <w:rPr>
          <w:sz w:val="22"/>
          <w:szCs w:val="22"/>
        </w:rPr>
        <w:t xml:space="preserve">ed. by J. Douglas Woods and David A.E. Pelteret, </w:t>
      </w:r>
      <w:r>
        <w:rPr>
          <w:sz w:val="22"/>
          <w:szCs w:val="22"/>
        </w:rPr>
        <w:t>(</w:t>
      </w:r>
      <w:r w:rsidR="00EC503D">
        <w:rPr>
          <w:sz w:val="22"/>
          <w:szCs w:val="22"/>
        </w:rPr>
        <w:t>Waterloo: Wilfrid Laurier University Press, 1985</w:t>
      </w:r>
      <w:r>
        <w:rPr>
          <w:sz w:val="22"/>
          <w:szCs w:val="22"/>
        </w:rPr>
        <w:t>), pp. 11-25, &lt;</w:t>
      </w:r>
      <w:hyperlink r:id="rId8" w:history="1">
        <w:r w:rsidR="00A34F18" w:rsidRPr="00FD2B74">
          <w:rPr>
            <w:rStyle w:val="Hyperlink"/>
            <w:sz w:val="22"/>
            <w:szCs w:val="22"/>
          </w:rPr>
          <w:t>https://www.medievalists.net/files/09012309.pdf</w:t>
        </w:r>
      </w:hyperlink>
      <w:r w:rsidR="00A34F18" w:rsidRPr="00A34F18">
        <w:rPr>
          <w:sz w:val="22"/>
          <w:szCs w:val="22"/>
        </w:rPr>
        <w:t> </w:t>
      </w:r>
      <w:r w:rsidR="00A34F18">
        <w:rPr>
          <w:sz w:val="22"/>
          <w:szCs w:val="22"/>
        </w:rPr>
        <w:t>&gt;, [Accessed: 23</w:t>
      </w:r>
      <w:r w:rsidR="00A34F18" w:rsidRPr="00A34F18">
        <w:rPr>
          <w:sz w:val="22"/>
          <w:szCs w:val="22"/>
          <w:vertAlign w:val="superscript"/>
        </w:rPr>
        <w:t>rd</w:t>
      </w:r>
      <w:r w:rsidR="00A34F18">
        <w:rPr>
          <w:sz w:val="22"/>
          <w:szCs w:val="22"/>
        </w:rPr>
        <w:t xml:space="preserve"> October 2026]</w:t>
      </w:r>
    </w:p>
    <w:p w14:paraId="5CC3F775" w14:textId="54DF7A3B" w:rsidR="00A558FC" w:rsidRDefault="00A558FC" w:rsidP="009C70C1">
      <w:pPr>
        <w:pStyle w:val="ListParagraph"/>
        <w:numPr>
          <w:ilvl w:val="0"/>
          <w:numId w:val="1"/>
        </w:numPr>
        <w:rPr>
          <w:sz w:val="22"/>
          <w:szCs w:val="22"/>
        </w:rPr>
      </w:pPr>
      <w:r>
        <w:rPr>
          <w:sz w:val="22"/>
          <w:szCs w:val="22"/>
        </w:rPr>
        <w:t xml:space="preserve">Bayeux Museum, </w:t>
      </w:r>
      <w:r w:rsidR="00EB3A45" w:rsidRPr="00EB3A45">
        <w:rPr>
          <w:i/>
          <w:iCs/>
          <w:sz w:val="22"/>
          <w:szCs w:val="22"/>
        </w:rPr>
        <w:t>Explore the Bayeux Tapestry Online</w:t>
      </w:r>
      <w:r w:rsidR="00EB3A45">
        <w:rPr>
          <w:sz w:val="22"/>
          <w:szCs w:val="22"/>
        </w:rPr>
        <w:t>, Unknown, &lt;</w:t>
      </w:r>
      <w:hyperlink r:id="rId9" w:anchor="termsofuse" w:history="1">
        <w:r w:rsidR="00A34F18" w:rsidRPr="00FD2B74">
          <w:rPr>
            <w:rStyle w:val="Hyperlink"/>
            <w:sz w:val="22"/>
            <w:szCs w:val="22"/>
          </w:rPr>
          <w:t>https://www.bayeuxmuseum.com/en/the-bayeux-tapestry/discover-the-bayeux-tapestry/explore-online/#termsofuse</w:t>
        </w:r>
      </w:hyperlink>
      <w:r w:rsidR="00A34F18">
        <w:rPr>
          <w:sz w:val="22"/>
          <w:szCs w:val="22"/>
        </w:rPr>
        <w:t>&gt;, [Accessed: 23</w:t>
      </w:r>
      <w:r w:rsidR="00A34F18" w:rsidRPr="00A34F18">
        <w:rPr>
          <w:sz w:val="22"/>
          <w:szCs w:val="22"/>
          <w:vertAlign w:val="superscript"/>
        </w:rPr>
        <w:t>rd</w:t>
      </w:r>
      <w:r w:rsidR="00A34F18">
        <w:rPr>
          <w:sz w:val="22"/>
          <w:szCs w:val="22"/>
        </w:rPr>
        <w:t xml:space="preserve"> October 2026]</w:t>
      </w:r>
    </w:p>
    <w:p w14:paraId="12650FA1" w14:textId="273D491D" w:rsidR="009C70C1" w:rsidRDefault="009C70C1" w:rsidP="009C70C1">
      <w:pPr>
        <w:pStyle w:val="ListParagraph"/>
        <w:numPr>
          <w:ilvl w:val="0"/>
          <w:numId w:val="1"/>
        </w:numPr>
        <w:rPr>
          <w:sz w:val="22"/>
          <w:szCs w:val="22"/>
        </w:rPr>
      </w:pPr>
      <w:r>
        <w:rPr>
          <w:sz w:val="22"/>
          <w:szCs w:val="22"/>
        </w:rPr>
        <w:t xml:space="preserve">Glover, Richard, ‘English Warfare in 1066’, </w:t>
      </w:r>
      <w:r>
        <w:rPr>
          <w:i/>
          <w:iCs/>
          <w:sz w:val="22"/>
          <w:szCs w:val="22"/>
        </w:rPr>
        <w:t>The English Historical Review</w:t>
      </w:r>
      <w:r>
        <w:rPr>
          <w:sz w:val="22"/>
          <w:szCs w:val="22"/>
        </w:rPr>
        <w:t>, Vol. 67, No. 262, (1952), pp. 1-18, &lt;</w:t>
      </w:r>
      <w:hyperlink r:id="rId10" w:history="1">
        <w:r w:rsidR="00A34F18" w:rsidRPr="00FD2B74">
          <w:rPr>
            <w:rStyle w:val="Hyperlink"/>
            <w:sz w:val="22"/>
            <w:szCs w:val="22"/>
          </w:rPr>
          <w:t>https://www.jstor.org/stable/555694</w:t>
        </w:r>
      </w:hyperlink>
      <w:r w:rsidR="00A34F18">
        <w:rPr>
          <w:sz w:val="22"/>
          <w:szCs w:val="22"/>
        </w:rPr>
        <w:t>&gt;, [Accessed: 23</w:t>
      </w:r>
      <w:r w:rsidR="00A34F18" w:rsidRPr="00A34F18">
        <w:rPr>
          <w:sz w:val="22"/>
          <w:szCs w:val="22"/>
          <w:vertAlign w:val="superscript"/>
        </w:rPr>
        <w:t>rd</w:t>
      </w:r>
      <w:r w:rsidR="00A34F18">
        <w:rPr>
          <w:sz w:val="22"/>
          <w:szCs w:val="22"/>
        </w:rPr>
        <w:t xml:space="preserve"> October 2026]</w:t>
      </w:r>
    </w:p>
    <w:p w14:paraId="663B889E" w14:textId="75B09AE2" w:rsidR="009C70C1" w:rsidRPr="00A34F18" w:rsidRDefault="009C70C1" w:rsidP="00A34F18">
      <w:pPr>
        <w:pStyle w:val="ListParagraph"/>
        <w:numPr>
          <w:ilvl w:val="0"/>
          <w:numId w:val="1"/>
        </w:numPr>
        <w:rPr>
          <w:sz w:val="22"/>
          <w:szCs w:val="22"/>
        </w:rPr>
      </w:pPr>
      <w:r>
        <w:rPr>
          <w:sz w:val="22"/>
          <w:szCs w:val="22"/>
        </w:rPr>
        <w:t>John Lewis, Michael, ‘Identity and Status in the Bayeux Tapestry: The Iconographic and Artefactual Evidence’, (Unknown), pp. 100-1</w:t>
      </w:r>
      <w:r w:rsidR="008D3EF4">
        <w:rPr>
          <w:sz w:val="22"/>
          <w:szCs w:val="22"/>
        </w:rPr>
        <w:t>20</w:t>
      </w:r>
      <w:r>
        <w:rPr>
          <w:sz w:val="22"/>
          <w:szCs w:val="22"/>
        </w:rPr>
        <w:t>, &lt;</w:t>
      </w:r>
      <w:hyperlink r:id="rId11" w:history="1">
        <w:r w:rsidR="00A34F18" w:rsidRPr="00FD2B74">
          <w:rPr>
            <w:rStyle w:val="Hyperlink"/>
            <w:sz w:val="22"/>
            <w:szCs w:val="22"/>
          </w:rPr>
          <w:t>https://www.academia.edu/10053576/Identity_and_Status_in_the_Bayeux_Tapestry_Anglo_Norman_Studies_29</w:t>
        </w:r>
      </w:hyperlink>
      <w:r w:rsidR="00A34F18">
        <w:rPr>
          <w:sz w:val="22"/>
          <w:szCs w:val="22"/>
        </w:rPr>
        <w:t>&gt;, [Accessed: 23</w:t>
      </w:r>
      <w:r w:rsidR="00A34F18" w:rsidRPr="00A34F18">
        <w:rPr>
          <w:sz w:val="22"/>
          <w:szCs w:val="22"/>
          <w:vertAlign w:val="superscript"/>
        </w:rPr>
        <w:t>rd</w:t>
      </w:r>
      <w:r w:rsidR="00A34F18">
        <w:rPr>
          <w:sz w:val="22"/>
          <w:szCs w:val="22"/>
        </w:rPr>
        <w:t xml:space="preserve"> October 2026]</w:t>
      </w:r>
    </w:p>
    <w:p w14:paraId="658EAEE7" w14:textId="4E4EB8E4" w:rsidR="003A63DF" w:rsidRDefault="003A63DF" w:rsidP="009C70C1">
      <w:pPr>
        <w:pStyle w:val="ListParagraph"/>
        <w:numPr>
          <w:ilvl w:val="0"/>
          <w:numId w:val="1"/>
        </w:numPr>
        <w:rPr>
          <w:sz w:val="22"/>
          <w:szCs w:val="22"/>
        </w:rPr>
      </w:pPr>
      <w:r>
        <w:rPr>
          <w:sz w:val="22"/>
          <w:szCs w:val="22"/>
        </w:rPr>
        <w:t xml:space="preserve">Noxon, Gerald, ‘The Bayeux Tapestry’, </w:t>
      </w:r>
      <w:r>
        <w:rPr>
          <w:i/>
          <w:iCs/>
          <w:sz w:val="22"/>
          <w:szCs w:val="22"/>
        </w:rPr>
        <w:t>Cinema Journal</w:t>
      </w:r>
      <w:r>
        <w:rPr>
          <w:sz w:val="22"/>
          <w:szCs w:val="22"/>
        </w:rPr>
        <w:t>, Vol. 7, (1967-1968), pp. 29-35, &lt;</w:t>
      </w:r>
      <w:hyperlink r:id="rId12" w:history="1">
        <w:r w:rsidR="00A34F18" w:rsidRPr="00FD2B74">
          <w:rPr>
            <w:rStyle w:val="Hyperlink"/>
            <w:sz w:val="22"/>
            <w:szCs w:val="22"/>
          </w:rPr>
          <w:t>https://www.jstor.org/stable/1224876</w:t>
        </w:r>
      </w:hyperlink>
      <w:r w:rsidR="00A34F18">
        <w:rPr>
          <w:sz w:val="22"/>
          <w:szCs w:val="22"/>
        </w:rPr>
        <w:t>&gt;, [Accessed: 23</w:t>
      </w:r>
      <w:r w:rsidR="00A34F18" w:rsidRPr="00A34F18">
        <w:rPr>
          <w:sz w:val="22"/>
          <w:szCs w:val="22"/>
          <w:vertAlign w:val="superscript"/>
        </w:rPr>
        <w:t>rd</w:t>
      </w:r>
      <w:r w:rsidR="00A34F18">
        <w:rPr>
          <w:sz w:val="22"/>
          <w:szCs w:val="22"/>
        </w:rPr>
        <w:t xml:space="preserve"> October 2026]</w:t>
      </w:r>
    </w:p>
    <w:p w14:paraId="2D2E50EB" w14:textId="55832DAE" w:rsidR="009C70C1" w:rsidRDefault="009C70C1" w:rsidP="009C70C1">
      <w:pPr>
        <w:pStyle w:val="ListParagraph"/>
        <w:numPr>
          <w:ilvl w:val="0"/>
          <w:numId w:val="1"/>
        </w:numPr>
        <w:rPr>
          <w:sz w:val="22"/>
          <w:szCs w:val="22"/>
        </w:rPr>
      </w:pPr>
      <w:r>
        <w:rPr>
          <w:sz w:val="22"/>
          <w:szCs w:val="22"/>
        </w:rPr>
        <w:t xml:space="preserve">Rice, Megan, </w:t>
      </w:r>
      <w:r w:rsidRPr="00270576">
        <w:rPr>
          <w:i/>
          <w:iCs/>
          <w:sz w:val="22"/>
          <w:szCs w:val="22"/>
        </w:rPr>
        <w:t>Conquest on Display: The Original Installation of the Bayeux Tapestry</w:t>
      </w:r>
      <w:r>
        <w:rPr>
          <w:sz w:val="22"/>
          <w:szCs w:val="22"/>
        </w:rPr>
        <w:t xml:space="preserve">, </w:t>
      </w:r>
      <w:r w:rsidR="00A61687">
        <w:rPr>
          <w:sz w:val="22"/>
          <w:szCs w:val="22"/>
        </w:rPr>
        <w:t>(</w:t>
      </w:r>
      <w:r w:rsidR="00270576">
        <w:rPr>
          <w:sz w:val="22"/>
          <w:szCs w:val="22"/>
        </w:rPr>
        <w:t>Unpublished M.A Thesis, University of Louisville, 2010), &lt;</w:t>
      </w:r>
      <w:hyperlink r:id="rId13" w:history="1">
        <w:r w:rsidR="00A34F18" w:rsidRPr="00FD2B74">
          <w:rPr>
            <w:rStyle w:val="Hyperlink"/>
            <w:sz w:val="22"/>
            <w:szCs w:val="22"/>
          </w:rPr>
          <w:t>https://www.proquest.com/docview/613865994?%20Theses&amp;fromopenview=true&amp;pq-origsite=gscholar&amp;sourcetype=Dissertations%20</w:t>
        </w:r>
      </w:hyperlink>
      <w:r w:rsidR="00A34F18">
        <w:rPr>
          <w:sz w:val="22"/>
          <w:szCs w:val="22"/>
        </w:rPr>
        <w:t>&gt;, [Accessed: 23</w:t>
      </w:r>
      <w:r w:rsidR="00A34F18" w:rsidRPr="00A34F18">
        <w:rPr>
          <w:sz w:val="22"/>
          <w:szCs w:val="22"/>
          <w:vertAlign w:val="superscript"/>
        </w:rPr>
        <w:t>rd</w:t>
      </w:r>
      <w:r w:rsidR="00A34F18">
        <w:rPr>
          <w:sz w:val="22"/>
          <w:szCs w:val="22"/>
        </w:rPr>
        <w:t xml:space="preserve"> October 2026]</w:t>
      </w:r>
    </w:p>
    <w:p w14:paraId="214D9B00" w14:textId="390EB7C3" w:rsidR="003A63DF" w:rsidRDefault="003A63DF" w:rsidP="009C70C1">
      <w:pPr>
        <w:pStyle w:val="ListParagraph"/>
        <w:numPr>
          <w:ilvl w:val="0"/>
          <w:numId w:val="1"/>
        </w:numPr>
        <w:rPr>
          <w:sz w:val="22"/>
          <w:szCs w:val="22"/>
        </w:rPr>
      </w:pPr>
      <w:r>
        <w:rPr>
          <w:sz w:val="22"/>
          <w:szCs w:val="22"/>
        </w:rPr>
        <w:t xml:space="preserve">The Chronicle of Battle Abbey, ed. and trans. by Eleanor Searle, </w:t>
      </w:r>
      <w:r w:rsidR="00AF3844">
        <w:rPr>
          <w:sz w:val="22"/>
          <w:szCs w:val="22"/>
        </w:rPr>
        <w:t xml:space="preserve">(Oxford Medieval Texts, 1980), </w:t>
      </w:r>
      <w:r>
        <w:rPr>
          <w:sz w:val="22"/>
          <w:szCs w:val="22"/>
        </w:rPr>
        <w:t>pp. 66-67</w:t>
      </w:r>
    </w:p>
    <w:p w14:paraId="2A5B483C" w14:textId="776602F5" w:rsidR="00270576" w:rsidRPr="009C70C1" w:rsidRDefault="00270576" w:rsidP="009C70C1">
      <w:pPr>
        <w:pStyle w:val="ListParagraph"/>
        <w:numPr>
          <w:ilvl w:val="0"/>
          <w:numId w:val="1"/>
        </w:numPr>
        <w:rPr>
          <w:sz w:val="22"/>
          <w:szCs w:val="22"/>
        </w:rPr>
      </w:pPr>
      <w:r>
        <w:rPr>
          <w:sz w:val="22"/>
          <w:szCs w:val="22"/>
        </w:rPr>
        <w:t xml:space="preserve">William of Poitiers, </w:t>
      </w:r>
      <w:r w:rsidR="00CE3F3C">
        <w:rPr>
          <w:i/>
          <w:iCs/>
          <w:sz w:val="22"/>
          <w:szCs w:val="22"/>
        </w:rPr>
        <w:t xml:space="preserve">The </w:t>
      </w:r>
      <w:r>
        <w:rPr>
          <w:i/>
          <w:iCs/>
          <w:sz w:val="22"/>
          <w:szCs w:val="22"/>
        </w:rPr>
        <w:t>Gesta</w:t>
      </w:r>
      <w:r w:rsidR="00CE3F3C">
        <w:rPr>
          <w:i/>
          <w:iCs/>
          <w:sz w:val="22"/>
          <w:szCs w:val="22"/>
        </w:rPr>
        <w:t xml:space="preserve"> Guillelmi</w:t>
      </w:r>
      <w:r>
        <w:rPr>
          <w:sz w:val="22"/>
          <w:szCs w:val="22"/>
        </w:rPr>
        <w:t xml:space="preserve">, ed. by </w:t>
      </w:r>
      <w:r w:rsidR="00CE3F3C">
        <w:rPr>
          <w:sz w:val="22"/>
          <w:szCs w:val="22"/>
        </w:rPr>
        <w:t xml:space="preserve">R.H.C. Davis and Marjorie Chibnall </w:t>
      </w:r>
      <w:r w:rsidR="007011D8">
        <w:rPr>
          <w:sz w:val="22"/>
          <w:szCs w:val="22"/>
        </w:rPr>
        <w:t>(Oxford, 1998), pp. 4-15</w:t>
      </w:r>
    </w:p>
    <w:sectPr w:rsidR="00270576" w:rsidRPr="009C70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68FC5" w14:textId="77777777" w:rsidR="00C17835" w:rsidRDefault="00C17835" w:rsidP="00F07DDC">
      <w:pPr>
        <w:spacing w:after="0" w:line="240" w:lineRule="auto"/>
      </w:pPr>
      <w:r>
        <w:separator/>
      </w:r>
    </w:p>
  </w:endnote>
  <w:endnote w:type="continuationSeparator" w:id="0">
    <w:p w14:paraId="41792A19" w14:textId="77777777" w:rsidR="00C17835" w:rsidRDefault="00C17835" w:rsidP="00F07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B02D3" w14:textId="77777777" w:rsidR="00C17835" w:rsidRDefault="00C17835" w:rsidP="00F07DDC">
      <w:pPr>
        <w:spacing w:after="0" w:line="240" w:lineRule="auto"/>
      </w:pPr>
      <w:r>
        <w:separator/>
      </w:r>
    </w:p>
  </w:footnote>
  <w:footnote w:type="continuationSeparator" w:id="0">
    <w:p w14:paraId="5C931888" w14:textId="77777777" w:rsidR="00C17835" w:rsidRDefault="00C17835" w:rsidP="00F07DDC">
      <w:pPr>
        <w:spacing w:after="0" w:line="240" w:lineRule="auto"/>
      </w:pPr>
      <w:r>
        <w:continuationSeparator/>
      </w:r>
    </w:p>
  </w:footnote>
  <w:footnote w:id="1">
    <w:p w14:paraId="7562AC36" w14:textId="7524697A" w:rsidR="003B7BA0" w:rsidRPr="003B7BA0" w:rsidRDefault="003B7BA0">
      <w:pPr>
        <w:pStyle w:val="FootnoteText"/>
      </w:pPr>
      <w:r>
        <w:rPr>
          <w:rStyle w:val="FootnoteReference"/>
        </w:rPr>
        <w:footnoteRef/>
      </w:r>
      <w:r>
        <w:t xml:space="preserve"> Gerald Noxon, ‘The Bayeux Tapestry’, </w:t>
      </w:r>
      <w:r>
        <w:rPr>
          <w:i/>
          <w:iCs/>
        </w:rPr>
        <w:t>Cinema Journal</w:t>
      </w:r>
      <w:r>
        <w:t>, Vol. 7, (1967-1968), pp. 29-35, (p. 29), &lt;</w:t>
      </w:r>
      <w:hyperlink r:id="rId1" w:history="1">
        <w:r w:rsidRPr="00E22EC7">
          <w:rPr>
            <w:rStyle w:val="Hyperlink"/>
          </w:rPr>
          <w:t>https://www.jstor.org/stable/1224876</w:t>
        </w:r>
      </w:hyperlink>
      <w:r>
        <w:t>&gt;, [Accessed: 23</w:t>
      </w:r>
      <w:r w:rsidRPr="003B7BA0">
        <w:rPr>
          <w:vertAlign w:val="superscript"/>
        </w:rPr>
        <w:t>rd</w:t>
      </w:r>
      <w:r>
        <w:t xml:space="preserve"> October 2026]</w:t>
      </w:r>
      <w:r w:rsidR="00C324E7">
        <w:t>.</w:t>
      </w:r>
    </w:p>
  </w:footnote>
  <w:footnote w:id="2">
    <w:p w14:paraId="5D2327AE" w14:textId="5D7E19B7" w:rsidR="00BA1B07" w:rsidRPr="00BA1B07" w:rsidRDefault="00BA1B07">
      <w:pPr>
        <w:pStyle w:val="FootnoteText"/>
      </w:pPr>
      <w:r>
        <w:rPr>
          <w:rStyle w:val="FootnoteReference"/>
        </w:rPr>
        <w:footnoteRef/>
      </w:r>
      <w:r>
        <w:t xml:space="preserve"> Bayeux Museum, </w:t>
      </w:r>
      <w:r>
        <w:rPr>
          <w:i/>
          <w:iCs/>
        </w:rPr>
        <w:t>Explore the Bayeux Tapestry Online</w:t>
      </w:r>
      <w:r>
        <w:t>, Unknown, &lt;</w:t>
      </w:r>
      <w:hyperlink r:id="rId2" w:anchor="termsofuse" w:history="1">
        <w:r w:rsidRPr="00E22EC7">
          <w:rPr>
            <w:rStyle w:val="Hyperlink"/>
          </w:rPr>
          <w:t>https://www.bayeuxmuseum.com/en/the-bayeux-tapestry/discover-the-bayeux-tapestry/explore-online/#termsofuse</w:t>
        </w:r>
      </w:hyperlink>
      <w:r>
        <w:t>&gt;, [Accessed: 23</w:t>
      </w:r>
      <w:r w:rsidRPr="00BA1B07">
        <w:rPr>
          <w:vertAlign w:val="superscript"/>
        </w:rPr>
        <w:t>rd</w:t>
      </w:r>
      <w:r>
        <w:t xml:space="preserve"> October 2026]</w:t>
      </w:r>
      <w:r w:rsidR="00C324E7">
        <w:t>.</w:t>
      </w:r>
    </w:p>
  </w:footnote>
  <w:footnote w:id="3">
    <w:p w14:paraId="05C70679" w14:textId="77E313DE" w:rsidR="00663278" w:rsidRDefault="00663278">
      <w:pPr>
        <w:pStyle w:val="FootnoteText"/>
      </w:pPr>
      <w:r>
        <w:rPr>
          <w:rStyle w:val="FootnoteReference"/>
        </w:rPr>
        <w:footnoteRef/>
      </w:r>
      <w:r>
        <w:t xml:space="preserve"> Ibid: Bayeux Museum, Unknown</w:t>
      </w:r>
      <w:r w:rsidR="00C324E7">
        <w:t>.</w:t>
      </w:r>
    </w:p>
  </w:footnote>
  <w:footnote w:id="4">
    <w:p w14:paraId="5088749E" w14:textId="2261CF59" w:rsidR="009F1776" w:rsidRDefault="009F1776">
      <w:pPr>
        <w:pStyle w:val="FootnoteText"/>
      </w:pPr>
      <w:r>
        <w:rPr>
          <w:rStyle w:val="FootnoteReference"/>
        </w:rPr>
        <w:footnoteRef/>
      </w:r>
      <w:r>
        <w:t xml:space="preserve"> Ibid: Bayeux Museum, Unknown</w:t>
      </w:r>
      <w:r w:rsidR="00C324E7">
        <w:t>.</w:t>
      </w:r>
    </w:p>
  </w:footnote>
  <w:footnote w:id="5">
    <w:p w14:paraId="3CE721E7" w14:textId="1D5C4580" w:rsidR="009F1776" w:rsidRDefault="009F1776">
      <w:pPr>
        <w:pStyle w:val="FootnoteText"/>
      </w:pPr>
      <w:r>
        <w:rPr>
          <w:rStyle w:val="FootnoteReference"/>
        </w:rPr>
        <w:footnoteRef/>
      </w:r>
      <w:r>
        <w:t xml:space="preserve"> Ibid: Bayeux Museum, Unknown</w:t>
      </w:r>
      <w:r w:rsidR="00C324E7">
        <w:t>.</w:t>
      </w:r>
    </w:p>
  </w:footnote>
  <w:footnote w:id="6">
    <w:p w14:paraId="6A565995" w14:textId="323124E9" w:rsidR="009F1776" w:rsidRDefault="009F1776">
      <w:pPr>
        <w:pStyle w:val="FootnoteText"/>
      </w:pPr>
      <w:r>
        <w:rPr>
          <w:rStyle w:val="FootnoteReference"/>
        </w:rPr>
        <w:footnoteRef/>
      </w:r>
      <w:r>
        <w:t xml:space="preserve"> Ibid: Bayeux Museum, Unknown</w:t>
      </w:r>
      <w:r w:rsidR="00C324E7">
        <w:t>.</w:t>
      </w:r>
    </w:p>
  </w:footnote>
  <w:footnote w:id="7">
    <w:p w14:paraId="614CFB6F" w14:textId="023B2618" w:rsidR="009F1776" w:rsidRDefault="009F1776">
      <w:pPr>
        <w:pStyle w:val="FootnoteText"/>
      </w:pPr>
      <w:r>
        <w:rPr>
          <w:rStyle w:val="FootnoteReference"/>
        </w:rPr>
        <w:footnoteRef/>
      </w:r>
      <w:r>
        <w:t xml:space="preserve"> Ibid: Bayeux Museum, Unknown</w:t>
      </w:r>
      <w:r w:rsidR="00C324E7">
        <w:t>.</w:t>
      </w:r>
    </w:p>
  </w:footnote>
  <w:footnote w:id="8">
    <w:p w14:paraId="3C395E24" w14:textId="10EF510E" w:rsidR="00AE555C" w:rsidRDefault="00AE555C">
      <w:pPr>
        <w:pStyle w:val="FootnoteText"/>
      </w:pPr>
      <w:r>
        <w:rPr>
          <w:rStyle w:val="FootnoteReference"/>
        </w:rPr>
        <w:footnoteRef/>
      </w:r>
      <w:r>
        <w:t xml:space="preserve"> Ibid: Noxon, ‘The Bayeux Tapestry’, p. 30</w:t>
      </w:r>
      <w:r w:rsidR="00C324E7">
        <w:t>.</w:t>
      </w:r>
    </w:p>
  </w:footnote>
  <w:footnote w:id="9">
    <w:p w14:paraId="4ACA0ECB" w14:textId="48053092" w:rsidR="00AE555C" w:rsidRDefault="00AE555C">
      <w:pPr>
        <w:pStyle w:val="FootnoteText"/>
      </w:pPr>
      <w:r>
        <w:rPr>
          <w:rStyle w:val="FootnoteReference"/>
        </w:rPr>
        <w:footnoteRef/>
      </w:r>
      <w:r>
        <w:t xml:space="preserve"> Ibid: Noxon, ‘The Bayeux Tapestry’, p. 30</w:t>
      </w:r>
      <w:r w:rsidR="00C324E7">
        <w:t>.</w:t>
      </w:r>
    </w:p>
  </w:footnote>
  <w:footnote w:id="10">
    <w:p w14:paraId="7694F6CA" w14:textId="3B49482E" w:rsidR="00D74565" w:rsidRPr="00D74565" w:rsidRDefault="00D74565">
      <w:pPr>
        <w:pStyle w:val="FootnoteText"/>
      </w:pPr>
      <w:r>
        <w:rPr>
          <w:rStyle w:val="FootnoteReference"/>
        </w:rPr>
        <w:footnoteRef/>
      </w:r>
      <w:r>
        <w:t xml:space="preserve"> Shirley A. Brown, ‘The Bayeux Tapestry: History or Propaganda?’, in </w:t>
      </w:r>
      <w:r>
        <w:rPr>
          <w:i/>
          <w:iCs/>
        </w:rPr>
        <w:t>The Anglo-Saxons</w:t>
      </w:r>
      <w:r w:rsidR="00FC23BD">
        <w:rPr>
          <w:i/>
          <w:iCs/>
        </w:rPr>
        <w:t>:</w:t>
      </w:r>
      <w:r>
        <w:rPr>
          <w:i/>
          <w:iCs/>
        </w:rPr>
        <w:t xml:space="preserve"> Synthesis and Achievement</w:t>
      </w:r>
      <w:r>
        <w:t>, ed. by J. Douglas Woods and David A.E. Pelteret</w:t>
      </w:r>
      <w:r w:rsidR="004769C8">
        <w:t>, (Waterloo: Wilfrid Laurier University Press, 1985), pp. 11-25, (p. 12), &lt;</w:t>
      </w:r>
      <w:hyperlink r:id="rId3" w:history="1">
        <w:r w:rsidR="004769C8" w:rsidRPr="00E22EC7">
          <w:rPr>
            <w:rStyle w:val="Hyperlink"/>
          </w:rPr>
          <w:t>https://www.medievalists.net/files/09012309.pdf</w:t>
        </w:r>
      </w:hyperlink>
      <w:r w:rsidR="004769C8">
        <w:t>&gt;, [Accessed: 23</w:t>
      </w:r>
      <w:r w:rsidR="004769C8" w:rsidRPr="004769C8">
        <w:rPr>
          <w:vertAlign w:val="superscript"/>
        </w:rPr>
        <w:t>rd</w:t>
      </w:r>
      <w:r w:rsidR="004769C8">
        <w:t xml:space="preserve"> October 2026]</w:t>
      </w:r>
      <w:r w:rsidR="00C324E7">
        <w:t>.</w:t>
      </w:r>
    </w:p>
  </w:footnote>
  <w:footnote w:id="11">
    <w:p w14:paraId="25B703DC" w14:textId="3627FE27" w:rsidR="0092030D" w:rsidRDefault="0092030D">
      <w:pPr>
        <w:pStyle w:val="FootnoteText"/>
      </w:pPr>
      <w:r>
        <w:rPr>
          <w:rStyle w:val="FootnoteReference"/>
        </w:rPr>
        <w:footnoteRef/>
      </w:r>
      <w:r>
        <w:t xml:space="preserve"> Ibid: Bayeux Museum, Unknown</w:t>
      </w:r>
      <w:r w:rsidR="00C324E7">
        <w:t>.</w:t>
      </w:r>
    </w:p>
  </w:footnote>
  <w:footnote w:id="12">
    <w:p w14:paraId="3267DBB5" w14:textId="32670B44" w:rsidR="00F07DDC" w:rsidRDefault="00F07DDC">
      <w:pPr>
        <w:pStyle w:val="FootnoteText"/>
      </w:pPr>
      <w:r>
        <w:rPr>
          <w:rStyle w:val="FootnoteReference"/>
        </w:rPr>
        <w:footnoteRef/>
      </w:r>
      <w:r>
        <w:t xml:space="preserve"> The Chronicle of Battle Abbey, ed. and trans. by Eleanor Searle,</w:t>
      </w:r>
      <w:r w:rsidR="00AF3844">
        <w:t xml:space="preserve"> (Oxford Medieval Texts, 1980),</w:t>
      </w:r>
      <w:r>
        <w:t xml:space="preserve"> pp. 66-67, (p. 66-67)</w:t>
      </w:r>
      <w:r w:rsidR="00C324E7">
        <w:t>.</w:t>
      </w:r>
    </w:p>
  </w:footnote>
  <w:footnote w:id="13">
    <w:p w14:paraId="008343D7" w14:textId="15BDEE2E" w:rsidR="00FA1FE5" w:rsidRDefault="00FA1FE5">
      <w:pPr>
        <w:pStyle w:val="FootnoteText"/>
      </w:pPr>
      <w:r>
        <w:rPr>
          <w:rStyle w:val="FootnoteReference"/>
        </w:rPr>
        <w:footnoteRef/>
      </w:r>
      <w:r>
        <w:t xml:space="preserve"> Ibid: The Chronicle of Battle Abbey, p. 66-67</w:t>
      </w:r>
      <w:r w:rsidR="00C324E7">
        <w:t>.</w:t>
      </w:r>
    </w:p>
  </w:footnote>
  <w:footnote w:id="14">
    <w:p w14:paraId="55185552" w14:textId="291495A7" w:rsidR="00FA1FE5" w:rsidRDefault="00FA1FE5">
      <w:pPr>
        <w:pStyle w:val="FootnoteText"/>
      </w:pPr>
      <w:r>
        <w:rPr>
          <w:rStyle w:val="FootnoteReference"/>
        </w:rPr>
        <w:footnoteRef/>
      </w:r>
      <w:r>
        <w:t xml:space="preserve"> Ibid: The Chronicle of Battle Abbey, p. 66-67</w:t>
      </w:r>
      <w:r w:rsidR="00C324E7">
        <w:t>.</w:t>
      </w:r>
    </w:p>
  </w:footnote>
  <w:footnote w:id="15">
    <w:p w14:paraId="70E01734" w14:textId="24F012F9" w:rsidR="00FA1FE5" w:rsidRDefault="00FA1FE5">
      <w:pPr>
        <w:pStyle w:val="FootnoteText"/>
      </w:pPr>
      <w:r>
        <w:rPr>
          <w:rStyle w:val="FootnoteReference"/>
        </w:rPr>
        <w:footnoteRef/>
      </w:r>
      <w:r>
        <w:t xml:space="preserve"> Ibid: The Chronicle of Battle Abbey, p. 66-67</w:t>
      </w:r>
      <w:r w:rsidR="00C324E7">
        <w:t>.</w:t>
      </w:r>
    </w:p>
  </w:footnote>
  <w:footnote w:id="16">
    <w:p w14:paraId="2AFF56D4" w14:textId="407D2D68" w:rsidR="00DE1D3D" w:rsidRDefault="00DE1D3D">
      <w:pPr>
        <w:pStyle w:val="FootnoteText"/>
      </w:pPr>
      <w:r>
        <w:rPr>
          <w:rStyle w:val="FootnoteReference"/>
        </w:rPr>
        <w:footnoteRef/>
      </w:r>
      <w:r>
        <w:t xml:space="preserve"> Ibid: Bayeux Museum, Unknown.</w:t>
      </w:r>
    </w:p>
  </w:footnote>
  <w:footnote w:id="17">
    <w:p w14:paraId="149CEA98" w14:textId="2683AF7D" w:rsidR="00FA1FE5" w:rsidRDefault="00FA1FE5">
      <w:pPr>
        <w:pStyle w:val="FootnoteText"/>
      </w:pPr>
      <w:r>
        <w:rPr>
          <w:rStyle w:val="FootnoteReference"/>
        </w:rPr>
        <w:footnoteRef/>
      </w:r>
      <w:r>
        <w:t xml:space="preserve"> Ibid: The Chronicle of Battle Abbey, p. 66-67</w:t>
      </w:r>
      <w:r w:rsidR="00C324E7">
        <w:t>.</w:t>
      </w:r>
    </w:p>
  </w:footnote>
  <w:footnote w:id="18">
    <w:p w14:paraId="690ACF91" w14:textId="7B3B2191" w:rsidR="003863B4" w:rsidRDefault="003863B4">
      <w:pPr>
        <w:pStyle w:val="FootnoteText"/>
      </w:pPr>
      <w:r>
        <w:rPr>
          <w:rStyle w:val="FootnoteReference"/>
        </w:rPr>
        <w:footnoteRef/>
      </w:r>
      <w:r>
        <w:t xml:space="preserve"> Ibid: Bayeux Museum, Unknown</w:t>
      </w:r>
      <w:r w:rsidR="00C324E7">
        <w:t>.</w:t>
      </w:r>
    </w:p>
  </w:footnote>
  <w:footnote w:id="19">
    <w:p w14:paraId="28424C96" w14:textId="4314422A" w:rsidR="00FA1FE5" w:rsidRDefault="00FA1FE5">
      <w:pPr>
        <w:pStyle w:val="FootnoteText"/>
      </w:pPr>
      <w:r>
        <w:rPr>
          <w:rStyle w:val="FootnoteReference"/>
        </w:rPr>
        <w:footnoteRef/>
      </w:r>
      <w:r>
        <w:t xml:space="preserve"> Ibid: The Chronicle of Battle Abbey, p. 66-67</w:t>
      </w:r>
      <w:r w:rsidR="00C324E7">
        <w:t>.</w:t>
      </w:r>
    </w:p>
  </w:footnote>
  <w:footnote w:id="20">
    <w:p w14:paraId="6E0DD5C9" w14:textId="4F5D22FE" w:rsidR="00587E63" w:rsidRDefault="00587E63">
      <w:pPr>
        <w:pStyle w:val="FootnoteText"/>
      </w:pPr>
      <w:r>
        <w:rPr>
          <w:rStyle w:val="FootnoteReference"/>
        </w:rPr>
        <w:footnoteRef/>
      </w:r>
      <w:r>
        <w:t xml:space="preserve"> </w:t>
      </w:r>
      <w:r>
        <w:t>Ibid: The Chronicle of Battle Abbey, p. 66-67</w:t>
      </w:r>
      <w:r w:rsidR="00C324E7">
        <w:t>.</w:t>
      </w:r>
    </w:p>
  </w:footnote>
  <w:footnote w:id="21">
    <w:p w14:paraId="1879D23F" w14:textId="36DCCACE" w:rsidR="00E61F71" w:rsidRDefault="00E61F71">
      <w:pPr>
        <w:pStyle w:val="FootnoteText"/>
      </w:pPr>
      <w:r>
        <w:rPr>
          <w:rStyle w:val="FootnoteReference"/>
        </w:rPr>
        <w:footnoteRef/>
      </w:r>
      <w:r>
        <w:t xml:space="preserve"> Ibid: The Chronicle of Battle Abbey, p. 66-67</w:t>
      </w:r>
      <w:r w:rsidR="00C324E7">
        <w:t>.</w:t>
      </w:r>
    </w:p>
  </w:footnote>
  <w:footnote w:id="22">
    <w:p w14:paraId="0CA6DC8E" w14:textId="3728E4C2" w:rsidR="005C2DA5" w:rsidRPr="005C2DA5" w:rsidRDefault="005C2DA5">
      <w:pPr>
        <w:pStyle w:val="FootnoteText"/>
      </w:pPr>
      <w:r>
        <w:rPr>
          <w:rStyle w:val="FootnoteReference"/>
        </w:rPr>
        <w:footnoteRef/>
      </w:r>
      <w:r>
        <w:t xml:space="preserve"> William of Poitiers, </w:t>
      </w:r>
      <w:r>
        <w:rPr>
          <w:i/>
          <w:iCs/>
        </w:rPr>
        <w:t>The Gesta Guillelmi</w:t>
      </w:r>
      <w:r>
        <w:t>, ed. by R.H.C. Davis and Marjorie Chibnall (Oxford, 1998), pp. 4-15, (p. 4)</w:t>
      </w:r>
      <w:r w:rsidR="00C324E7">
        <w:t>.</w:t>
      </w:r>
    </w:p>
  </w:footnote>
  <w:footnote w:id="23">
    <w:p w14:paraId="75CA4BB6" w14:textId="766FB969" w:rsidR="00781DCE" w:rsidRDefault="00781DCE">
      <w:pPr>
        <w:pStyle w:val="FootnoteText"/>
      </w:pPr>
      <w:r>
        <w:rPr>
          <w:rStyle w:val="FootnoteReference"/>
        </w:rPr>
        <w:footnoteRef/>
      </w:r>
      <w:r>
        <w:t xml:space="preserve"> Ibid: Bayeux Museum, Unknown</w:t>
      </w:r>
      <w:r w:rsidR="00C324E7">
        <w:t>.</w:t>
      </w:r>
    </w:p>
  </w:footnote>
  <w:footnote w:id="24">
    <w:p w14:paraId="59AC2F62" w14:textId="5F2A579B" w:rsidR="00033451" w:rsidRPr="00033451" w:rsidRDefault="00033451">
      <w:pPr>
        <w:pStyle w:val="FootnoteText"/>
      </w:pPr>
      <w:r>
        <w:rPr>
          <w:rStyle w:val="FootnoteReference"/>
        </w:rPr>
        <w:footnoteRef/>
      </w:r>
      <w:r>
        <w:t xml:space="preserve"> Ibid: William of Poitiers, </w:t>
      </w:r>
      <w:r>
        <w:rPr>
          <w:i/>
          <w:iCs/>
        </w:rPr>
        <w:t>The Gesta Guillelmi</w:t>
      </w:r>
      <w:r>
        <w:t>, p.6</w:t>
      </w:r>
      <w:r w:rsidR="00C324E7">
        <w:t>.</w:t>
      </w:r>
    </w:p>
  </w:footnote>
  <w:footnote w:id="25">
    <w:p w14:paraId="70959DBE" w14:textId="055D163A" w:rsidR="00033451" w:rsidRDefault="00033451">
      <w:pPr>
        <w:pStyle w:val="FootnoteText"/>
      </w:pPr>
      <w:r>
        <w:rPr>
          <w:rStyle w:val="FootnoteReference"/>
        </w:rPr>
        <w:footnoteRef/>
      </w:r>
      <w:r>
        <w:t xml:space="preserve"> Ibid: Bayeux Museum, Unknown</w:t>
      </w:r>
      <w:r w:rsidR="00C324E7">
        <w:t>.</w:t>
      </w:r>
    </w:p>
  </w:footnote>
  <w:footnote w:id="26">
    <w:p w14:paraId="08E219B6" w14:textId="45FC9140" w:rsidR="00033451" w:rsidRDefault="00033451">
      <w:pPr>
        <w:pStyle w:val="FootnoteText"/>
      </w:pPr>
      <w:r>
        <w:rPr>
          <w:rStyle w:val="FootnoteReference"/>
        </w:rPr>
        <w:footnoteRef/>
      </w:r>
      <w:r>
        <w:t xml:space="preserve"> Ibid: Bayeux Museum, Unknown</w:t>
      </w:r>
      <w:r w:rsidR="00C324E7">
        <w:t>.</w:t>
      </w:r>
    </w:p>
  </w:footnote>
  <w:footnote w:id="27">
    <w:p w14:paraId="33B03CF3" w14:textId="53B0F039" w:rsidR="00033451" w:rsidRDefault="00033451">
      <w:pPr>
        <w:pStyle w:val="FootnoteText"/>
      </w:pPr>
      <w:r>
        <w:rPr>
          <w:rStyle w:val="FootnoteReference"/>
        </w:rPr>
        <w:footnoteRef/>
      </w:r>
      <w:r>
        <w:t xml:space="preserve"> Ibid: Bayeux Museum, Unknown</w:t>
      </w:r>
      <w:r w:rsidR="00C324E7">
        <w:t>.</w:t>
      </w:r>
    </w:p>
  </w:footnote>
  <w:footnote w:id="28">
    <w:p w14:paraId="05FB9DE1" w14:textId="75D05099" w:rsidR="00033451" w:rsidRDefault="00033451">
      <w:pPr>
        <w:pStyle w:val="FootnoteText"/>
      </w:pPr>
      <w:r>
        <w:rPr>
          <w:rStyle w:val="FootnoteReference"/>
        </w:rPr>
        <w:footnoteRef/>
      </w:r>
      <w:r>
        <w:t xml:space="preserve"> Ibid: William of Poitiers, </w:t>
      </w:r>
      <w:r>
        <w:rPr>
          <w:i/>
          <w:iCs/>
        </w:rPr>
        <w:t>The Gesta Guillelmi</w:t>
      </w:r>
      <w:r>
        <w:t>, p. 7</w:t>
      </w:r>
      <w:r w:rsidR="00C324E7">
        <w:t>.</w:t>
      </w:r>
    </w:p>
  </w:footnote>
  <w:footnote w:id="29">
    <w:p w14:paraId="4578C553" w14:textId="512E3C68" w:rsidR="00033451" w:rsidRDefault="00033451">
      <w:pPr>
        <w:pStyle w:val="FootnoteText"/>
      </w:pPr>
      <w:r>
        <w:rPr>
          <w:rStyle w:val="FootnoteReference"/>
        </w:rPr>
        <w:footnoteRef/>
      </w:r>
      <w:r>
        <w:t xml:space="preserve"> Ibid: William of Poitiers, </w:t>
      </w:r>
      <w:r>
        <w:rPr>
          <w:i/>
          <w:iCs/>
        </w:rPr>
        <w:t>The Gesta Guillelmi</w:t>
      </w:r>
      <w:r>
        <w:t>, p. 4</w:t>
      </w:r>
      <w:r w:rsidR="00C324E7">
        <w:t>.</w:t>
      </w:r>
    </w:p>
  </w:footnote>
  <w:footnote w:id="30">
    <w:p w14:paraId="6337F7E2" w14:textId="6CE2BB09" w:rsidR="00033451" w:rsidRDefault="00033451">
      <w:pPr>
        <w:pStyle w:val="FootnoteText"/>
      </w:pPr>
      <w:r>
        <w:rPr>
          <w:rStyle w:val="FootnoteReference"/>
        </w:rPr>
        <w:footnoteRef/>
      </w:r>
      <w:r>
        <w:t xml:space="preserve"> Ibid: William of Poitiers, </w:t>
      </w:r>
      <w:r>
        <w:rPr>
          <w:i/>
          <w:iCs/>
        </w:rPr>
        <w:t>The Gesta Guillelmi</w:t>
      </w:r>
      <w:r>
        <w:t>, p. 8</w:t>
      </w:r>
      <w:r w:rsidR="00C324E7">
        <w:t>.</w:t>
      </w:r>
    </w:p>
  </w:footnote>
  <w:footnote w:id="31">
    <w:p w14:paraId="0E49BCC4" w14:textId="47679C44" w:rsidR="00033451" w:rsidRDefault="00033451">
      <w:pPr>
        <w:pStyle w:val="FootnoteText"/>
      </w:pPr>
      <w:r>
        <w:rPr>
          <w:rStyle w:val="FootnoteReference"/>
        </w:rPr>
        <w:footnoteRef/>
      </w:r>
      <w:r>
        <w:t xml:space="preserve"> Ibid: William of Poitiers, </w:t>
      </w:r>
      <w:r>
        <w:rPr>
          <w:i/>
          <w:iCs/>
        </w:rPr>
        <w:t>The Gesta Guillelmi</w:t>
      </w:r>
      <w:r>
        <w:t>, p. 8</w:t>
      </w:r>
      <w:r w:rsidR="00C324E7">
        <w:t>.</w:t>
      </w:r>
    </w:p>
  </w:footnote>
  <w:footnote w:id="32">
    <w:p w14:paraId="4303D041" w14:textId="75DD5736" w:rsidR="00A61687" w:rsidRPr="00A61687" w:rsidRDefault="00A61687">
      <w:pPr>
        <w:pStyle w:val="FootnoteText"/>
      </w:pPr>
      <w:r>
        <w:rPr>
          <w:rStyle w:val="FootnoteReference"/>
        </w:rPr>
        <w:footnoteRef/>
      </w:r>
      <w:r>
        <w:t xml:space="preserve"> Megan Rice, </w:t>
      </w:r>
      <w:r>
        <w:rPr>
          <w:i/>
          <w:iCs/>
        </w:rPr>
        <w:t>Conquest on Display: The Original Installation of the Bayeux Tapestry</w:t>
      </w:r>
      <w:r>
        <w:t>, (Unpublished M.A Thesis, University of Louisville, 2010),</w:t>
      </w:r>
      <w:r w:rsidR="00FC21D7">
        <w:t xml:space="preserve"> p. 44,</w:t>
      </w:r>
      <w:r>
        <w:t xml:space="preserve"> &lt;</w:t>
      </w:r>
      <w:hyperlink r:id="rId4" w:history="1">
        <w:r w:rsidR="00215BBB" w:rsidRPr="00E22EC7">
          <w:rPr>
            <w:rStyle w:val="Hyperlink"/>
          </w:rPr>
          <w:t>https://www.proquest.com/docview/613865994?%20Theses&amp;fromopenview=true&amp;pq-origsite=gscholar&amp;sourcetype=Dissertations%20</w:t>
        </w:r>
      </w:hyperlink>
      <w:r>
        <w:t>&gt;, [Accessed: 23</w:t>
      </w:r>
      <w:r w:rsidRPr="00A61687">
        <w:rPr>
          <w:vertAlign w:val="superscript"/>
        </w:rPr>
        <w:t>rd</w:t>
      </w:r>
      <w:r>
        <w:t xml:space="preserve"> October 2026]</w:t>
      </w:r>
      <w:r w:rsidR="00C324E7">
        <w:t>.</w:t>
      </w:r>
    </w:p>
  </w:footnote>
  <w:footnote w:id="33">
    <w:p w14:paraId="09AF2D32" w14:textId="57AF29A4" w:rsidR="00FC21D7" w:rsidRPr="00FC21D7" w:rsidRDefault="00FC21D7">
      <w:pPr>
        <w:pStyle w:val="FootnoteText"/>
      </w:pPr>
      <w:r>
        <w:rPr>
          <w:rStyle w:val="FootnoteReference"/>
        </w:rPr>
        <w:footnoteRef/>
      </w:r>
      <w:r>
        <w:t xml:space="preserve"> Ibid: Rice, </w:t>
      </w:r>
      <w:r>
        <w:rPr>
          <w:i/>
          <w:iCs/>
        </w:rPr>
        <w:t>Conquest on Display: The Original Installation of the Bayeux Tapestry</w:t>
      </w:r>
      <w:r>
        <w:t>, p. 44</w:t>
      </w:r>
      <w:r w:rsidR="00E04ED9">
        <w:t>. Ibid: Bayeux Museum, Unknown.</w:t>
      </w:r>
      <w:r w:rsidR="00FC1946">
        <w:t xml:space="preserve"> Ibid: William of Poitiers, </w:t>
      </w:r>
      <w:r w:rsidR="00FC1946">
        <w:rPr>
          <w:i/>
          <w:iCs/>
        </w:rPr>
        <w:t>The Gesta Guillelmi</w:t>
      </w:r>
      <w:r w:rsidR="00FC1946">
        <w:t>, p. 4</w:t>
      </w:r>
      <w:r w:rsidR="00C324E7">
        <w:t>.</w:t>
      </w:r>
    </w:p>
  </w:footnote>
  <w:footnote w:id="34">
    <w:p w14:paraId="3F8DE2AC" w14:textId="03BF29B1" w:rsidR="00FC21D7" w:rsidRDefault="00FC21D7">
      <w:pPr>
        <w:pStyle w:val="FootnoteText"/>
      </w:pPr>
      <w:r>
        <w:rPr>
          <w:rStyle w:val="FootnoteReference"/>
        </w:rPr>
        <w:footnoteRef/>
      </w:r>
      <w:r>
        <w:t xml:space="preserve"> Ibid: Rice, </w:t>
      </w:r>
      <w:r>
        <w:rPr>
          <w:i/>
          <w:iCs/>
        </w:rPr>
        <w:t>Conquest on Display: The Original Installation of the Bayeux Tapestry</w:t>
      </w:r>
      <w:r>
        <w:t>, p. 44</w:t>
      </w:r>
      <w:r w:rsidR="00C324E7">
        <w:t>.</w:t>
      </w:r>
    </w:p>
  </w:footnote>
  <w:footnote w:id="35">
    <w:p w14:paraId="7403277D" w14:textId="0DEACCCA" w:rsidR="00FC21D7" w:rsidRDefault="00FC21D7">
      <w:pPr>
        <w:pStyle w:val="FootnoteText"/>
      </w:pPr>
      <w:r>
        <w:rPr>
          <w:rStyle w:val="FootnoteReference"/>
        </w:rPr>
        <w:footnoteRef/>
      </w:r>
      <w:r>
        <w:t xml:space="preserve"> Ibid: Rice, </w:t>
      </w:r>
      <w:r>
        <w:rPr>
          <w:i/>
          <w:iCs/>
        </w:rPr>
        <w:t>Conquest on Display: The Original Installation of the Bayeux Tapestry</w:t>
      </w:r>
      <w:r>
        <w:t>, p. 44</w:t>
      </w:r>
      <w:r w:rsidR="00C324E7">
        <w:t>.</w:t>
      </w:r>
    </w:p>
  </w:footnote>
  <w:footnote w:id="36">
    <w:p w14:paraId="6868B3F6" w14:textId="2E3DA4DF" w:rsidR="00FC21D7" w:rsidRDefault="00FC21D7">
      <w:pPr>
        <w:pStyle w:val="FootnoteText"/>
      </w:pPr>
      <w:r>
        <w:rPr>
          <w:rStyle w:val="FootnoteReference"/>
        </w:rPr>
        <w:footnoteRef/>
      </w:r>
      <w:r>
        <w:t xml:space="preserve"> Ibid: Rice, </w:t>
      </w:r>
      <w:r>
        <w:rPr>
          <w:i/>
          <w:iCs/>
        </w:rPr>
        <w:t>Conquest on Display: The Original Installation of the Bayeux Tapestry</w:t>
      </w:r>
      <w:r>
        <w:t>, p. 44</w:t>
      </w:r>
      <w:r w:rsidR="00C324E7">
        <w:t>.</w:t>
      </w:r>
    </w:p>
  </w:footnote>
  <w:footnote w:id="37">
    <w:p w14:paraId="593E4F83" w14:textId="627B461D" w:rsidR="004E2EDC" w:rsidRDefault="004E2EDC">
      <w:pPr>
        <w:pStyle w:val="FootnoteText"/>
      </w:pPr>
      <w:r>
        <w:rPr>
          <w:rStyle w:val="FootnoteReference"/>
        </w:rPr>
        <w:footnoteRef/>
      </w:r>
      <w:r>
        <w:t xml:space="preserve"> Ibid: Bayeux Museum, Unknown</w:t>
      </w:r>
      <w:r w:rsidR="00C324E7">
        <w:t>.</w:t>
      </w:r>
    </w:p>
  </w:footnote>
  <w:footnote w:id="38">
    <w:p w14:paraId="33E470EB" w14:textId="5A7B5BDE" w:rsidR="00FC21D7" w:rsidRDefault="00FC21D7">
      <w:pPr>
        <w:pStyle w:val="FootnoteText"/>
      </w:pPr>
      <w:r>
        <w:rPr>
          <w:rStyle w:val="FootnoteReference"/>
        </w:rPr>
        <w:footnoteRef/>
      </w:r>
      <w:r>
        <w:t xml:space="preserve"> Ibid: Rice, </w:t>
      </w:r>
      <w:r>
        <w:rPr>
          <w:i/>
          <w:iCs/>
        </w:rPr>
        <w:t>Conquest on Display: The Original Installation of the Bayeux Tapestry</w:t>
      </w:r>
      <w:r>
        <w:t>, p. 45</w:t>
      </w:r>
      <w:r w:rsidR="00FC1946">
        <w:t xml:space="preserve">. Ibid: William of Poitiers, </w:t>
      </w:r>
      <w:r w:rsidR="00FC1946">
        <w:rPr>
          <w:i/>
          <w:iCs/>
        </w:rPr>
        <w:t>The Gesta Guillelmi</w:t>
      </w:r>
      <w:r w:rsidR="00FC1946">
        <w:t>, p.6.</w:t>
      </w:r>
    </w:p>
  </w:footnote>
  <w:footnote w:id="39">
    <w:p w14:paraId="2CAB900B" w14:textId="425C1AC1" w:rsidR="00215BBB" w:rsidRDefault="00215BBB">
      <w:pPr>
        <w:pStyle w:val="FootnoteText"/>
      </w:pPr>
      <w:r>
        <w:rPr>
          <w:rStyle w:val="FootnoteReference"/>
        </w:rPr>
        <w:footnoteRef/>
      </w:r>
      <w:r>
        <w:t xml:space="preserve"> Ibid: Rice, </w:t>
      </w:r>
      <w:r>
        <w:rPr>
          <w:i/>
          <w:iCs/>
        </w:rPr>
        <w:t>Conquest on Display: The Original Installation of the Bayeux Tapestry</w:t>
      </w:r>
      <w:r>
        <w:t>, p. 45</w:t>
      </w:r>
      <w:r w:rsidR="00C324E7">
        <w:t>.</w:t>
      </w:r>
    </w:p>
  </w:footnote>
  <w:footnote w:id="40">
    <w:p w14:paraId="0DC1BD25" w14:textId="645F9821" w:rsidR="004060E5" w:rsidRDefault="004060E5">
      <w:pPr>
        <w:pStyle w:val="FootnoteText"/>
      </w:pPr>
      <w:r>
        <w:rPr>
          <w:rStyle w:val="FootnoteReference"/>
        </w:rPr>
        <w:footnoteRef/>
      </w:r>
      <w:r>
        <w:t xml:space="preserve"> Ibid: Rice, </w:t>
      </w:r>
      <w:r>
        <w:rPr>
          <w:i/>
          <w:iCs/>
        </w:rPr>
        <w:t>Conquest on Display: The Original Installation of the Bayeux Tapestry</w:t>
      </w:r>
      <w:r>
        <w:t>, p. 45</w:t>
      </w:r>
      <w:r w:rsidR="00C324E7">
        <w:t>.</w:t>
      </w:r>
    </w:p>
  </w:footnote>
  <w:footnote w:id="41">
    <w:p w14:paraId="548C5BB1" w14:textId="2746DF1B" w:rsidR="00C53238" w:rsidRDefault="00C53238">
      <w:pPr>
        <w:pStyle w:val="FootnoteText"/>
      </w:pPr>
      <w:r>
        <w:rPr>
          <w:rStyle w:val="FootnoteReference"/>
        </w:rPr>
        <w:footnoteRef/>
      </w:r>
      <w:r>
        <w:t xml:space="preserve"> </w:t>
      </w:r>
      <w:r>
        <w:t>Ibid: Bayeux Museum, Unknown</w:t>
      </w:r>
      <w:r>
        <w:t xml:space="preserve">. </w:t>
      </w:r>
      <w:r>
        <w:t xml:space="preserve">Ibid: William of Poitiers, </w:t>
      </w:r>
      <w:r>
        <w:rPr>
          <w:i/>
          <w:iCs/>
        </w:rPr>
        <w:t>The Gesta Guillelmi</w:t>
      </w:r>
      <w:r>
        <w:t>, p.</w:t>
      </w:r>
      <w:r>
        <w:t>4</w:t>
      </w:r>
      <w:r>
        <w:t>.</w:t>
      </w:r>
    </w:p>
  </w:footnote>
  <w:footnote w:id="42">
    <w:p w14:paraId="42FE3DC6" w14:textId="7921BB82" w:rsidR="00B50079" w:rsidRPr="00B50079" w:rsidRDefault="00B50079">
      <w:pPr>
        <w:pStyle w:val="FootnoteText"/>
      </w:pPr>
      <w:r>
        <w:rPr>
          <w:rStyle w:val="FootnoteReference"/>
        </w:rPr>
        <w:footnoteRef/>
      </w:r>
      <w:r>
        <w:t xml:space="preserve"> Richard Glover, ‘English Warfare in 1066’, </w:t>
      </w:r>
      <w:r>
        <w:rPr>
          <w:i/>
          <w:iCs/>
        </w:rPr>
        <w:t>The English Historical Review</w:t>
      </w:r>
      <w:r>
        <w:t>, Vol. 67, No. 262, (1952), pp. 1-18,</w:t>
      </w:r>
      <w:r w:rsidR="00047AAB">
        <w:t xml:space="preserve"> (p. 4),</w:t>
      </w:r>
      <w:r>
        <w:t xml:space="preserve"> </w:t>
      </w:r>
      <w:r w:rsidR="001709DC">
        <w:t xml:space="preserve">&lt; </w:t>
      </w:r>
      <w:hyperlink r:id="rId5" w:history="1">
        <w:r w:rsidR="001709DC" w:rsidRPr="001709DC">
          <w:rPr>
            <w:rStyle w:val="Hyperlink"/>
          </w:rPr>
          <w:t>https://www.jstor.org/stable/555694</w:t>
        </w:r>
      </w:hyperlink>
      <w:r w:rsidR="001709DC" w:rsidRPr="001709DC">
        <w:t>&gt;,</w:t>
      </w:r>
      <w:r w:rsidR="001709DC">
        <w:t xml:space="preserve"> [Accessed: 23</w:t>
      </w:r>
      <w:r w:rsidR="001709DC" w:rsidRPr="001709DC">
        <w:rPr>
          <w:vertAlign w:val="superscript"/>
        </w:rPr>
        <w:t>rd</w:t>
      </w:r>
      <w:r w:rsidR="001709DC">
        <w:t xml:space="preserve"> October 2026]</w:t>
      </w:r>
      <w:r w:rsidR="00C324E7">
        <w:t>.</w:t>
      </w:r>
    </w:p>
  </w:footnote>
  <w:footnote w:id="43">
    <w:p w14:paraId="6773A3CB" w14:textId="24F7FBA4" w:rsidR="00F768CA" w:rsidRDefault="00F768CA">
      <w:pPr>
        <w:pStyle w:val="FootnoteText"/>
      </w:pPr>
      <w:r>
        <w:rPr>
          <w:rStyle w:val="FootnoteReference"/>
        </w:rPr>
        <w:footnoteRef/>
      </w:r>
      <w:r>
        <w:t xml:space="preserve"> Ibid: Glover, ‘English Warfare in 1066’, p. 4</w:t>
      </w:r>
      <w:r w:rsidR="00C324E7">
        <w:t>.</w:t>
      </w:r>
    </w:p>
  </w:footnote>
  <w:footnote w:id="44">
    <w:p w14:paraId="03C8E9EE" w14:textId="70F5E8FC" w:rsidR="004E2EDC" w:rsidRDefault="004E2EDC">
      <w:pPr>
        <w:pStyle w:val="FootnoteText"/>
      </w:pPr>
      <w:r>
        <w:rPr>
          <w:rStyle w:val="FootnoteReference"/>
        </w:rPr>
        <w:footnoteRef/>
      </w:r>
      <w:r>
        <w:t xml:space="preserve"> Ibid: Bayeux Museum, Unknown</w:t>
      </w:r>
      <w:r w:rsidR="00C324E7">
        <w:t>.</w:t>
      </w:r>
    </w:p>
  </w:footnote>
  <w:footnote w:id="45">
    <w:p w14:paraId="7CE7A11F" w14:textId="51DB9BD4" w:rsidR="004E2EDC" w:rsidRDefault="004E2EDC">
      <w:pPr>
        <w:pStyle w:val="FootnoteText"/>
      </w:pPr>
      <w:r>
        <w:rPr>
          <w:rStyle w:val="FootnoteReference"/>
        </w:rPr>
        <w:footnoteRef/>
      </w:r>
      <w:r>
        <w:t xml:space="preserve"> Ibid: Bayeux Museum, Unknown</w:t>
      </w:r>
      <w:r w:rsidR="00C324E7">
        <w:t>.</w:t>
      </w:r>
    </w:p>
  </w:footnote>
  <w:footnote w:id="46">
    <w:p w14:paraId="3A6E9EEA" w14:textId="02E97935" w:rsidR="001E5C2F" w:rsidRDefault="001E5C2F">
      <w:pPr>
        <w:pStyle w:val="FootnoteText"/>
      </w:pPr>
      <w:r>
        <w:rPr>
          <w:rStyle w:val="FootnoteReference"/>
        </w:rPr>
        <w:footnoteRef/>
      </w:r>
      <w:r>
        <w:t xml:space="preserve"> Ibid: Bayeux Museum, Unknown</w:t>
      </w:r>
      <w:r w:rsidR="00C324E7">
        <w:t>.</w:t>
      </w:r>
    </w:p>
  </w:footnote>
  <w:footnote w:id="47">
    <w:p w14:paraId="446B3D79" w14:textId="1E014C98" w:rsidR="0030092C" w:rsidRDefault="0030092C">
      <w:pPr>
        <w:pStyle w:val="FootnoteText"/>
      </w:pPr>
      <w:r>
        <w:rPr>
          <w:rStyle w:val="FootnoteReference"/>
        </w:rPr>
        <w:footnoteRef/>
      </w:r>
      <w:r>
        <w:t xml:space="preserve"> Michael John Lewis, </w:t>
      </w:r>
      <w:r w:rsidRPr="0030092C">
        <w:t>‘Identity and Status in the Bayeux Tapestry: The Iconographic and Artefactual Evidence’</w:t>
      </w:r>
      <w:r>
        <w:t xml:space="preserve">, (Unknown), pp. 100-120, </w:t>
      </w:r>
      <w:r w:rsidR="00865A20">
        <w:t xml:space="preserve">(p. 102), </w:t>
      </w:r>
      <w:r>
        <w:t>&lt;</w:t>
      </w:r>
      <w:hyperlink r:id="rId6" w:history="1">
        <w:r w:rsidRPr="0030092C">
          <w:rPr>
            <w:rStyle w:val="Hyperlink"/>
          </w:rPr>
          <w:t>https://www.academia.edu/10053576/Identity_and_Status_in_the_Bayeux_Tapestry_Anglo_Norman_Studies_29</w:t>
        </w:r>
      </w:hyperlink>
      <w:r>
        <w:t>&gt;, [Accessed: 23</w:t>
      </w:r>
      <w:r w:rsidRPr="0030092C">
        <w:rPr>
          <w:vertAlign w:val="superscript"/>
        </w:rPr>
        <w:t>rd</w:t>
      </w:r>
      <w:r>
        <w:t xml:space="preserve"> October 2026]</w:t>
      </w:r>
      <w:r w:rsidR="00C324E7">
        <w:t>.</w:t>
      </w:r>
    </w:p>
  </w:footnote>
  <w:footnote w:id="48">
    <w:p w14:paraId="51232520" w14:textId="54734339" w:rsidR="0030092C" w:rsidRDefault="0030092C">
      <w:pPr>
        <w:pStyle w:val="FootnoteText"/>
      </w:pPr>
      <w:r>
        <w:rPr>
          <w:rStyle w:val="FootnoteReference"/>
        </w:rPr>
        <w:footnoteRef/>
      </w:r>
      <w:r>
        <w:t xml:space="preserve"> Ibid: Lewis, ‘</w:t>
      </w:r>
      <w:r w:rsidR="001D2B4C">
        <w:t>Identity and Status in the Bayeux Tapestry: The Iconographic and Artefactual Evidence’, p. 102</w:t>
      </w:r>
      <w:r w:rsidR="00C324E7">
        <w:t>.</w:t>
      </w:r>
    </w:p>
  </w:footnote>
  <w:footnote w:id="49">
    <w:p w14:paraId="2BFFDBBB" w14:textId="2EECFB59" w:rsidR="00BF2C15" w:rsidRDefault="00BF2C15">
      <w:pPr>
        <w:pStyle w:val="FootnoteText"/>
      </w:pPr>
      <w:r>
        <w:rPr>
          <w:rStyle w:val="FootnoteReference"/>
        </w:rPr>
        <w:footnoteRef/>
      </w:r>
      <w:r>
        <w:t xml:space="preserve"> Ibid: Lewis, ‘Identity and Status in the Bayeux Tapestry: The Iconographic and Artefactual Evidence’, p. 102</w:t>
      </w:r>
      <w:r w:rsidR="00C324E7">
        <w:t>.</w:t>
      </w:r>
    </w:p>
  </w:footnote>
  <w:footnote w:id="50">
    <w:p w14:paraId="1E822EEA" w14:textId="0F16A3C4" w:rsidR="00E36F05" w:rsidRDefault="00E36F05">
      <w:pPr>
        <w:pStyle w:val="FootnoteText"/>
      </w:pPr>
      <w:r>
        <w:rPr>
          <w:rStyle w:val="FootnoteReference"/>
        </w:rPr>
        <w:footnoteRef/>
      </w:r>
      <w:r>
        <w:t xml:space="preserve"> </w:t>
      </w:r>
      <w:r>
        <w:t>Ibid: Bayeux Museum, Unknown.</w:t>
      </w:r>
    </w:p>
  </w:footnote>
  <w:footnote w:id="51">
    <w:p w14:paraId="78B393BB" w14:textId="586ED4F7" w:rsidR="00BF2C15" w:rsidRDefault="00BF2C15">
      <w:pPr>
        <w:pStyle w:val="FootnoteText"/>
      </w:pPr>
      <w:r>
        <w:rPr>
          <w:rStyle w:val="FootnoteReference"/>
        </w:rPr>
        <w:footnoteRef/>
      </w:r>
      <w:r>
        <w:t xml:space="preserve"> Ibid: Lewis, ‘Identity and Status in the Bayeux Tapestry: The Iconographic and Artefactual Evidence’, p. 102</w:t>
      </w:r>
      <w:r w:rsidR="00C324E7">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D1D9E"/>
    <w:multiLevelType w:val="hybridMultilevel"/>
    <w:tmpl w:val="9020A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2168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EC0"/>
    <w:rsid w:val="00020E9E"/>
    <w:rsid w:val="00026865"/>
    <w:rsid w:val="00033451"/>
    <w:rsid w:val="000466FD"/>
    <w:rsid w:val="00047AAB"/>
    <w:rsid w:val="00057C8B"/>
    <w:rsid w:val="000802B4"/>
    <w:rsid w:val="00093258"/>
    <w:rsid w:val="000B134F"/>
    <w:rsid w:val="00117EC4"/>
    <w:rsid w:val="00122703"/>
    <w:rsid w:val="001362BF"/>
    <w:rsid w:val="001709DC"/>
    <w:rsid w:val="00176B83"/>
    <w:rsid w:val="001C43DE"/>
    <w:rsid w:val="001D2B4C"/>
    <w:rsid w:val="001D6EC0"/>
    <w:rsid w:val="001D7B14"/>
    <w:rsid w:val="001E25AE"/>
    <w:rsid w:val="001E5C2F"/>
    <w:rsid w:val="001F277A"/>
    <w:rsid w:val="00206E53"/>
    <w:rsid w:val="00215BBB"/>
    <w:rsid w:val="0025163A"/>
    <w:rsid w:val="00270576"/>
    <w:rsid w:val="0027651C"/>
    <w:rsid w:val="0030092C"/>
    <w:rsid w:val="00332A84"/>
    <w:rsid w:val="003863B4"/>
    <w:rsid w:val="003A63DF"/>
    <w:rsid w:val="003B29DA"/>
    <w:rsid w:val="003B7BA0"/>
    <w:rsid w:val="003C3A8A"/>
    <w:rsid w:val="003D27A9"/>
    <w:rsid w:val="003D396E"/>
    <w:rsid w:val="00402A08"/>
    <w:rsid w:val="004060E5"/>
    <w:rsid w:val="00407424"/>
    <w:rsid w:val="00413E52"/>
    <w:rsid w:val="00446455"/>
    <w:rsid w:val="00474383"/>
    <w:rsid w:val="004761E0"/>
    <w:rsid w:val="004769C8"/>
    <w:rsid w:val="00497E6B"/>
    <w:rsid w:val="004B21CB"/>
    <w:rsid w:val="004D4448"/>
    <w:rsid w:val="004E2EDC"/>
    <w:rsid w:val="00510BC5"/>
    <w:rsid w:val="0058607E"/>
    <w:rsid w:val="00587E63"/>
    <w:rsid w:val="005C0BFB"/>
    <w:rsid w:val="005C2DA5"/>
    <w:rsid w:val="005C414A"/>
    <w:rsid w:val="005C5926"/>
    <w:rsid w:val="005D50EB"/>
    <w:rsid w:val="005F4990"/>
    <w:rsid w:val="00663278"/>
    <w:rsid w:val="006961DD"/>
    <w:rsid w:val="006B4070"/>
    <w:rsid w:val="007011D8"/>
    <w:rsid w:val="00743B6C"/>
    <w:rsid w:val="00781DCE"/>
    <w:rsid w:val="007E459B"/>
    <w:rsid w:val="007F3A93"/>
    <w:rsid w:val="00834D73"/>
    <w:rsid w:val="00865A20"/>
    <w:rsid w:val="00887A23"/>
    <w:rsid w:val="008A02EB"/>
    <w:rsid w:val="008A3277"/>
    <w:rsid w:val="008A4847"/>
    <w:rsid w:val="008B3AF5"/>
    <w:rsid w:val="008C149F"/>
    <w:rsid w:val="008D3EF4"/>
    <w:rsid w:val="0092030D"/>
    <w:rsid w:val="00935971"/>
    <w:rsid w:val="00951FB8"/>
    <w:rsid w:val="00992E7B"/>
    <w:rsid w:val="009A17B4"/>
    <w:rsid w:val="009B21D7"/>
    <w:rsid w:val="009C242E"/>
    <w:rsid w:val="009C70C1"/>
    <w:rsid w:val="009C7BC1"/>
    <w:rsid w:val="009D75CB"/>
    <w:rsid w:val="009E4784"/>
    <w:rsid w:val="009F1776"/>
    <w:rsid w:val="00A06744"/>
    <w:rsid w:val="00A34F18"/>
    <w:rsid w:val="00A35E4E"/>
    <w:rsid w:val="00A43A65"/>
    <w:rsid w:val="00A478C0"/>
    <w:rsid w:val="00A558FC"/>
    <w:rsid w:val="00A61687"/>
    <w:rsid w:val="00A76238"/>
    <w:rsid w:val="00A87CC6"/>
    <w:rsid w:val="00A94F79"/>
    <w:rsid w:val="00AC49FE"/>
    <w:rsid w:val="00AD438F"/>
    <w:rsid w:val="00AD6750"/>
    <w:rsid w:val="00AE555C"/>
    <w:rsid w:val="00AE5E20"/>
    <w:rsid w:val="00AF3844"/>
    <w:rsid w:val="00B03A15"/>
    <w:rsid w:val="00B50079"/>
    <w:rsid w:val="00B83EBF"/>
    <w:rsid w:val="00B94160"/>
    <w:rsid w:val="00BA1B07"/>
    <w:rsid w:val="00BA24A6"/>
    <w:rsid w:val="00BA5D4F"/>
    <w:rsid w:val="00BB1840"/>
    <w:rsid w:val="00BE4D39"/>
    <w:rsid w:val="00BF2C15"/>
    <w:rsid w:val="00C17835"/>
    <w:rsid w:val="00C324E7"/>
    <w:rsid w:val="00C43FDC"/>
    <w:rsid w:val="00C52242"/>
    <w:rsid w:val="00C53238"/>
    <w:rsid w:val="00C65B39"/>
    <w:rsid w:val="00CA57CA"/>
    <w:rsid w:val="00CB0AFF"/>
    <w:rsid w:val="00CD389E"/>
    <w:rsid w:val="00CE2D6A"/>
    <w:rsid w:val="00CE3F3C"/>
    <w:rsid w:val="00CF1A3F"/>
    <w:rsid w:val="00CF258F"/>
    <w:rsid w:val="00D1749B"/>
    <w:rsid w:val="00D30C5E"/>
    <w:rsid w:val="00D61602"/>
    <w:rsid w:val="00D74565"/>
    <w:rsid w:val="00DC7B2E"/>
    <w:rsid w:val="00DD06F1"/>
    <w:rsid w:val="00DD431F"/>
    <w:rsid w:val="00DE1D3D"/>
    <w:rsid w:val="00E04ED9"/>
    <w:rsid w:val="00E27409"/>
    <w:rsid w:val="00E34E53"/>
    <w:rsid w:val="00E36F05"/>
    <w:rsid w:val="00E40F12"/>
    <w:rsid w:val="00E41FDC"/>
    <w:rsid w:val="00E55329"/>
    <w:rsid w:val="00E61F71"/>
    <w:rsid w:val="00E73DAD"/>
    <w:rsid w:val="00E76791"/>
    <w:rsid w:val="00EB3A45"/>
    <w:rsid w:val="00EC3934"/>
    <w:rsid w:val="00EC503D"/>
    <w:rsid w:val="00EF3645"/>
    <w:rsid w:val="00F01942"/>
    <w:rsid w:val="00F07DDC"/>
    <w:rsid w:val="00F14377"/>
    <w:rsid w:val="00F1450D"/>
    <w:rsid w:val="00F23F2D"/>
    <w:rsid w:val="00F52AC1"/>
    <w:rsid w:val="00F768CA"/>
    <w:rsid w:val="00F76A71"/>
    <w:rsid w:val="00F77A88"/>
    <w:rsid w:val="00F77CCD"/>
    <w:rsid w:val="00F87BBB"/>
    <w:rsid w:val="00FA1FE5"/>
    <w:rsid w:val="00FA357E"/>
    <w:rsid w:val="00FC1946"/>
    <w:rsid w:val="00FC1F43"/>
    <w:rsid w:val="00FC21D7"/>
    <w:rsid w:val="00FC23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BAFA4"/>
  <w15:chartTrackingRefBased/>
  <w15:docId w15:val="{08A2164F-FCD6-4BDD-AD42-5E5D050A3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6E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6E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6E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6E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6E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6E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E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E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E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E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6E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6E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6E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6E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6E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E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E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EC0"/>
    <w:rPr>
      <w:rFonts w:eastAsiaTheme="majorEastAsia" w:cstheme="majorBidi"/>
      <w:color w:val="272727" w:themeColor="text1" w:themeTint="D8"/>
    </w:rPr>
  </w:style>
  <w:style w:type="paragraph" w:styleId="Title">
    <w:name w:val="Title"/>
    <w:basedOn w:val="Normal"/>
    <w:next w:val="Normal"/>
    <w:link w:val="TitleChar"/>
    <w:uiPriority w:val="10"/>
    <w:qFormat/>
    <w:rsid w:val="001D6E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E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E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E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EC0"/>
    <w:pPr>
      <w:spacing w:before="160"/>
      <w:jc w:val="center"/>
    </w:pPr>
    <w:rPr>
      <w:i/>
      <w:iCs/>
      <w:color w:val="404040" w:themeColor="text1" w:themeTint="BF"/>
    </w:rPr>
  </w:style>
  <w:style w:type="character" w:customStyle="1" w:styleId="QuoteChar">
    <w:name w:val="Quote Char"/>
    <w:basedOn w:val="DefaultParagraphFont"/>
    <w:link w:val="Quote"/>
    <w:uiPriority w:val="29"/>
    <w:rsid w:val="001D6EC0"/>
    <w:rPr>
      <w:i/>
      <w:iCs/>
      <w:color w:val="404040" w:themeColor="text1" w:themeTint="BF"/>
    </w:rPr>
  </w:style>
  <w:style w:type="paragraph" w:styleId="ListParagraph">
    <w:name w:val="List Paragraph"/>
    <w:basedOn w:val="Normal"/>
    <w:uiPriority w:val="34"/>
    <w:qFormat/>
    <w:rsid w:val="001D6EC0"/>
    <w:pPr>
      <w:ind w:left="720"/>
      <w:contextualSpacing/>
    </w:pPr>
  </w:style>
  <w:style w:type="character" w:styleId="IntenseEmphasis">
    <w:name w:val="Intense Emphasis"/>
    <w:basedOn w:val="DefaultParagraphFont"/>
    <w:uiPriority w:val="21"/>
    <w:qFormat/>
    <w:rsid w:val="001D6EC0"/>
    <w:rPr>
      <w:i/>
      <w:iCs/>
      <w:color w:val="0F4761" w:themeColor="accent1" w:themeShade="BF"/>
    </w:rPr>
  </w:style>
  <w:style w:type="paragraph" w:styleId="IntenseQuote">
    <w:name w:val="Intense Quote"/>
    <w:basedOn w:val="Normal"/>
    <w:next w:val="Normal"/>
    <w:link w:val="IntenseQuoteChar"/>
    <w:uiPriority w:val="30"/>
    <w:qFormat/>
    <w:rsid w:val="001D6E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6EC0"/>
    <w:rPr>
      <w:i/>
      <w:iCs/>
      <w:color w:val="0F4761" w:themeColor="accent1" w:themeShade="BF"/>
    </w:rPr>
  </w:style>
  <w:style w:type="character" w:styleId="IntenseReference">
    <w:name w:val="Intense Reference"/>
    <w:basedOn w:val="DefaultParagraphFont"/>
    <w:uiPriority w:val="32"/>
    <w:qFormat/>
    <w:rsid w:val="001D6EC0"/>
    <w:rPr>
      <w:b/>
      <w:bCs/>
      <w:smallCaps/>
      <w:color w:val="0F4761" w:themeColor="accent1" w:themeShade="BF"/>
      <w:spacing w:val="5"/>
    </w:rPr>
  </w:style>
  <w:style w:type="character" w:styleId="Hyperlink">
    <w:name w:val="Hyperlink"/>
    <w:basedOn w:val="DefaultParagraphFont"/>
    <w:uiPriority w:val="99"/>
    <w:unhideWhenUsed/>
    <w:rsid w:val="00A34F18"/>
    <w:rPr>
      <w:color w:val="467886" w:themeColor="hyperlink"/>
      <w:u w:val="single"/>
    </w:rPr>
  </w:style>
  <w:style w:type="character" w:styleId="UnresolvedMention">
    <w:name w:val="Unresolved Mention"/>
    <w:basedOn w:val="DefaultParagraphFont"/>
    <w:uiPriority w:val="99"/>
    <w:semiHidden/>
    <w:unhideWhenUsed/>
    <w:rsid w:val="00A34F18"/>
    <w:rPr>
      <w:color w:val="605E5C"/>
      <w:shd w:val="clear" w:color="auto" w:fill="E1DFDD"/>
    </w:rPr>
  </w:style>
  <w:style w:type="paragraph" w:styleId="FootnoteText">
    <w:name w:val="footnote text"/>
    <w:basedOn w:val="Normal"/>
    <w:link w:val="FootnoteTextChar"/>
    <w:uiPriority w:val="99"/>
    <w:semiHidden/>
    <w:unhideWhenUsed/>
    <w:rsid w:val="00F07D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7DDC"/>
    <w:rPr>
      <w:sz w:val="20"/>
      <w:szCs w:val="20"/>
    </w:rPr>
  </w:style>
  <w:style w:type="character" w:styleId="FootnoteReference">
    <w:name w:val="footnote reference"/>
    <w:basedOn w:val="DefaultParagraphFont"/>
    <w:uiPriority w:val="99"/>
    <w:semiHidden/>
    <w:unhideWhenUsed/>
    <w:rsid w:val="00F07D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ievalists.net/files/09012309.pdf" TargetMode="External"/><Relationship Id="rId13" Type="http://schemas.openxmlformats.org/officeDocument/2006/relationships/hyperlink" Target="https://www.proquest.com/docview/613865994?%20Theses&amp;fromopenview=true&amp;pq-origsite=gscholar&amp;sourcetype=Dissertations%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stor.org/stable/12248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demia.edu/10053576/Identity_and_Status_in_the_Bayeux_Tapestry_Anglo_Norman_Studies_2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jstor.org/stable/555694" TargetMode="External"/><Relationship Id="rId4" Type="http://schemas.openxmlformats.org/officeDocument/2006/relationships/settings" Target="settings.xml"/><Relationship Id="rId9" Type="http://schemas.openxmlformats.org/officeDocument/2006/relationships/hyperlink" Target="https://www.bayeuxmuseum.com/en/the-bayeux-tapestry/discover-the-bayeux-tapestry/explore-online/"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medievalists.net/files/09012309.pdf" TargetMode="External"/><Relationship Id="rId2" Type="http://schemas.openxmlformats.org/officeDocument/2006/relationships/hyperlink" Target="https://www.bayeuxmuseum.com/en/the-bayeux-tapestry/discover-the-bayeux-tapestry/explore-online/" TargetMode="External"/><Relationship Id="rId1" Type="http://schemas.openxmlformats.org/officeDocument/2006/relationships/hyperlink" Target="https://www.jstor.org/stable/1224876" TargetMode="External"/><Relationship Id="rId6" Type="http://schemas.openxmlformats.org/officeDocument/2006/relationships/hyperlink" Target="https://www.academia.edu/10053576/Identity_and_Status_in_the_Bayeux_Tapestry_Anglo_Norman_Studies_29" TargetMode="External"/><Relationship Id="rId5" Type="http://schemas.openxmlformats.org/officeDocument/2006/relationships/hyperlink" Target="https://www.jstor.org/stable/555694" TargetMode="External"/><Relationship Id="rId4" Type="http://schemas.openxmlformats.org/officeDocument/2006/relationships/hyperlink" Target="https://www.proquest.com/docview/613865994?%20Theses&amp;fromopenview=true&amp;pq-origsite=gscholar&amp;sourcetype=Dissertations%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34A62-72B0-464F-8123-1A50F9BFA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TotalTime>
  <Pages>6</Pages>
  <Words>2573</Words>
  <Characters>13177</Characters>
  <Application>Microsoft Office Word</Application>
  <DocSecurity>0</DocSecurity>
  <Lines>185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Cottrell (2404622)</dc:creator>
  <cp:keywords/>
  <dc:description/>
  <cp:lastModifiedBy>Adam Cottrell (2404622)</cp:lastModifiedBy>
  <cp:revision>113</cp:revision>
  <dcterms:created xsi:type="dcterms:W3CDTF">2026-10-22T14:51:00Z</dcterms:created>
  <dcterms:modified xsi:type="dcterms:W3CDTF">2026-10-25T16:44:00Z</dcterms:modified>
</cp:coreProperties>
</file>