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DDB38" w14:textId="33BE9103" w:rsidR="004179B9" w:rsidRDefault="00B77796" w:rsidP="00B77796">
      <w:pPr>
        <w:jc w:val="center"/>
        <w:rPr>
          <w:b/>
          <w:bCs/>
          <w:sz w:val="28"/>
          <w:szCs w:val="28"/>
        </w:rPr>
      </w:pPr>
      <w:r>
        <w:rPr>
          <w:b/>
          <w:bCs/>
          <w:sz w:val="28"/>
          <w:szCs w:val="28"/>
        </w:rPr>
        <w:t>Commentary on a visual image – Becket Leaves folio 2v</w:t>
      </w:r>
    </w:p>
    <w:p w14:paraId="30CDE241" w14:textId="656D99FF" w:rsidR="005D5FF6" w:rsidRDefault="005D5FF6" w:rsidP="00B77796">
      <w:pPr>
        <w:jc w:val="center"/>
        <w:rPr>
          <w:b/>
          <w:bCs/>
          <w:sz w:val="28"/>
          <w:szCs w:val="28"/>
        </w:rPr>
      </w:pPr>
    </w:p>
    <w:p w14:paraId="5C4A3E0B" w14:textId="6172F1BF" w:rsidR="006B1611" w:rsidRDefault="006B1611" w:rsidP="005D5FF6">
      <w:pPr>
        <w:jc w:val="both"/>
        <w:rPr>
          <w:b/>
          <w:bCs/>
          <w:sz w:val="24"/>
          <w:szCs w:val="24"/>
        </w:rPr>
      </w:pPr>
      <w:r>
        <w:rPr>
          <w:b/>
          <w:bCs/>
          <w:sz w:val="24"/>
          <w:szCs w:val="24"/>
        </w:rPr>
        <w:t>Introduction</w:t>
      </w:r>
    </w:p>
    <w:p w14:paraId="6B7E5DE9" w14:textId="49D8763F" w:rsidR="00761EEF" w:rsidRPr="006B1611" w:rsidRDefault="00771824" w:rsidP="005D5FF6">
      <w:pPr>
        <w:jc w:val="both"/>
        <w:rPr>
          <w:b/>
          <w:bCs/>
          <w:sz w:val="24"/>
          <w:szCs w:val="24"/>
        </w:rPr>
      </w:pPr>
      <w:r w:rsidRPr="00771824">
        <w:drawing>
          <wp:inline distT="0" distB="0" distL="0" distR="0" wp14:anchorId="103D2D4D" wp14:editId="15322665">
            <wp:extent cx="5731510" cy="2626995"/>
            <wp:effectExtent l="0" t="0" r="2540" b="1905"/>
            <wp:docPr id="2" name="Picture 2" descr="A picture containing text, ru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rug, fabric&#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626995"/>
                    </a:xfrm>
                    <a:prstGeom prst="rect">
                      <a:avLst/>
                    </a:prstGeom>
                  </pic:spPr>
                </pic:pic>
              </a:graphicData>
            </a:graphic>
          </wp:inline>
        </w:drawing>
      </w:r>
    </w:p>
    <w:p w14:paraId="38B9C94B" w14:textId="64252A93" w:rsidR="005D5FF6" w:rsidRDefault="005D5FF6" w:rsidP="005D5FF6">
      <w:pPr>
        <w:jc w:val="both"/>
        <w:rPr>
          <w:sz w:val="24"/>
          <w:szCs w:val="24"/>
        </w:rPr>
      </w:pPr>
      <w:r>
        <w:rPr>
          <w:sz w:val="24"/>
          <w:szCs w:val="24"/>
        </w:rPr>
        <w:t>Folio 2 verso is one of four pages, collectively known as the Becket Leaves, depicting scenes from Thomas Becket’s time in exile. The image shows Thomas leaving King Henry II and King Louis VII after the failure (in relation to Thomas’ situation</w:t>
      </w:r>
      <w:r w:rsidR="005C7153">
        <w:rPr>
          <w:sz w:val="24"/>
          <w:szCs w:val="24"/>
        </w:rPr>
        <w:t>, at least</w:t>
      </w:r>
      <w:r>
        <w:rPr>
          <w:sz w:val="24"/>
          <w:szCs w:val="24"/>
        </w:rPr>
        <w:t xml:space="preserve">) of the peace talks at </w:t>
      </w:r>
      <w:proofErr w:type="spellStart"/>
      <w:r>
        <w:rPr>
          <w:sz w:val="24"/>
          <w:szCs w:val="24"/>
        </w:rPr>
        <w:t>Montmirail</w:t>
      </w:r>
      <w:proofErr w:type="spellEnd"/>
      <w:r w:rsidR="006B1611">
        <w:rPr>
          <w:sz w:val="24"/>
          <w:szCs w:val="24"/>
        </w:rPr>
        <w:t>, a hill-top town near Chartres,</w:t>
      </w:r>
      <w:r w:rsidR="006409CC">
        <w:rPr>
          <w:sz w:val="24"/>
          <w:szCs w:val="24"/>
        </w:rPr>
        <w:t xml:space="preserve"> at Epiphany (6-7 January) 1169.</w:t>
      </w:r>
    </w:p>
    <w:p w14:paraId="494AE434" w14:textId="5C6AF688" w:rsidR="006B1611" w:rsidRPr="006B1611" w:rsidRDefault="006B1611" w:rsidP="006B1611">
      <w:pPr>
        <w:jc w:val="both"/>
        <w:rPr>
          <w:b/>
          <w:bCs/>
          <w:sz w:val="24"/>
          <w:szCs w:val="24"/>
        </w:rPr>
      </w:pPr>
      <w:r>
        <w:rPr>
          <w:sz w:val="24"/>
          <w:szCs w:val="24"/>
        </w:rPr>
        <w:t xml:space="preserve">Illustrations of any period are a useful source of information on points of detail that are less well preserved in the written record. </w:t>
      </w:r>
      <w:r w:rsidR="005C7153">
        <w:rPr>
          <w:sz w:val="24"/>
          <w:szCs w:val="24"/>
        </w:rPr>
        <w:t xml:space="preserve">They are also used to tell a story. </w:t>
      </w:r>
      <w:r>
        <w:rPr>
          <w:sz w:val="24"/>
          <w:szCs w:val="24"/>
        </w:rPr>
        <w:t xml:space="preserve">In this image we can see the distinctive crowns and robes of the two kings Henry and Louis on the left, compared with the </w:t>
      </w:r>
      <w:proofErr w:type="gramStart"/>
      <w:r>
        <w:rPr>
          <w:sz w:val="24"/>
          <w:szCs w:val="24"/>
        </w:rPr>
        <w:t>Archbishop’s</w:t>
      </w:r>
      <w:proofErr w:type="gramEnd"/>
      <w:r>
        <w:rPr>
          <w:sz w:val="24"/>
          <w:szCs w:val="24"/>
        </w:rPr>
        <w:t xml:space="preserve"> mitre which Thomas is wearing. All three are wearing robes which appear to give them some status in comparison with the foot soldiers accompanying the two kings and the peasants calling out to Thomas. The horses are facing in opposite directions and both parties are signalling furiously to each other. </w:t>
      </w:r>
    </w:p>
    <w:p w14:paraId="3785BE03" w14:textId="53D1B64C" w:rsidR="006B1611" w:rsidRPr="006B1611" w:rsidRDefault="006B1611" w:rsidP="005D5FF6">
      <w:pPr>
        <w:jc w:val="both"/>
        <w:rPr>
          <w:b/>
          <w:bCs/>
          <w:sz w:val="24"/>
          <w:szCs w:val="24"/>
        </w:rPr>
      </w:pPr>
      <w:r>
        <w:rPr>
          <w:b/>
          <w:bCs/>
          <w:sz w:val="24"/>
          <w:szCs w:val="24"/>
        </w:rPr>
        <w:t>Origin</w:t>
      </w:r>
    </w:p>
    <w:p w14:paraId="205EAC40" w14:textId="7E124846" w:rsidR="00E0454A" w:rsidRDefault="005D5FF6" w:rsidP="005D5FF6">
      <w:pPr>
        <w:jc w:val="both"/>
        <w:rPr>
          <w:sz w:val="24"/>
          <w:szCs w:val="24"/>
        </w:rPr>
      </w:pPr>
      <w:r>
        <w:rPr>
          <w:sz w:val="24"/>
          <w:szCs w:val="24"/>
        </w:rPr>
        <w:t xml:space="preserve">The Leaves would once have been part of a verse Life of St Thomas. The four Leaves have survived by chance, the strong vellum having been used to reinforce another book. They were discovered in Belgium in </w:t>
      </w:r>
      <w:r w:rsidR="00E0454A">
        <w:rPr>
          <w:sz w:val="24"/>
          <w:szCs w:val="24"/>
        </w:rPr>
        <w:t>the 19</w:t>
      </w:r>
      <w:r w:rsidR="00E0454A" w:rsidRPr="00E0454A">
        <w:rPr>
          <w:sz w:val="24"/>
          <w:szCs w:val="24"/>
          <w:vertAlign w:val="superscript"/>
        </w:rPr>
        <w:t>th</w:t>
      </w:r>
      <w:r w:rsidR="00E0454A">
        <w:rPr>
          <w:sz w:val="24"/>
          <w:szCs w:val="24"/>
        </w:rPr>
        <w:t xml:space="preserve"> century and </w:t>
      </w:r>
      <w:r w:rsidR="006B1611">
        <w:rPr>
          <w:sz w:val="24"/>
          <w:szCs w:val="24"/>
        </w:rPr>
        <w:t xml:space="preserve">now are </w:t>
      </w:r>
      <w:r w:rsidR="00E0454A">
        <w:rPr>
          <w:sz w:val="24"/>
          <w:szCs w:val="24"/>
        </w:rPr>
        <w:t xml:space="preserve">on indefinite loan at the British Library. </w:t>
      </w:r>
    </w:p>
    <w:p w14:paraId="6548440B" w14:textId="3F56245C" w:rsidR="00E0454A" w:rsidRDefault="00E0454A" w:rsidP="005D5FF6">
      <w:pPr>
        <w:jc w:val="both"/>
        <w:rPr>
          <w:sz w:val="24"/>
          <w:szCs w:val="24"/>
        </w:rPr>
      </w:pPr>
      <w:r>
        <w:rPr>
          <w:sz w:val="24"/>
          <w:szCs w:val="24"/>
        </w:rPr>
        <w:t xml:space="preserve">The </w:t>
      </w:r>
      <w:r w:rsidR="006B1611">
        <w:rPr>
          <w:sz w:val="24"/>
          <w:szCs w:val="24"/>
        </w:rPr>
        <w:t>Leaves are thought to be from a work of</w:t>
      </w:r>
      <w:r>
        <w:rPr>
          <w:sz w:val="24"/>
          <w:szCs w:val="24"/>
        </w:rPr>
        <w:t xml:space="preserve"> English origin, the style of outline drawing with a coloured wash being characteristic of documents produced in the workshops of Matthew Paris in St Albans or Westminster</w:t>
      </w:r>
      <w:r w:rsidR="00C33A49">
        <w:rPr>
          <w:sz w:val="24"/>
          <w:szCs w:val="24"/>
        </w:rPr>
        <w:t xml:space="preserve">, and it is possible that the </w:t>
      </w:r>
      <w:r w:rsidR="006B1611">
        <w:rPr>
          <w:sz w:val="24"/>
          <w:szCs w:val="24"/>
        </w:rPr>
        <w:t>book was</w:t>
      </w:r>
      <w:r w:rsidR="00C33A49">
        <w:rPr>
          <w:sz w:val="24"/>
          <w:szCs w:val="24"/>
        </w:rPr>
        <w:t xml:space="preserve"> produced there.</w:t>
      </w:r>
      <w:r w:rsidR="006B1611">
        <w:rPr>
          <w:sz w:val="24"/>
          <w:szCs w:val="24"/>
        </w:rPr>
        <w:t xml:space="preserve"> </w:t>
      </w:r>
      <w:r>
        <w:rPr>
          <w:sz w:val="24"/>
          <w:szCs w:val="24"/>
        </w:rPr>
        <w:t xml:space="preserve">Each illustration </w:t>
      </w:r>
      <w:r w:rsidR="00C33A49">
        <w:rPr>
          <w:sz w:val="24"/>
          <w:szCs w:val="24"/>
        </w:rPr>
        <w:t>accompanies verses of the Life and the style of both text and artwork suggest an original date of c1220-1240, being within the period during which Matthew Paris (who became a monk in 1217 and died in 1259) was working.</w:t>
      </w:r>
    </w:p>
    <w:p w14:paraId="1D80F358" w14:textId="77777777" w:rsidR="00595D3F" w:rsidRDefault="00595D3F" w:rsidP="005D5FF6">
      <w:pPr>
        <w:jc w:val="both"/>
        <w:rPr>
          <w:b/>
          <w:bCs/>
          <w:sz w:val="24"/>
          <w:szCs w:val="24"/>
        </w:rPr>
      </w:pPr>
    </w:p>
    <w:p w14:paraId="66BDAF9E" w14:textId="3FF7B8FF" w:rsidR="005C7153" w:rsidRPr="005C7153" w:rsidRDefault="005C7153" w:rsidP="005D5FF6">
      <w:pPr>
        <w:jc w:val="both"/>
        <w:rPr>
          <w:b/>
          <w:bCs/>
          <w:sz w:val="24"/>
          <w:szCs w:val="24"/>
        </w:rPr>
      </w:pPr>
      <w:r>
        <w:rPr>
          <w:b/>
          <w:bCs/>
          <w:sz w:val="24"/>
          <w:szCs w:val="24"/>
        </w:rPr>
        <w:lastRenderedPageBreak/>
        <w:t>Readership</w:t>
      </w:r>
    </w:p>
    <w:p w14:paraId="3FB1ECD5" w14:textId="3E90788F" w:rsidR="009B319F" w:rsidRPr="00FC700E" w:rsidRDefault="00C33A49" w:rsidP="005D5FF6">
      <w:pPr>
        <w:jc w:val="both"/>
        <w:rPr>
          <w:sz w:val="24"/>
          <w:szCs w:val="24"/>
        </w:rPr>
      </w:pPr>
      <w:r>
        <w:rPr>
          <w:sz w:val="24"/>
          <w:szCs w:val="24"/>
        </w:rPr>
        <w:t xml:space="preserve">It has been suggested </w:t>
      </w:r>
      <w:r>
        <w:rPr>
          <w:rStyle w:val="FootnoteReference"/>
          <w:sz w:val="24"/>
          <w:szCs w:val="24"/>
        </w:rPr>
        <w:footnoteReference w:id="1"/>
      </w:r>
      <w:r>
        <w:rPr>
          <w:sz w:val="24"/>
          <w:szCs w:val="24"/>
        </w:rPr>
        <w:t xml:space="preserve"> that</w:t>
      </w:r>
      <w:r w:rsidR="006B1611">
        <w:rPr>
          <w:sz w:val="24"/>
          <w:szCs w:val="24"/>
        </w:rPr>
        <w:t>, from</w:t>
      </w:r>
      <w:r>
        <w:rPr>
          <w:sz w:val="24"/>
          <w:szCs w:val="24"/>
        </w:rPr>
        <w:t xml:space="preserve"> Matthew Paris</w:t>
      </w:r>
      <w:r w:rsidR="006B1611">
        <w:rPr>
          <w:sz w:val="24"/>
          <w:szCs w:val="24"/>
        </w:rPr>
        <w:t>’ original,</w:t>
      </w:r>
      <w:r>
        <w:rPr>
          <w:sz w:val="24"/>
          <w:szCs w:val="24"/>
        </w:rPr>
        <w:t xml:space="preserve"> a copy was then prepared for the private ownership of the Countess of Arundel, Isabelle de </w:t>
      </w:r>
      <w:proofErr w:type="spellStart"/>
      <w:r>
        <w:rPr>
          <w:sz w:val="24"/>
          <w:szCs w:val="24"/>
        </w:rPr>
        <w:t>Warenne</w:t>
      </w:r>
      <w:proofErr w:type="spellEnd"/>
      <w:r>
        <w:rPr>
          <w:sz w:val="24"/>
          <w:szCs w:val="24"/>
        </w:rPr>
        <w:t xml:space="preserve">, who became the </w:t>
      </w:r>
      <w:proofErr w:type="gramStart"/>
      <w:r>
        <w:rPr>
          <w:sz w:val="24"/>
          <w:szCs w:val="24"/>
        </w:rPr>
        <w:t>Countess</w:t>
      </w:r>
      <w:proofErr w:type="gramEnd"/>
      <w:r>
        <w:rPr>
          <w:sz w:val="24"/>
          <w:szCs w:val="24"/>
        </w:rPr>
        <w:t xml:space="preserve"> on her marriage in 1234. She died in 1282 and was buried at the Cistercian Abbey that she founded in Norfolk</w:t>
      </w:r>
      <w:r w:rsidR="00BC235B">
        <w:rPr>
          <w:sz w:val="24"/>
          <w:szCs w:val="24"/>
        </w:rPr>
        <w:t>. It is possible that the book ended up there and was transferred out of the country for safekeeping at the Reformation.</w:t>
      </w:r>
    </w:p>
    <w:p w14:paraId="25E47C40" w14:textId="7059C7E2" w:rsidR="00957B13" w:rsidRDefault="00BC235B" w:rsidP="005D5FF6">
      <w:pPr>
        <w:jc w:val="both"/>
        <w:rPr>
          <w:sz w:val="24"/>
          <w:szCs w:val="24"/>
        </w:rPr>
      </w:pPr>
      <w:r>
        <w:rPr>
          <w:sz w:val="24"/>
          <w:szCs w:val="24"/>
        </w:rPr>
        <w:t xml:space="preserve">If the book was indeed prepared for the Countess of </w:t>
      </w:r>
      <w:proofErr w:type="gramStart"/>
      <w:r>
        <w:rPr>
          <w:sz w:val="24"/>
          <w:szCs w:val="24"/>
        </w:rPr>
        <w:t>Arundel</w:t>
      </w:r>
      <w:proofErr w:type="gramEnd"/>
      <w:r>
        <w:rPr>
          <w:sz w:val="24"/>
          <w:szCs w:val="24"/>
        </w:rPr>
        <w:t xml:space="preserve"> it would have been in private, secular ownership from the outset. It was therefore not intended to be used in a monastic or church setting and was not available for the general public to view.</w:t>
      </w:r>
      <w:r w:rsidR="003D5DFC">
        <w:rPr>
          <w:sz w:val="24"/>
          <w:szCs w:val="24"/>
        </w:rPr>
        <w:t xml:space="preserve"> It was a luxury item for a literate, educated and wealthy owner. The image therefore does not need to aim to tell a wider story, or educate the masses, and it is used to complement the text, which the owner would have read alongside the illustration, rather than tell a whole story </w:t>
      </w:r>
      <w:proofErr w:type="gramStart"/>
      <w:r w:rsidR="003D5DFC">
        <w:rPr>
          <w:sz w:val="24"/>
          <w:szCs w:val="24"/>
        </w:rPr>
        <w:t>in itself without</w:t>
      </w:r>
      <w:proofErr w:type="gramEnd"/>
      <w:r w:rsidR="003D5DFC">
        <w:rPr>
          <w:sz w:val="24"/>
          <w:szCs w:val="24"/>
        </w:rPr>
        <w:t xml:space="preserve"> recourse to the written word. In this period, visual images were frequently used to convey a message to those who possibly could not read at all. Imagery was extremely important and was a recognised way of communicating information. Whilst this image in the Becket Leaves was not required to do the job alone, but as an aid to the text, it remained the case that images </w:t>
      </w:r>
      <w:r w:rsidR="00957B13">
        <w:rPr>
          <w:sz w:val="24"/>
          <w:szCs w:val="24"/>
        </w:rPr>
        <w:t>were looked at in an interpretative light and were ‘read’ for the information they contained</w:t>
      </w:r>
      <w:r w:rsidR="009B319F">
        <w:rPr>
          <w:sz w:val="24"/>
          <w:szCs w:val="24"/>
        </w:rPr>
        <w:t>, in a way that is no longer the case today</w:t>
      </w:r>
      <w:r w:rsidR="00957B13">
        <w:rPr>
          <w:sz w:val="24"/>
          <w:szCs w:val="24"/>
        </w:rPr>
        <w:t>.</w:t>
      </w:r>
    </w:p>
    <w:p w14:paraId="0B121CD6" w14:textId="55EE9093" w:rsidR="00FC700E" w:rsidRPr="001B263E" w:rsidRDefault="00FC700E" w:rsidP="001B263E">
      <w:pPr>
        <w:jc w:val="both"/>
        <w:rPr>
          <w:b/>
          <w:bCs/>
          <w:sz w:val="24"/>
          <w:szCs w:val="24"/>
        </w:rPr>
      </w:pPr>
      <w:r>
        <w:rPr>
          <w:b/>
          <w:bCs/>
          <w:sz w:val="24"/>
          <w:szCs w:val="24"/>
        </w:rPr>
        <w:t>Message</w:t>
      </w:r>
    </w:p>
    <w:p w14:paraId="1B0FE6D3" w14:textId="1B7AF9FE" w:rsidR="00BC235B" w:rsidRDefault="00B571B9" w:rsidP="005D5FF6">
      <w:pPr>
        <w:jc w:val="both"/>
        <w:rPr>
          <w:sz w:val="24"/>
          <w:szCs w:val="24"/>
        </w:rPr>
      </w:pPr>
      <w:r>
        <w:rPr>
          <w:sz w:val="24"/>
          <w:szCs w:val="24"/>
        </w:rPr>
        <w:t xml:space="preserve">This manuscript was prepared in a time when Thomas had already been canonised and was one of the most popular saints in England and even Europe. In this </w:t>
      </w:r>
      <w:proofErr w:type="gramStart"/>
      <w:r>
        <w:rPr>
          <w:sz w:val="24"/>
          <w:szCs w:val="24"/>
        </w:rPr>
        <w:t>period</w:t>
      </w:r>
      <w:proofErr w:type="gramEnd"/>
      <w:r>
        <w:rPr>
          <w:sz w:val="24"/>
          <w:szCs w:val="24"/>
        </w:rPr>
        <w:t xml:space="preserve"> it was perfectly acceptable to write subjective history – not simply subjective due to one’s background and pre-conceptions but actively subjective in that </w:t>
      </w:r>
      <w:r w:rsidR="005C7153">
        <w:rPr>
          <w:sz w:val="24"/>
          <w:szCs w:val="24"/>
        </w:rPr>
        <w:t xml:space="preserve">the author’s </w:t>
      </w:r>
      <w:r>
        <w:rPr>
          <w:sz w:val="24"/>
          <w:szCs w:val="24"/>
        </w:rPr>
        <w:t xml:space="preserve">version of ‘the facts’ would be coloured by the message </w:t>
      </w:r>
      <w:r w:rsidR="005C7153">
        <w:rPr>
          <w:sz w:val="24"/>
          <w:szCs w:val="24"/>
        </w:rPr>
        <w:t xml:space="preserve">he </w:t>
      </w:r>
      <w:r>
        <w:rPr>
          <w:sz w:val="24"/>
          <w:szCs w:val="24"/>
        </w:rPr>
        <w:t xml:space="preserve">wanted to convey. This principle applied to imagery in the same way as to writing. The picture here represents what the author/illustrator wants to say about what happened, as well as what </w:t>
      </w:r>
      <w:proofErr w:type="gramStart"/>
      <w:r>
        <w:rPr>
          <w:sz w:val="24"/>
          <w:szCs w:val="24"/>
        </w:rPr>
        <w:t>actually did</w:t>
      </w:r>
      <w:proofErr w:type="gramEnd"/>
      <w:r>
        <w:rPr>
          <w:sz w:val="24"/>
          <w:szCs w:val="24"/>
        </w:rPr>
        <w:t xml:space="preserve"> happen.</w:t>
      </w:r>
    </w:p>
    <w:p w14:paraId="57D547BC" w14:textId="6B9AB8E3" w:rsidR="001B263E" w:rsidRPr="001B263E" w:rsidRDefault="001B263E" w:rsidP="001B263E">
      <w:pPr>
        <w:pStyle w:val="ListParagraph"/>
        <w:numPr>
          <w:ilvl w:val="0"/>
          <w:numId w:val="3"/>
        </w:numPr>
        <w:jc w:val="both"/>
        <w:rPr>
          <w:b/>
          <w:bCs/>
          <w:sz w:val="24"/>
          <w:szCs w:val="24"/>
        </w:rPr>
      </w:pPr>
      <w:r>
        <w:rPr>
          <w:b/>
          <w:bCs/>
          <w:sz w:val="24"/>
          <w:szCs w:val="24"/>
        </w:rPr>
        <w:t>Confidence</w:t>
      </w:r>
    </w:p>
    <w:p w14:paraId="5EA1DBA9" w14:textId="374BD0DF" w:rsidR="00B571B9" w:rsidRPr="005C7153" w:rsidRDefault="00B571B9" w:rsidP="005D5FF6">
      <w:pPr>
        <w:jc w:val="both"/>
        <w:rPr>
          <w:b/>
          <w:bCs/>
          <w:sz w:val="24"/>
          <w:szCs w:val="24"/>
        </w:rPr>
      </w:pPr>
      <w:r>
        <w:rPr>
          <w:sz w:val="24"/>
          <w:szCs w:val="24"/>
        </w:rPr>
        <w:t xml:space="preserve">The peace talks at </w:t>
      </w:r>
      <w:proofErr w:type="spellStart"/>
      <w:r>
        <w:rPr>
          <w:sz w:val="24"/>
          <w:szCs w:val="24"/>
        </w:rPr>
        <w:t>Montmirail</w:t>
      </w:r>
      <w:proofErr w:type="spellEnd"/>
      <w:r>
        <w:rPr>
          <w:sz w:val="24"/>
          <w:szCs w:val="24"/>
        </w:rPr>
        <w:t xml:space="preserve"> ended in failure and acrimony. Herbert of Bosham</w:t>
      </w:r>
      <w:r w:rsidR="00FC700E">
        <w:rPr>
          <w:rStyle w:val="FootnoteReference"/>
          <w:sz w:val="24"/>
          <w:szCs w:val="24"/>
        </w:rPr>
        <w:footnoteReference w:id="2"/>
      </w:r>
      <w:r w:rsidR="00FC700E">
        <w:rPr>
          <w:sz w:val="24"/>
          <w:szCs w:val="24"/>
        </w:rPr>
        <w:t xml:space="preserve">, the main </w:t>
      </w:r>
      <w:proofErr w:type="gramStart"/>
      <w:r w:rsidR="00FC700E">
        <w:rPr>
          <w:sz w:val="24"/>
          <w:szCs w:val="24"/>
        </w:rPr>
        <w:t>eye-witness</w:t>
      </w:r>
      <w:proofErr w:type="gramEnd"/>
      <w:r w:rsidR="00FC700E">
        <w:rPr>
          <w:sz w:val="24"/>
          <w:szCs w:val="24"/>
        </w:rPr>
        <w:t xml:space="preserve"> to the events of the exile, </w:t>
      </w:r>
      <w:r w:rsidR="00B40716">
        <w:rPr>
          <w:sz w:val="24"/>
          <w:szCs w:val="24"/>
        </w:rPr>
        <w:t>describe</w:t>
      </w:r>
      <w:r w:rsidR="00FC700E">
        <w:rPr>
          <w:sz w:val="24"/>
          <w:szCs w:val="24"/>
        </w:rPr>
        <w:t>s</w:t>
      </w:r>
      <w:r w:rsidR="00B40716">
        <w:rPr>
          <w:sz w:val="24"/>
          <w:szCs w:val="24"/>
        </w:rPr>
        <w:t xml:space="preserve"> a scene where darkness had fallen, the two kings le</w:t>
      </w:r>
      <w:r w:rsidR="00FC700E">
        <w:rPr>
          <w:sz w:val="24"/>
          <w:szCs w:val="24"/>
        </w:rPr>
        <w:t>aving</w:t>
      </w:r>
      <w:r w:rsidR="00B40716">
        <w:rPr>
          <w:sz w:val="24"/>
          <w:szCs w:val="24"/>
        </w:rPr>
        <w:t xml:space="preserve"> by torchlight, both angry with Thomas and disappointed at the lack of a settlement. </w:t>
      </w:r>
      <w:r w:rsidR="001B263E">
        <w:rPr>
          <w:sz w:val="24"/>
          <w:szCs w:val="24"/>
        </w:rPr>
        <w:t>In contrast,</w:t>
      </w:r>
      <w:r w:rsidR="00B40716">
        <w:rPr>
          <w:sz w:val="24"/>
          <w:szCs w:val="24"/>
        </w:rPr>
        <w:t xml:space="preserve"> </w:t>
      </w:r>
      <w:r w:rsidR="005C7153">
        <w:rPr>
          <w:sz w:val="24"/>
          <w:szCs w:val="24"/>
        </w:rPr>
        <w:t>the image in folio 2v</w:t>
      </w:r>
      <w:r w:rsidR="00B40716">
        <w:rPr>
          <w:sz w:val="24"/>
          <w:szCs w:val="24"/>
        </w:rPr>
        <w:t xml:space="preserve"> has the kings and Thomas trading insults, both mounted, and both with a ‘retinue’</w:t>
      </w:r>
      <w:r w:rsidR="00FC700E">
        <w:rPr>
          <w:sz w:val="24"/>
          <w:szCs w:val="24"/>
        </w:rPr>
        <w:t>. This</w:t>
      </w:r>
      <w:r w:rsidR="00B40716">
        <w:rPr>
          <w:sz w:val="24"/>
          <w:szCs w:val="24"/>
        </w:rPr>
        <w:t xml:space="preserve"> elevat</w:t>
      </w:r>
      <w:r w:rsidR="00FC700E">
        <w:rPr>
          <w:sz w:val="24"/>
          <w:szCs w:val="24"/>
        </w:rPr>
        <w:t>es</w:t>
      </w:r>
      <w:r w:rsidR="00B40716">
        <w:rPr>
          <w:sz w:val="24"/>
          <w:szCs w:val="24"/>
        </w:rPr>
        <w:t xml:space="preserve"> Thomas’ position in comparison to the actual scene, which, </w:t>
      </w:r>
      <w:r w:rsidR="00FC700E">
        <w:rPr>
          <w:sz w:val="24"/>
          <w:szCs w:val="24"/>
        </w:rPr>
        <w:t>Herbert tells us</w:t>
      </w:r>
      <w:r w:rsidR="00B40716">
        <w:rPr>
          <w:sz w:val="24"/>
          <w:szCs w:val="24"/>
        </w:rPr>
        <w:t>, left Thomas standing alone with his clerks</w:t>
      </w:r>
      <w:r w:rsidR="00FC700E">
        <w:rPr>
          <w:sz w:val="24"/>
          <w:szCs w:val="24"/>
        </w:rPr>
        <w:t>,</w:t>
      </w:r>
      <w:r w:rsidR="00B40716">
        <w:rPr>
          <w:sz w:val="24"/>
          <w:szCs w:val="24"/>
        </w:rPr>
        <w:t xml:space="preserve"> whilst the kings departed</w:t>
      </w:r>
      <w:r w:rsidR="00FC700E">
        <w:rPr>
          <w:sz w:val="24"/>
          <w:szCs w:val="24"/>
        </w:rPr>
        <w:t xml:space="preserve"> without even bidding Thomas farewell</w:t>
      </w:r>
      <w:r w:rsidR="008F3F5F">
        <w:rPr>
          <w:sz w:val="24"/>
          <w:szCs w:val="24"/>
        </w:rPr>
        <w:t>.</w:t>
      </w:r>
      <w:r w:rsidR="00B40716">
        <w:rPr>
          <w:sz w:val="24"/>
          <w:szCs w:val="24"/>
        </w:rPr>
        <w:t xml:space="preserve"> </w:t>
      </w:r>
      <w:r w:rsidR="00FC700E">
        <w:rPr>
          <w:sz w:val="24"/>
          <w:szCs w:val="24"/>
        </w:rPr>
        <w:t xml:space="preserve">Herbert describes </w:t>
      </w:r>
      <w:r w:rsidR="00B40716">
        <w:rPr>
          <w:sz w:val="24"/>
          <w:szCs w:val="24"/>
        </w:rPr>
        <w:t xml:space="preserve">many of </w:t>
      </w:r>
      <w:r w:rsidR="008F3F5F">
        <w:rPr>
          <w:sz w:val="24"/>
          <w:szCs w:val="24"/>
        </w:rPr>
        <w:t>Thomas’</w:t>
      </w:r>
      <w:r w:rsidR="00B40716">
        <w:rPr>
          <w:sz w:val="24"/>
          <w:szCs w:val="24"/>
        </w:rPr>
        <w:t xml:space="preserve"> own supporters</w:t>
      </w:r>
      <w:r w:rsidR="008F3F5F">
        <w:rPr>
          <w:sz w:val="24"/>
          <w:szCs w:val="24"/>
        </w:rPr>
        <w:t xml:space="preserve"> as being</w:t>
      </w:r>
      <w:r w:rsidR="00B40716">
        <w:rPr>
          <w:sz w:val="24"/>
          <w:szCs w:val="24"/>
        </w:rPr>
        <w:t xml:space="preserve"> unhappy at his obstinacy and the resulting downturn in their fortunes. </w:t>
      </w:r>
      <w:r w:rsidR="008F3F5F" w:rsidRPr="005C7153">
        <w:rPr>
          <w:sz w:val="24"/>
          <w:szCs w:val="24"/>
        </w:rPr>
        <w:t xml:space="preserve">Thomas, </w:t>
      </w:r>
      <w:r w:rsidR="005C7153">
        <w:rPr>
          <w:sz w:val="24"/>
          <w:szCs w:val="24"/>
        </w:rPr>
        <w:t>we are told</w:t>
      </w:r>
      <w:r w:rsidR="008F3F5F" w:rsidRPr="005C7153">
        <w:rPr>
          <w:sz w:val="24"/>
          <w:szCs w:val="24"/>
        </w:rPr>
        <w:t xml:space="preserve">, was by that time thin, pale and </w:t>
      </w:r>
      <w:proofErr w:type="gramStart"/>
      <w:r w:rsidR="008F3F5F" w:rsidRPr="005C7153">
        <w:rPr>
          <w:sz w:val="24"/>
          <w:szCs w:val="24"/>
        </w:rPr>
        <w:t>brow-beaten</w:t>
      </w:r>
      <w:proofErr w:type="gramEnd"/>
      <w:r w:rsidR="008F3F5F" w:rsidRPr="005C7153">
        <w:rPr>
          <w:sz w:val="24"/>
          <w:szCs w:val="24"/>
        </w:rPr>
        <w:t>. The illustration in folio 2v, however, presents a strong, defiant and confident Thomas</w:t>
      </w:r>
      <w:r w:rsidR="005C7153" w:rsidRPr="005C7153">
        <w:rPr>
          <w:sz w:val="24"/>
          <w:szCs w:val="24"/>
        </w:rPr>
        <w:t xml:space="preserve"> who is</w:t>
      </w:r>
      <w:r w:rsidR="008F3F5F" w:rsidRPr="005C7153">
        <w:rPr>
          <w:sz w:val="24"/>
          <w:szCs w:val="24"/>
        </w:rPr>
        <w:t xml:space="preserve"> equally as furious </w:t>
      </w:r>
      <w:r w:rsidR="008F3F5F" w:rsidRPr="005C7153">
        <w:rPr>
          <w:sz w:val="24"/>
          <w:szCs w:val="24"/>
        </w:rPr>
        <w:lastRenderedPageBreak/>
        <w:t>as the two kings.</w:t>
      </w:r>
      <w:r w:rsidR="005C7153" w:rsidRPr="005C7153">
        <w:rPr>
          <w:sz w:val="24"/>
          <w:szCs w:val="24"/>
        </w:rPr>
        <w:t xml:space="preserve"> – not a position that is</w:t>
      </w:r>
      <w:r w:rsidR="005C7153">
        <w:rPr>
          <w:b/>
          <w:bCs/>
          <w:sz w:val="24"/>
          <w:szCs w:val="24"/>
        </w:rPr>
        <w:t xml:space="preserve"> </w:t>
      </w:r>
      <w:r w:rsidR="00B40716">
        <w:rPr>
          <w:sz w:val="24"/>
          <w:szCs w:val="24"/>
        </w:rPr>
        <w:t>reflected in th</w:t>
      </w:r>
      <w:r w:rsidR="005C7153">
        <w:rPr>
          <w:sz w:val="24"/>
          <w:szCs w:val="24"/>
        </w:rPr>
        <w:t>e</w:t>
      </w:r>
      <w:r w:rsidR="00B40716">
        <w:rPr>
          <w:sz w:val="24"/>
          <w:szCs w:val="24"/>
        </w:rPr>
        <w:t xml:space="preserve"> original </w:t>
      </w:r>
      <w:r w:rsidR="008F3F5F">
        <w:rPr>
          <w:sz w:val="24"/>
          <w:szCs w:val="24"/>
        </w:rPr>
        <w:t>account</w:t>
      </w:r>
      <w:r w:rsidR="00B40716">
        <w:rPr>
          <w:sz w:val="24"/>
          <w:szCs w:val="24"/>
        </w:rPr>
        <w:t>. This was in keeping with the post-martyrdom view of Thomas as a hero, standing up for the Church against tyranny.</w:t>
      </w:r>
    </w:p>
    <w:p w14:paraId="6CD48DB4" w14:textId="1E1FA8CC" w:rsidR="008F3F5F" w:rsidRPr="005C7153" w:rsidRDefault="008F3F5F" w:rsidP="005C7153">
      <w:pPr>
        <w:pStyle w:val="ListParagraph"/>
        <w:numPr>
          <w:ilvl w:val="0"/>
          <w:numId w:val="1"/>
        </w:numPr>
        <w:jc w:val="both"/>
        <w:rPr>
          <w:b/>
          <w:bCs/>
          <w:sz w:val="24"/>
          <w:szCs w:val="24"/>
        </w:rPr>
      </w:pPr>
      <w:r w:rsidRPr="005C7153">
        <w:rPr>
          <w:b/>
          <w:bCs/>
          <w:sz w:val="24"/>
          <w:szCs w:val="24"/>
        </w:rPr>
        <w:t>Humility</w:t>
      </w:r>
    </w:p>
    <w:p w14:paraId="4CB0104F" w14:textId="32B00B0F" w:rsidR="00DD3CC4" w:rsidRDefault="00B40716" w:rsidP="005D5FF6">
      <w:pPr>
        <w:jc w:val="both"/>
        <w:rPr>
          <w:sz w:val="24"/>
          <w:szCs w:val="24"/>
        </w:rPr>
      </w:pPr>
      <w:r>
        <w:rPr>
          <w:sz w:val="24"/>
          <w:szCs w:val="24"/>
        </w:rPr>
        <w:t xml:space="preserve">Thomas is seen heading towards a group of people who are </w:t>
      </w:r>
      <w:r w:rsidR="009A1841">
        <w:rPr>
          <w:sz w:val="24"/>
          <w:szCs w:val="24"/>
        </w:rPr>
        <w:t>begging for his blessing. This reflects another post-martyrdom view of Thomas, that of the people</w:t>
      </w:r>
      <w:r w:rsidR="005F5405">
        <w:rPr>
          <w:sz w:val="24"/>
          <w:szCs w:val="24"/>
        </w:rPr>
        <w:t>’s priest</w:t>
      </w:r>
      <w:r w:rsidR="009A1841">
        <w:rPr>
          <w:sz w:val="24"/>
          <w:szCs w:val="24"/>
        </w:rPr>
        <w:t xml:space="preserve">, who was on the side of the common man. </w:t>
      </w:r>
      <w:r w:rsidR="00050CA3">
        <w:rPr>
          <w:sz w:val="24"/>
          <w:szCs w:val="24"/>
        </w:rPr>
        <w:t>Herbert of Bosham, for example</w:t>
      </w:r>
      <w:r w:rsidR="005F5405">
        <w:rPr>
          <w:sz w:val="24"/>
          <w:szCs w:val="24"/>
        </w:rPr>
        <w:t>,</w:t>
      </w:r>
      <w:r w:rsidR="00050CA3">
        <w:rPr>
          <w:sz w:val="24"/>
          <w:szCs w:val="24"/>
        </w:rPr>
        <w:t xml:space="preserve"> </w:t>
      </w:r>
      <w:r w:rsidR="005F5405">
        <w:rPr>
          <w:sz w:val="24"/>
          <w:szCs w:val="24"/>
        </w:rPr>
        <w:t>also</w:t>
      </w:r>
      <w:r w:rsidR="0032451C">
        <w:rPr>
          <w:sz w:val="24"/>
          <w:szCs w:val="24"/>
        </w:rPr>
        <w:t xml:space="preserve"> mention</w:t>
      </w:r>
      <w:r w:rsidR="005F5405">
        <w:rPr>
          <w:sz w:val="24"/>
          <w:szCs w:val="24"/>
        </w:rPr>
        <w:t>s</w:t>
      </w:r>
      <w:r w:rsidR="0032451C">
        <w:rPr>
          <w:sz w:val="24"/>
          <w:szCs w:val="24"/>
        </w:rPr>
        <w:t xml:space="preserve"> the poor people </w:t>
      </w:r>
      <w:r w:rsidR="00187351">
        <w:rPr>
          <w:sz w:val="24"/>
          <w:szCs w:val="24"/>
        </w:rPr>
        <w:t>waiting for him when he landed back in England, who rushed into the water to receive his blessing</w:t>
      </w:r>
      <w:r w:rsidR="00902BB3">
        <w:rPr>
          <w:rStyle w:val="FootnoteReference"/>
          <w:sz w:val="24"/>
          <w:szCs w:val="24"/>
        </w:rPr>
        <w:footnoteReference w:id="3"/>
      </w:r>
      <w:r w:rsidR="00187351">
        <w:rPr>
          <w:sz w:val="24"/>
          <w:szCs w:val="24"/>
        </w:rPr>
        <w:t xml:space="preserve">. </w:t>
      </w:r>
      <w:r w:rsidR="009A1841">
        <w:rPr>
          <w:sz w:val="24"/>
          <w:szCs w:val="24"/>
        </w:rPr>
        <w:t xml:space="preserve">Thomas as a supporter of the Church was also a supporter of the people against royal excess. The notion of Thomas as the people’s champion </w:t>
      </w:r>
      <w:r w:rsidR="00271BF7">
        <w:rPr>
          <w:sz w:val="24"/>
          <w:szCs w:val="24"/>
        </w:rPr>
        <w:t>was popularised as</w:t>
      </w:r>
      <w:r w:rsidR="009A1841">
        <w:rPr>
          <w:sz w:val="24"/>
          <w:szCs w:val="24"/>
        </w:rPr>
        <w:t xml:space="preserve"> a result of the miracles that began to occur very soon after his death. </w:t>
      </w:r>
      <w:r w:rsidR="00271BF7">
        <w:rPr>
          <w:sz w:val="24"/>
          <w:szCs w:val="24"/>
        </w:rPr>
        <w:t xml:space="preserve">It was the poor and the sick that immediately began reporting cures, both at his shrine and even by invoking him elsewhere. </w:t>
      </w:r>
      <w:r w:rsidR="00DD3CC4">
        <w:rPr>
          <w:sz w:val="24"/>
          <w:szCs w:val="24"/>
        </w:rPr>
        <w:t xml:space="preserve">The vast quantities of </w:t>
      </w:r>
      <w:proofErr w:type="spellStart"/>
      <w:r w:rsidR="00DD3CC4">
        <w:rPr>
          <w:sz w:val="24"/>
          <w:szCs w:val="24"/>
        </w:rPr>
        <w:t>ampulae</w:t>
      </w:r>
      <w:proofErr w:type="spellEnd"/>
      <w:r w:rsidR="00DD3CC4">
        <w:rPr>
          <w:sz w:val="24"/>
          <w:szCs w:val="24"/>
        </w:rPr>
        <w:t xml:space="preserve"> and other trinkets that were available to pilgrims is evidence, as well as the texts describing it, of Thomas’ popularity as a Saint with ordinary people. </w:t>
      </w:r>
    </w:p>
    <w:p w14:paraId="4DBF6CEB" w14:textId="4BD5E379" w:rsidR="00B40716" w:rsidRDefault="00271BF7" w:rsidP="005D5FF6">
      <w:pPr>
        <w:jc w:val="both"/>
        <w:rPr>
          <w:sz w:val="24"/>
          <w:szCs w:val="24"/>
        </w:rPr>
      </w:pPr>
      <w:r>
        <w:rPr>
          <w:sz w:val="24"/>
          <w:szCs w:val="24"/>
        </w:rPr>
        <w:t>The principal comparative imagery, which all medieval readers would have understood, was to Jesus. John of Salisbury</w:t>
      </w:r>
      <w:r>
        <w:rPr>
          <w:rStyle w:val="FootnoteReference"/>
          <w:sz w:val="24"/>
          <w:szCs w:val="24"/>
        </w:rPr>
        <w:footnoteReference w:id="4"/>
      </w:r>
      <w:r>
        <w:rPr>
          <w:sz w:val="24"/>
          <w:szCs w:val="24"/>
        </w:rPr>
        <w:t xml:space="preserve"> specifically drew attention to the parallel of Jesus in a letter following Thomas’ death, describing</w:t>
      </w:r>
      <w:r w:rsidR="001B263E">
        <w:rPr>
          <w:sz w:val="24"/>
          <w:szCs w:val="24"/>
        </w:rPr>
        <w:t xml:space="preserve"> in relation to Thomas’ miracles</w:t>
      </w:r>
      <w:r>
        <w:rPr>
          <w:sz w:val="24"/>
          <w:szCs w:val="24"/>
        </w:rPr>
        <w:t xml:space="preserve"> how ‘the paralyzed are cured, the blind </w:t>
      </w:r>
      <w:proofErr w:type="gramStart"/>
      <w:r>
        <w:rPr>
          <w:sz w:val="24"/>
          <w:szCs w:val="24"/>
        </w:rPr>
        <w:t>see</w:t>
      </w:r>
      <w:proofErr w:type="gramEnd"/>
      <w:r>
        <w:rPr>
          <w:sz w:val="24"/>
          <w:szCs w:val="24"/>
        </w:rPr>
        <w:t>, the deaf hear, the mute speak, the crippled walk….’ which reminds the reader for example of Mark 7v</w:t>
      </w:r>
      <w:r w:rsidR="00C338A9">
        <w:rPr>
          <w:sz w:val="24"/>
          <w:szCs w:val="24"/>
        </w:rPr>
        <w:t xml:space="preserve">37 ‘he even makes the deaf hear and the dumb speak’. </w:t>
      </w:r>
      <w:r w:rsidR="00DD3CC4">
        <w:rPr>
          <w:sz w:val="24"/>
          <w:szCs w:val="24"/>
        </w:rPr>
        <w:t>Jesus came from a humble background, as Thomas was also perceived to have done. Thomas had suffered in exile for the sake of his beliefs, and these ideas enabled further comparisons with Jesus to be drawn.</w:t>
      </w:r>
      <w:r w:rsidR="00173358">
        <w:rPr>
          <w:sz w:val="24"/>
          <w:szCs w:val="24"/>
        </w:rPr>
        <w:t xml:space="preserve"> Herbert of Bosham also references the poor in comparing Thomas to Jesus </w:t>
      </w:r>
      <w:r w:rsidR="0017057E">
        <w:rPr>
          <w:sz w:val="24"/>
          <w:szCs w:val="24"/>
        </w:rPr>
        <w:t>–</w:t>
      </w:r>
      <w:r w:rsidR="00173358">
        <w:rPr>
          <w:sz w:val="24"/>
          <w:szCs w:val="24"/>
        </w:rPr>
        <w:t xml:space="preserve"> </w:t>
      </w:r>
      <w:r w:rsidR="0017057E">
        <w:rPr>
          <w:sz w:val="24"/>
          <w:szCs w:val="24"/>
        </w:rPr>
        <w:t>‘he with his passion now imminent, among the boys and the infants and the poor</w:t>
      </w:r>
      <w:proofErr w:type="gramStart"/>
      <w:r w:rsidR="00B45A33">
        <w:rPr>
          <w:sz w:val="24"/>
          <w:szCs w:val="24"/>
        </w:rPr>
        <w:t>….</w:t>
      </w:r>
      <w:r w:rsidR="00FA16B8">
        <w:rPr>
          <w:sz w:val="24"/>
          <w:szCs w:val="24"/>
        </w:rPr>
        <w:t>He</w:t>
      </w:r>
      <w:proofErr w:type="gramEnd"/>
      <w:r w:rsidR="00FA16B8">
        <w:rPr>
          <w:sz w:val="24"/>
          <w:szCs w:val="24"/>
        </w:rPr>
        <w:t xml:space="preserve"> who once died at Jerusalem to save the whole world had come again to die at Canterbury for the English Church</w:t>
      </w:r>
      <w:r w:rsidR="00375713">
        <w:rPr>
          <w:sz w:val="24"/>
          <w:szCs w:val="24"/>
        </w:rPr>
        <w:t>’</w:t>
      </w:r>
      <w:r w:rsidR="00375713">
        <w:rPr>
          <w:rStyle w:val="FootnoteReference"/>
          <w:sz w:val="24"/>
          <w:szCs w:val="24"/>
        </w:rPr>
        <w:footnoteReference w:id="5"/>
      </w:r>
      <w:r w:rsidR="00375713">
        <w:rPr>
          <w:sz w:val="24"/>
          <w:szCs w:val="24"/>
        </w:rPr>
        <w:t>.</w:t>
      </w:r>
    </w:p>
    <w:p w14:paraId="621BF1BE" w14:textId="181F1749" w:rsidR="00C338A9" w:rsidRDefault="00C338A9" w:rsidP="005D5FF6">
      <w:pPr>
        <w:jc w:val="both"/>
        <w:rPr>
          <w:sz w:val="24"/>
          <w:szCs w:val="24"/>
        </w:rPr>
      </w:pPr>
      <w:r>
        <w:rPr>
          <w:sz w:val="24"/>
          <w:szCs w:val="24"/>
        </w:rPr>
        <w:t xml:space="preserve">Although the Countess of </w:t>
      </w:r>
      <w:proofErr w:type="spellStart"/>
      <w:r>
        <w:rPr>
          <w:sz w:val="24"/>
          <w:szCs w:val="24"/>
        </w:rPr>
        <w:t>Warenne</w:t>
      </w:r>
      <w:proofErr w:type="spellEnd"/>
      <w:r>
        <w:rPr>
          <w:sz w:val="24"/>
          <w:szCs w:val="24"/>
        </w:rPr>
        <w:t xml:space="preserve">, or other private owner, being wealthy and privileged, may not have </w:t>
      </w:r>
      <w:r w:rsidR="008F3F5F">
        <w:rPr>
          <w:sz w:val="24"/>
          <w:szCs w:val="24"/>
        </w:rPr>
        <w:t xml:space="preserve">fully </w:t>
      </w:r>
      <w:r w:rsidR="001B263E">
        <w:rPr>
          <w:sz w:val="24"/>
          <w:szCs w:val="24"/>
        </w:rPr>
        <w:t>identified with</w:t>
      </w:r>
      <w:r>
        <w:rPr>
          <w:sz w:val="24"/>
          <w:szCs w:val="24"/>
        </w:rPr>
        <w:t xml:space="preserve"> Thomas’ appeal to the poor of the 12</w:t>
      </w:r>
      <w:r w:rsidRPr="00C338A9">
        <w:rPr>
          <w:sz w:val="24"/>
          <w:szCs w:val="24"/>
          <w:vertAlign w:val="superscript"/>
        </w:rPr>
        <w:t>th</w:t>
      </w:r>
      <w:r>
        <w:rPr>
          <w:sz w:val="24"/>
          <w:szCs w:val="24"/>
        </w:rPr>
        <w:t xml:space="preserve"> century, she would most certainly have understood the comparison to Jesus, who had also laid down his life in the face of oppression. The image therefore makes clear that Thomas is the champion of the poor, standing up for the rights of the Church. The Church had a duty to take care of all souls within its flock, not just the wealthy and powerful ones.</w:t>
      </w:r>
    </w:p>
    <w:p w14:paraId="3BAB4CE9" w14:textId="7538EEF2" w:rsidR="008F3F5F" w:rsidRPr="008F3F5F" w:rsidRDefault="008F3F5F" w:rsidP="005D5FF6">
      <w:pPr>
        <w:jc w:val="both"/>
        <w:rPr>
          <w:b/>
          <w:bCs/>
          <w:sz w:val="24"/>
          <w:szCs w:val="24"/>
        </w:rPr>
      </w:pPr>
      <w:r>
        <w:rPr>
          <w:b/>
          <w:bCs/>
          <w:sz w:val="24"/>
          <w:szCs w:val="24"/>
        </w:rPr>
        <w:t>Context</w:t>
      </w:r>
    </w:p>
    <w:p w14:paraId="34D62F00" w14:textId="215D9728" w:rsidR="00DD3CC4" w:rsidRDefault="00DD3CC4" w:rsidP="005D5FF6">
      <w:pPr>
        <w:jc w:val="both"/>
        <w:rPr>
          <w:sz w:val="24"/>
          <w:szCs w:val="24"/>
        </w:rPr>
      </w:pPr>
      <w:r>
        <w:rPr>
          <w:sz w:val="24"/>
          <w:szCs w:val="24"/>
        </w:rPr>
        <w:t xml:space="preserve">The Church was undergoing significant reform and upheaval in this period. Reformist theologians were not only trying to extend the reach of the Pope but also to strip the Church </w:t>
      </w:r>
      <w:r w:rsidR="006409CC">
        <w:rPr>
          <w:sz w:val="24"/>
          <w:szCs w:val="24"/>
        </w:rPr>
        <w:t xml:space="preserve">and its officers </w:t>
      </w:r>
      <w:r>
        <w:rPr>
          <w:sz w:val="24"/>
          <w:szCs w:val="24"/>
        </w:rPr>
        <w:t>of pomp, politicis</w:t>
      </w:r>
      <w:r w:rsidR="006409CC">
        <w:rPr>
          <w:sz w:val="24"/>
          <w:szCs w:val="24"/>
        </w:rPr>
        <w:t>ation</w:t>
      </w:r>
      <w:r>
        <w:rPr>
          <w:sz w:val="24"/>
          <w:szCs w:val="24"/>
        </w:rPr>
        <w:t xml:space="preserve"> and pretension and refocus onto the fulfilment of Scripture. Thomas as the defender of the Church and man of the people fitted the image that reformers were trying to convey. The Thomas that emerged following his martyrdom </w:t>
      </w:r>
      <w:r>
        <w:rPr>
          <w:sz w:val="24"/>
          <w:szCs w:val="24"/>
        </w:rPr>
        <w:lastRenderedPageBreak/>
        <w:t xml:space="preserve">therefore became useful and recognisable as an example of right living, these notions </w:t>
      </w:r>
      <w:r w:rsidR="001B263E">
        <w:rPr>
          <w:sz w:val="24"/>
          <w:szCs w:val="24"/>
        </w:rPr>
        <w:t>were made clear in</w:t>
      </w:r>
      <w:r>
        <w:rPr>
          <w:sz w:val="24"/>
          <w:szCs w:val="24"/>
        </w:rPr>
        <w:t xml:space="preserve"> this and other images. In the same way that the illustrator was using the image to make a statement, he was doing so forearmed with the understanding of how a reader would be likely to interpret the image.</w:t>
      </w:r>
    </w:p>
    <w:p w14:paraId="06CAFC75" w14:textId="5C995CA0" w:rsidR="008F3F5F" w:rsidRDefault="008F3F5F" w:rsidP="008F3F5F">
      <w:pPr>
        <w:jc w:val="both"/>
        <w:rPr>
          <w:sz w:val="24"/>
          <w:szCs w:val="24"/>
        </w:rPr>
      </w:pPr>
      <w:r>
        <w:rPr>
          <w:sz w:val="24"/>
          <w:szCs w:val="24"/>
        </w:rPr>
        <w:t>At th</w:t>
      </w:r>
      <w:r w:rsidR="001B263E">
        <w:rPr>
          <w:sz w:val="24"/>
          <w:szCs w:val="24"/>
        </w:rPr>
        <w:t xml:space="preserve">e </w:t>
      </w:r>
      <w:proofErr w:type="spellStart"/>
      <w:r w:rsidR="001B263E">
        <w:rPr>
          <w:sz w:val="24"/>
          <w:szCs w:val="24"/>
        </w:rPr>
        <w:t>Montmirail</w:t>
      </w:r>
      <w:proofErr w:type="spellEnd"/>
      <w:r>
        <w:rPr>
          <w:sz w:val="24"/>
          <w:szCs w:val="24"/>
        </w:rPr>
        <w:t xml:space="preserve"> peace conference Thomas had been expected to submit to King Henry and promise to accept the ancestral customs without reservation. In the end</w:t>
      </w:r>
      <w:r w:rsidR="00825008">
        <w:rPr>
          <w:sz w:val="24"/>
          <w:szCs w:val="24"/>
        </w:rPr>
        <w:t>, he</w:t>
      </w:r>
      <w:r>
        <w:rPr>
          <w:sz w:val="24"/>
          <w:szCs w:val="24"/>
        </w:rPr>
        <w:t xml:space="preserve"> added the contentious clause ‘saving God’s honour’</w:t>
      </w:r>
      <w:r w:rsidR="00B61B90">
        <w:rPr>
          <w:sz w:val="24"/>
          <w:szCs w:val="24"/>
        </w:rPr>
        <w:t>,</w:t>
      </w:r>
      <w:r>
        <w:rPr>
          <w:sz w:val="24"/>
          <w:szCs w:val="24"/>
        </w:rPr>
        <w:t xml:space="preserve"> which had sent Henry into a blind fury. </w:t>
      </w:r>
      <w:r w:rsidR="000704DD">
        <w:rPr>
          <w:sz w:val="24"/>
          <w:szCs w:val="24"/>
        </w:rPr>
        <w:t xml:space="preserve">Presenting </w:t>
      </w:r>
      <w:r>
        <w:rPr>
          <w:sz w:val="24"/>
          <w:szCs w:val="24"/>
        </w:rPr>
        <w:t xml:space="preserve">the image of Thomas looking strong, determined and choosing to bless the poor and stand up for the rights of the Church rather than bow to secular pressure, </w:t>
      </w:r>
      <w:r w:rsidR="001344CF">
        <w:rPr>
          <w:sz w:val="24"/>
          <w:szCs w:val="24"/>
        </w:rPr>
        <w:t xml:space="preserve">tells </w:t>
      </w:r>
      <w:r>
        <w:rPr>
          <w:sz w:val="24"/>
          <w:szCs w:val="24"/>
        </w:rPr>
        <w:t>the reader</w:t>
      </w:r>
      <w:r w:rsidR="00020280">
        <w:rPr>
          <w:sz w:val="24"/>
          <w:szCs w:val="24"/>
        </w:rPr>
        <w:t xml:space="preserve"> that ri</w:t>
      </w:r>
      <w:r>
        <w:rPr>
          <w:sz w:val="24"/>
          <w:szCs w:val="24"/>
        </w:rPr>
        <w:t>ght was on Thomas’ side. This is something that, at the time of the talks themselves, was far from an agreed point of view!</w:t>
      </w:r>
    </w:p>
    <w:p w14:paraId="4AA70E24" w14:textId="77777777" w:rsidR="00783F2D" w:rsidRDefault="00783F2D" w:rsidP="008F3F5F">
      <w:pPr>
        <w:jc w:val="both"/>
        <w:rPr>
          <w:sz w:val="24"/>
          <w:szCs w:val="24"/>
        </w:rPr>
      </w:pPr>
    </w:p>
    <w:p w14:paraId="6F0AA78F" w14:textId="1FBF17E3" w:rsidR="008F3F5F" w:rsidRPr="008F3F5F" w:rsidRDefault="008F3F5F" w:rsidP="005D5FF6">
      <w:pPr>
        <w:jc w:val="both"/>
        <w:rPr>
          <w:b/>
          <w:bCs/>
          <w:sz w:val="24"/>
          <w:szCs w:val="24"/>
        </w:rPr>
      </w:pPr>
      <w:r>
        <w:rPr>
          <w:b/>
          <w:bCs/>
          <w:sz w:val="24"/>
          <w:szCs w:val="24"/>
        </w:rPr>
        <w:t>Conclusion</w:t>
      </w:r>
    </w:p>
    <w:p w14:paraId="0550D7D2" w14:textId="002B62D3" w:rsidR="006409CC" w:rsidRDefault="006409CC" w:rsidP="005D5FF6">
      <w:pPr>
        <w:jc w:val="both"/>
        <w:rPr>
          <w:sz w:val="24"/>
          <w:szCs w:val="24"/>
        </w:rPr>
      </w:pPr>
      <w:r>
        <w:rPr>
          <w:sz w:val="24"/>
          <w:szCs w:val="24"/>
        </w:rPr>
        <w:t>The Thomas cult was popular as it could speak to everyone,</w:t>
      </w:r>
      <w:r w:rsidR="008F3F5F">
        <w:rPr>
          <w:sz w:val="24"/>
          <w:szCs w:val="24"/>
        </w:rPr>
        <w:t xml:space="preserve"> from pauper to king.</w:t>
      </w:r>
      <w:r>
        <w:rPr>
          <w:sz w:val="24"/>
          <w:szCs w:val="24"/>
        </w:rPr>
        <w:t xml:space="preserve"> Thomas’ miracles extended to </w:t>
      </w:r>
      <w:r w:rsidR="008F3F5F">
        <w:rPr>
          <w:sz w:val="24"/>
          <w:szCs w:val="24"/>
        </w:rPr>
        <w:t>everyone, including to Henry himself, whose army captured the king of the Scots on the day of Henry’s pilgrimage to Thomas’ tomb</w:t>
      </w:r>
      <w:r>
        <w:rPr>
          <w:sz w:val="24"/>
          <w:szCs w:val="24"/>
        </w:rPr>
        <w:t>. The folio 2v images, and the others in the Becket Leaves, were designed for private view by a wealthy owner, who would have appreciated the importance of Thomas as a new saint for a new time, who stood up for God’s law rather than following secular orders, who could be relied upon beyond the grave and who became a model of correct behaviour for all to aspire to</w:t>
      </w:r>
      <w:r w:rsidR="008F3F5F">
        <w:rPr>
          <w:sz w:val="24"/>
          <w:szCs w:val="24"/>
        </w:rPr>
        <w:t>wards</w:t>
      </w:r>
      <w:r>
        <w:rPr>
          <w:sz w:val="24"/>
          <w:szCs w:val="24"/>
        </w:rPr>
        <w:t>.</w:t>
      </w:r>
    </w:p>
    <w:p w14:paraId="16BED5A6" w14:textId="77777777" w:rsidR="00F67D7E" w:rsidRDefault="00F67D7E" w:rsidP="005D5FF6">
      <w:pPr>
        <w:jc w:val="both"/>
        <w:rPr>
          <w:sz w:val="24"/>
          <w:szCs w:val="24"/>
        </w:rPr>
      </w:pPr>
    </w:p>
    <w:p w14:paraId="34FE96BC" w14:textId="2B96B45D" w:rsidR="00F67D7E" w:rsidRDefault="00F67D7E" w:rsidP="005D5FF6">
      <w:pPr>
        <w:jc w:val="both"/>
        <w:rPr>
          <w:b/>
          <w:bCs/>
          <w:sz w:val="24"/>
          <w:szCs w:val="24"/>
        </w:rPr>
      </w:pPr>
      <w:r>
        <w:rPr>
          <w:b/>
          <w:bCs/>
          <w:sz w:val="24"/>
          <w:szCs w:val="24"/>
        </w:rPr>
        <w:t>Bibliography of Works Consulted</w:t>
      </w:r>
    </w:p>
    <w:p w14:paraId="6CDED634" w14:textId="3E9EB74E" w:rsidR="00223202" w:rsidRDefault="0090722F" w:rsidP="005D5FF6">
      <w:pPr>
        <w:jc w:val="both"/>
        <w:rPr>
          <w:sz w:val="24"/>
          <w:szCs w:val="24"/>
        </w:rPr>
      </w:pPr>
      <w:r w:rsidRPr="0090722F">
        <w:rPr>
          <w:sz w:val="24"/>
          <w:szCs w:val="24"/>
        </w:rPr>
        <w:t xml:space="preserve">Backhouse, J. and de Hamel, C., </w:t>
      </w:r>
      <w:r w:rsidRPr="0090722F">
        <w:rPr>
          <w:i/>
          <w:iCs/>
          <w:sz w:val="24"/>
          <w:szCs w:val="24"/>
        </w:rPr>
        <w:t xml:space="preserve">The Becket Leaves </w:t>
      </w:r>
      <w:r w:rsidRPr="0090722F">
        <w:rPr>
          <w:sz w:val="24"/>
          <w:szCs w:val="24"/>
        </w:rPr>
        <w:t>(London, The British Library, 1988)</w:t>
      </w:r>
    </w:p>
    <w:p w14:paraId="6838B41B" w14:textId="4511F9C8" w:rsidR="00C64A0A" w:rsidRPr="007C60AC" w:rsidRDefault="00C64A0A" w:rsidP="005D5FF6">
      <w:pPr>
        <w:jc w:val="both"/>
        <w:rPr>
          <w:b/>
          <w:bCs/>
          <w:sz w:val="24"/>
          <w:szCs w:val="24"/>
        </w:rPr>
      </w:pPr>
      <w:r>
        <w:rPr>
          <w:sz w:val="24"/>
          <w:szCs w:val="24"/>
        </w:rPr>
        <w:t xml:space="preserve">Barlow, </w:t>
      </w:r>
      <w:r w:rsidR="007C60AC">
        <w:rPr>
          <w:sz w:val="24"/>
          <w:szCs w:val="24"/>
        </w:rPr>
        <w:t xml:space="preserve">F., </w:t>
      </w:r>
      <w:r w:rsidR="007C60AC">
        <w:rPr>
          <w:i/>
          <w:iCs/>
          <w:sz w:val="24"/>
          <w:szCs w:val="24"/>
        </w:rPr>
        <w:t xml:space="preserve">Thomas Becket </w:t>
      </w:r>
      <w:r w:rsidR="007C60AC">
        <w:rPr>
          <w:sz w:val="24"/>
          <w:szCs w:val="24"/>
        </w:rPr>
        <w:t>(</w:t>
      </w:r>
      <w:r w:rsidR="00166285">
        <w:rPr>
          <w:sz w:val="24"/>
          <w:szCs w:val="24"/>
        </w:rPr>
        <w:t>London, Phoenix Press,</w:t>
      </w:r>
      <w:r w:rsidR="002E0984">
        <w:rPr>
          <w:sz w:val="24"/>
          <w:szCs w:val="24"/>
        </w:rPr>
        <w:t xml:space="preserve"> 2000)</w:t>
      </w:r>
    </w:p>
    <w:p w14:paraId="32BCC987" w14:textId="4CC1A0A9" w:rsidR="00F67D7E" w:rsidRDefault="00223202" w:rsidP="005D5FF6">
      <w:pPr>
        <w:jc w:val="both"/>
        <w:rPr>
          <w:sz w:val="24"/>
          <w:szCs w:val="24"/>
        </w:rPr>
      </w:pPr>
      <w:r w:rsidRPr="0090722F">
        <w:rPr>
          <w:sz w:val="24"/>
          <w:szCs w:val="24"/>
        </w:rPr>
        <w:t xml:space="preserve">Duggan, A., </w:t>
      </w:r>
      <w:r w:rsidRPr="0090722F">
        <w:rPr>
          <w:i/>
          <w:iCs/>
          <w:sz w:val="24"/>
          <w:szCs w:val="24"/>
        </w:rPr>
        <w:t xml:space="preserve">Thomas Becket </w:t>
      </w:r>
      <w:r w:rsidRPr="0090722F">
        <w:rPr>
          <w:sz w:val="24"/>
          <w:szCs w:val="24"/>
        </w:rPr>
        <w:t>(London, Hodder Education, 2004)</w:t>
      </w:r>
    </w:p>
    <w:p w14:paraId="199DFDE7" w14:textId="11D146F1" w:rsidR="002E0984" w:rsidRPr="008E3219" w:rsidRDefault="002E0984" w:rsidP="005D5FF6">
      <w:pPr>
        <w:jc w:val="both"/>
        <w:rPr>
          <w:sz w:val="24"/>
          <w:szCs w:val="24"/>
        </w:rPr>
      </w:pPr>
      <w:r>
        <w:rPr>
          <w:sz w:val="24"/>
          <w:szCs w:val="24"/>
        </w:rPr>
        <w:t>Guy, John</w:t>
      </w:r>
      <w:r w:rsidR="00D00D83">
        <w:rPr>
          <w:sz w:val="24"/>
          <w:szCs w:val="24"/>
        </w:rPr>
        <w:t xml:space="preserve">., </w:t>
      </w:r>
      <w:r w:rsidR="00D00D83">
        <w:rPr>
          <w:i/>
          <w:iCs/>
          <w:sz w:val="24"/>
          <w:szCs w:val="24"/>
        </w:rPr>
        <w:t>Thomas Becket</w:t>
      </w:r>
      <w:r w:rsidR="008E3219">
        <w:rPr>
          <w:i/>
          <w:iCs/>
          <w:sz w:val="24"/>
          <w:szCs w:val="24"/>
        </w:rPr>
        <w:t xml:space="preserve"> </w:t>
      </w:r>
      <w:r w:rsidR="008E3219">
        <w:rPr>
          <w:sz w:val="24"/>
          <w:szCs w:val="24"/>
        </w:rPr>
        <w:t>(London, Penguin, 2013)</w:t>
      </w:r>
      <w:r w:rsidR="00C46E05">
        <w:rPr>
          <w:sz w:val="24"/>
          <w:szCs w:val="24"/>
        </w:rPr>
        <w:t xml:space="preserve"> </w:t>
      </w:r>
    </w:p>
    <w:p w14:paraId="6AA3FC16" w14:textId="3F27A3B7" w:rsidR="0008368B" w:rsidRPr="00C57F92" w:rsidRDefault="0008368B" w:rsidP="005D5FF6">
      <w:pPr>
        <w:jc w:val="both"/>
        <w:rPr>
          <w:sz w:val="24"/>
          <w:szCs w:val="24"/>
        </w:rPr>
      </w:pPr>
      <w:r>
        <w:rPr>
          <w:sz w:val="24"/>
          <w:szCs w:val="24"/>
        </w:rPr>
        <w:t xml:space="preserve">Knowles, D., </w:t>
      </w:r>
      <w:r w:rsidR="00C57F92">
        <w:rPr>
          <w:i/>
          <w:iCs/>
          <w:sz w:val="24"/>
          <w:szCs w:val="24"/>
        </w:rPr>
        <w:t xml:space="preserve">Thomas Becket </w:t>
      </w:r>
      <w:r w:rsidR="00C57F92">
        <w:rPr>
          <w:sz w:val="24"/>
          <w:szCs w:val="24"/>
        </w:rPr>
        <w:t xml:space="preserve">(London, A. &amp; C. </w:t>
      </w:r>
      <w:r w:rsidR="00C64A0A">
        <w:rPr>
          <w:sz w:val="24"/>
          <w:szCs w:val="24"/>
        </w:rPr>
        <w:t>Black Ltd, 1970)</w:t>
      </w:r>
    </w:p>
    <w:p w14:paraId="47F58966" w14:textId="0689E761" w:rsidR="0090722F" w:rsidRDefault="0090722F" w:rsidP="005D5FF6">
      <w:pPr>
        <w:jc w:val="both"/>
        <w:rPr>
          <w:sz w:val="24"/>
          <w:szCs w:val="24"/>
        </w:rPr>
      </w:pPr>
      <w:r w:rsidRPr="0090722F">
        <w:rPr>
          <w:sz w:val="24"/>
          <w:szCs w:val="24"/>
        </w:rPr>
        <w:t xml:space="preserve">Staunton, M., </w:t>
      </w:r>
      <w:r w:rsidRPr="0090722F">
        <w:rPr>
          <w:i/>
          <w:iCs/>
          <w:sz w:val="24"/>
          <w:szCs w:val="24"/>
        </w:rPr>
        <w:t xml:space="preserve">The Lives of Thomas Becket, selected sources (translated and annotated) </w:t>
      </w:r>
      <w:r w:rsidRPr="0090722F">
        <w:rPr>
          <w:sz w:val="24"/>
          <w:szCs w:val="24"/>
        </w:rPr>
        <w:t>(Manchester, Manchester University Press, 2001)</w:t>
      </w:r>
    </w:p>
    <w:p w14:paraId="0A708617" w14:textId="0CF91800" w:rsidR="00BE378D" w:rsidRDefault="00BE378D" w:rsidP="005D5FF6">
      <w:pPr>
        <w:jc w:val="both"/>
        <w:rPr>
          <w:sz w:val="24"/>
          <w:szCs w:val="24"/>
        </w:rPr>
      </w:pPr>
      <w:r>
        <w:rPr>
          <w:sz w:val="24"/>
          <w:szCs w:val="24"/>
        </w:rPr>
        <w:t xml:space="preserve">Staunton, M., </w:t>
      </w:r>
      <w:r>
        <w:rPr>
          <w:i/>
          <w:iCs/>
          <w:sz w:val="24"/>
          <w:szCs w:val="24"/>
        </w:rPr>
        <w:t xml:space="preserve">Thomas Becket and his Biographers </w:t>
      </w:r>
      <w:r>
        <w:rPr>
          <w:sz w:val="24"/>
          <w:szCs w:val="24"/>
        </w:rPr>
        <w:t>(Woodbridge, Boydell Press, 2006</w:t>
      </w:r>
      <w:r w:rsidR="008E2001">
        <w:rPr>
          <w:sz w:val="24"/>
          <w:szCs w:val="24"/>
        </w:rPr>
        <w:t>)</w:t>
      </w:r>
    </w:p>
    <w:p w14:paraId="57EF862A" w14:textId="5EFE70E8" w:rsidR="00A10CD9" w:rsidRPr="00BE378D" w:rsidRDefault="00A10CD9" w:rsidP="005D5FF6">
      <w:pPr>
        <w:jc w:val="both"/>
        <w:rPr>
          <w:b/>
          <w:bCs/>
          <w:sz w:val="24"/>
          <w:szCs w:val="24"/>
        </w:rPr>
      </w:pPr>
      <w:r w:rsidRPr="00A10CD9">
        <w:lastRenderedPageBreak/>
        <w:drawing>
          <wp:anchor distT="0" distB="0" distL="114300" distR="114300" simplePos="0" relativeHeight="251658240" behindDoc="0" locked="0" layoutInCell="1" allowOverlap="1" wp14:anchorId="623E4EA5" wp14:editId="431FA078">
            <wp:simplePos x="0" y="0"/>
            <wp:positionH relativeFrom="margin">
              <wp:align>right</wp:align>
            </wp:positionH>
            <wp:positionV relativeFrom="paragraph">
              <wp:posOffset>0</wp:posOffset>
            </wp:positionV>
            <wp:extent cx="5731510" cy="7642225"/>
            <wp:effectExtent l="0" t="0" r="254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sectPr w:rsidR="00A10CD9" w:rsidRPr="00BE378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92FC9" w14:textId="77777777" w:rsidR="00C33A49" w:rsidRDefault="00C33A49" w:rsidP="00C33A49">
      <w:pPr>
        <w:spacing w:after="0" w:line="240" w:lineRule="auto"/>
      </w:pPr>
      <w:r>
        <w:separator/>
      </w:r>
    </w:p>
  </w:endnote>
  <w:endnote w:type="continuationSeparator" w:id="0">
    <w:p w14:paraId="2BFD1D42" w14:textId="77777777" w:rsidR="00C33A49" w:rsidRDefault="00C33A49" w:rsidP="00C33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60EA9" w14:textId="77777777" w:rsidR="00C33A49" w:rsidRDefault="00C33A49" w:rsidP="00C33A49">
      <w:pPr>
        <w:spacing w:after="0" w:line="240" w:lineRule="auto"/>
      </w:pPr>
      <w:r>
        <w:separator/>
      </w:r>
    </w:p>
  </w:footnote>
  <w:footnote w:type="continuationSeparator" w:id="0">
    <w:p w14:paraId="548EDDED" w14:textId="77777777" w:rsidR="00C33A49" w:rsidRDefault="00C33A49" w:rsidP="00C33A49">
      <w:pPr>
        <w:spacing w:after="0" w:line="240" w:lineRule="auto"/>
      </w:pPr>
      <w:r>
        <w:continuationSeparator/>
      </w:r>
    </w:p>
  </w:footnote>
  <w:footnote w:id="1">
    <w:p w14:paraId="36714A26" w14:textId="302622B0" w:rsidR="00C33A49" w:rsidRPr="00C33A49" w:rsidRDefault="00C33A49">
      <w:pPr>
        <w:pStyle w:val="FootnoteText"/>
      </w:pPr>
      <w:r>
        <w:rPr>
          <w:rStyle w:val="FootnoteReference"/>
        </w:rPr>
        <w:footnoteRef/>
      </w:r>
      <w:r>
        <w:t xml:space="preserve"> </w:t>
      </w:r>
      <w:bookmarkStart w:id="0" w:name="_Hlk88039356"/>
      <w:r>
        <w:t>Backhouse</w:t>
      </w:r>
      <w:r w:rsidR="00677081">
        <w:t>, J.</w:t>
      </w:r>
      <w:r>
        <w:t xml:space="preserve"> and</w:t>
      </w:r>
      <w:r w:rsidR="00677081">
        <w:t xml:space="preserve"> </w:t>
      </w:r>
      <w:r>
        <w:t>de Hamel,</w:t>
      </w:r>
      <w:r w:rsidR="00677081">
        <w:t xml:space="preserve"> C.</w:t>
      </w:r>
      <w:r w:rsidR="00A24093">
        <w:t>,</w:t>
      </w:r>
      <w:r>
        <w:t xml:space="preserve"> </w:t>
      </w:r>
      <w:r>
        <w:rPr>
          <w:i/>
          <w:iCs/>
        </w:rPr>
        <w:t xml:space="preserve">The Becket Leaves </w:t>
      </w:r>
      <w:r>
        <w:t>(</w:t>
      </w:r>
      <w:r w:rsidR="00367E83">
        <w:t xml:space="preserve">London, </w:t>
      </w:r>
      <w:r>
        <w:t>The British Library, 1988)</w:t>
      </w:r>
      <w:r w:rsidR="00FF0935">
        <w:t xml:space="preserve"> </w:t>
      </w:r>
      <w:bookmarkEnd w:id="0"/>
      <w:r w:rsidR="00FF0935">
        <w:t>p</w:t>
      </w:r>
      <w:r w:rsidR="00B718FD">
        <w:t xml:space="preserve"> 19</w:t>
      </w:r>
    </w:p>
  </w:footnote>
  <w:footnote w:id="2">
    <w:p w14:paraId="4E378CE6" w14:textId="5FBC0088" w:rsidR="00FC700E" w:rsidRPr="00FC700E" w:rsidRDefault="00FC700E">
      <w:pPr>
        <w:pStyle w:val="FootnoteText"/>
      </w:pPr>
      <w:r>
        <w:rPr>
          <w:rStyle w:val="FootnoteReference"/>
        </w:rPr>
        <w:footnoteRef/>
      </w:r>
      <w:r>
        <w:t xml:space="preserve"> Herbert of Bosham, from </w:t>
      </w:r>
      <w:bookmarkStart w:id="1" w:name="_Hlk88039371"/>
      <w:r>
        <w:t>Staunton, M</w:t>
      </w:r>
      <w:r w:rsidR="00A24093">
        <w:t>.</w:t>
      </w:r>
      <w:r>
        <w:t xml:space="preserve">, </w:t>
      </w:r>
      <w:r>
        <w:rPr>
          <w:i/>
          <w:iCs/>
        </w:rPr>
        <w:t xml:space="preserve">The Lives of Thomas Becket, selected sources (translated and annotated) </w:t>
      </w:r>
      <w:r>
        <w:t xml:space="preserve">(Manchester, Manchester University Press, 2001) </w:t>
      </w:r>
      <w:bookmarkEnd w:id="1"/>
      <w:r>
        <w:t>p154-162</w:t>
      </w:r>
    </w:p>
  </w:footnote>
  <w:footnote w:id="3">
    <w:p w14:paraId="26A507CE" w14:textId="1F57C4B3" w:rsidR="00902BB3" w:rsidRPr="00261F68" w:rsidRDefault="00902BB3">
      <w:pPr>
        <w:pStyle w:val="FootnoteText"/>
      </w:pPr>
      <w:r>
        <w:rPr>
          <w:rStyle w:val="FootnoteReference"/>
        </w:rPr>
        <w:footnoteRef/>
      </w:r>
      <w:r>
        <w:t xml:space="preserve"> </w:t>
      </w:r>
      <w:r w:rsidR="00261F68">
        <w:t xml:space="preserve">Knowles, D., </w:t>
      </w:r>
      <w:r w:rsidR="00261F68">
        <w:rPr>
          <w:i/>
          <w:iCs/>
        </w:rPr>
        <w:t xml:space="preserve">Thomas Becket </w:t>
      </w:r>
      <w:r w:rsidR="00261F68">
        <w:t>(London, A</w:t>
      </w:r>
      <w:r w:rsidR="002B22E3">
        <w:t>. &amp; C. Black Ltd, 1970) p134</w:t>
      </w:r>
    </w:p>
  </w:footnote>
  <w:footnote w:id="4">
    <w:p w14:paraId="54856AFB" w14:textId="187272CD" w:rsidR="00271BF7" w:rsidRDefault="00271BF7">
      <w:pPr>
        <w:pStyle w:val="FootnoteText"/>
      </w:pPr>
      <w:r>
        <w:rPr>
          <w:rStyle w:val="FootnoteReference"/>
        </w:rPr>
        <w:footnoteRef/>
      </w:r>
      <w:r>
        <w:t xml:space="preserve"> </w:t>
      </w:r>
      <w:r w:rsidR="008F3F5F">
        <w:t xml:space="preserve">see </w:t>
      </w:r>
      <w:r>
        <w:t>Duggan</w:t>
      </w:r>
      <w:r w:rsidR="008F3F5F">
        <w:t>, A</w:t>
      </w:r>
      <w:r w:rsidR="00A24093">
        <w:t>.</w:t>
      </w:r>
      <w:r w:rsidR="008F3F5F">
        <w:t xml:space="preserve">, </w:t>
      </w:r>
      <w:r w:rsidR="008F3F5F">
        <w:rPr>
          <w:i/>
          <w:iCs/>
        </w:rPr>
        <w:t xml:space="preserve">Thomas Becket </w:t>
      </w:r>
      <w:r w:rsidR="008F3F5F">
        <w:t>(London, Hodder Education, 2004)</w:t>
      </w:r>
      <w:r>
        <w:t xml:space="preserve"> p 227-228                          </w:t>
      </w:r>
    </w:p>
  </w:footnote>
  <w:footnote w:id="5">
    <w:p w14:paraId="67848394" w14:textId="502121E0" w:rsidR="00375713" w:rsidRPr="00F35588" w:rsidRDefault="00375713">
      <w:pPr>
        <w:pStyle w:val="FootnoteText"/>
      </w:pPr>
      <w:r>
        <w:rPr>
          <w:rStyle w:val="FootnoteReference"/>
        </w:rPr>
        <w:footnoteRef/>
      </w:r>
      <w:r>
        <w:t xml:space="preserve"> Herbert of Bosham, from Staunton, M., </w:t>
      </w:r>
      <w:r w:rsidR="00F35588">
        <w:rPr>
          <w:i/>
          <w:iCs/>
        </w:rPr>
        <w:t xml:space="preserve">Thomas Becket and his Biographers </w:t>
      </w:r>
      <w:r w:rsidR="005428E2">
        <w:t>(Woodbridge, Boydell Press, 2006) p200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1B6DA" w14:textId="292D2035" w:rsidR="00E20269" w:rsidRDefault="002A1A28">
    <w:pPr>
      <w:pStyle w:val="Header"/>
    </w:pPr>
    <w:r>
      <w:t>Joanna Dunlop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F02D8"/>
    <w:multiLevelType w:val="hybridMultilevel"/>
    <w:tmpl w:val="E4A4FB96"/>
    <w:lvl w:ilvl="0" w:tplc="A4221B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C666C1"/>
    <w:multiLevelType w:val="hybridMultilevel"/>
    <w:tmpl w:val="D46E012E"/>
    <w:lvl w:ilvl="0" w:tplc="CE9E11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696EBF"/>
    <w:multiLevelType w:val="hybridMultilevel"/>
    <w:tmpl w:val="B0D8E4D8"/>
    <w:lvl w:ilvl="0" w:tplc="7DDE10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796"/>
    <w:rsid w:val="00020280"/>
    <w:rsid w:val="00050CA3"/>
    <w:rsid w:val="000704DD"/>
    <w:rsid w:val="000773D6"/>
    <w:rsid w:val="0008368B"/>
    <w:rsid w:val="001344CF"/>
    <w:rsid w:val="00152164"/>
    <w:rsid w:val="00166285"/>
    <w:rsid w:val="0017057E"/>
    <w:rsid w:val="00173358"/>
    <w:rsid w:val="00187351"/>
    <w:rsid w:val="001B263E"/>
    <w:rsid w:val="00223202"/>
    <w:rsid w:val="00261F68"/>
    <w:rsid w:val="00271BF7"/>
    <w:rsid w:val="002A1A28"/>
    <w:rsid w:val="002A4965"/>
    <w:rsid w:val="002B22E3"/>
    <w:rsid w:val="002E0984"/>
    <w:rsid w:val="0032451C"/>
    <w:rsid w:val="00367E83"/>
    <w:rsid w:val="00375713"/>
    <w:rsid w:val="003D5DFC"/>
    <w:rsid w:val="00426EDF"/>
    <w:rsid w:val="00516E8C"/>
    <w:rsid w:val="005428E2"/>
    <w:rsid w:val="00595D3F"/>
    <w:rsid w:val="005C7153"/>
    <w:rsid w:val="005D5FF6"/>
    <w:rsid w:val="005F5405"/>
    <w:rsid w:val="006409CC"/>
    <w:rsid w:val="00677081"/>
    <w:rsid w:val="006B1611"/>
    <w:rsid w:val="00761EEF"/>
    <w:rsid w:val="00771824"/>
    <w:rsid w:val="00783F2D"/>
    <w:rsid w:val="007C60AC"/>
    <w:rsid w:val="00825008"/>
    <w:rsid w:val="008E2001"/>
    <w:rsid w:val="008E3219"/>
    <w:rsid w:val="008F3F5F"/>
    <w:rsid w:val="00902BB3"/>
    <w:rsid w:val="0090722F"/>
    <w:rsid w:val="00957B13"/>
    <w:rsid w:val="009A1841"/>
    <w:rsid w:val="009B319F"/>
    <w:rsid w:val="00A10CD9"/>
    <w:rsid w:val="00A24093"/>
    <w:rsid w:val="00AC3134"/>
    <w:rsid w:val="00B40716"/>
    <w:rsid w:val="00B45A33"/>
    <w:rsid w:val="00B571B9"/>
    <w:rsid w:val="00B61B90"/>
    <w:rsid w:val="00B718FD"/>
    <w:rsid w:val="00B77796"/>
    <w:rsid w:val="00BC235B"/>
    <w:rsid w:val="00BE378D"/>
    <w:rsid w:val="00BF447B"/>
    <w:rsid w:val="00C338A9"/>
    <w:rsid w:val="00C33A49"/>
    <w:rsid w:val="00C46E05"/>
    <w:rsid w:val="00C57F92"/>
    <w:rsid w:val="00C64A0A"/>
    <w:rsid w:val="00D00D83"/>
    <w:rsid w:val="00DD3CC4"/>
    <w:rsid w:val="00E0454A"/>
    <w:rsid w:val="00E20269"/>
    <w:rsid w:val="00F35588"/>
    <w:rsid w:val="00F67D7E"/>
    <w:rsid w:val="00FA16B8"/>
    <w:rsid w:val="00FC700E"/>
    <w:rsid w:val="00FF0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53F2C"/>
  <w15:chartTrackingRefBased/>
  <w15:docId w15:val="{C0C1461A-3F3B-456A-BDBA-25B5CB4F7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33A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3A49"/>
    <w:rPr>
      <w:sz w:val="20"/>
      <w:szCs w:val="20"/>
    </w:rPr>
  </w:style>
  <w:style w:type="character" w:styleId="FootnoteReference">
    <w:name w:val="footnote reference"/>
    <w:basedOn w:val="DefaultParagraphFont"/>
    <w:uiPriority w:val="99"/>
    <w:semiHidden/>
    <w:unhideWhenUsed/>
    <w:rsid w:val="00C33A49"/>
    <w:rPr>
      <w:vertAlign w:val="superscript"/>
    </w:rPr>
  </w:style>
  <w:style w:type="paragraph" w:styleId="ListParagraph">
    <w:name w:val="List Paragraph"/>
    <w:basedOn w:val="Normal"/>
    <w:uiPriority w:val="34"/>
    <w:qFormat/>
    <w:rsid w:val="00FC700E"/>
    <w:pPr>
      <w:ind w:left="720"/>
      <w:contextualSpacing/>
    </w:pPr>
  </w:style>
  <w:style w:type="paragraph" w:styleId="Header">
    <w:name w:val="header"/>
    <w:basedOn w:val="Normal"/>
    <w:link w:val="HeaderChar"/>
    <w:uiPriority w:val="99"/>
    <w:unhideWhenUsed/>
    <w:rsid w:val="00E20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269"/>
  </w:style>
  <w:style w:type="paragraph" w:styleId="Footer">
    <w:name w:val="footer"/>
    <w:basedOn w:val="Normal"/>
    <w:link w:val="FooterChar"/>
    <w:uiPriority w:val="99"/>
    <w:unhideWhenUsed/>
    <w:rsid w:val="00E20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FC85C-3A27-4F95-BCA1-056D971EF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1477</Words>
  <Characters>8423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Dunlop</dc:creator>
  <cp:keywords/>
  <dc:description/>
  <cp:lastModifiedBy>Joanna Dunlop</cp:lastModifiedBy>
  <cp:revision>2</cp:revision>
  <cp:lastPrinted>2021-11-02T17:56:00Z</cp:lastPrinted>
  <dcterms:created xsi:type="dcterms:W3CDTF">2021-11-20T20:35:00Z</dcterms:created>
  <dcterms:modified xsi:type="dcterms:W3CDTF">2021-11-20T20:35:00Z</dcterms:modified>
</cp:coreProperties>
</file>