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AD34B" w14:textId="77777777" w:rsidR="00D40136" w:rsidRDefault="00D40136" w:rsidP="00D40136">
      <w:pPr>
        <w:jc w:val="center"/>
        <w:rPr>
          <w:b/>
          <w:bCs/>
          <w:sz w:val="40"/>
          <w:szCs w:val="40"/>
        </w:rPr>
      </w:pPr>
    </w:p>
    <w:p w14:paraId="5C0759A2" w14:textId="77777777" w:rsidR="00D40136" w:rsidRDefault="00D40136" w:rsidP="00D40136">
      <w:pPr>
        <w:jc w:val="center"/>
        <w:rPr>
          <w:b/>
          <w:bCs/>
          <w:sz w:val="40"/>
          <w:szCs w:val="40"/>
        </w:rPr>
      </w:pPr>
    </w:p>
    <w:p w14:paraId="104DF3EF" w14:textId="77777777" w:rsidR="00D40136" w:rsidRDefault="00D40136" w:rsidP="00D40136">
      <w:pPr>
        <w:jc w:val="center"/>
        <w:rPr>
          <w:b/>
          <w:bCs/>
          <w:sz w:val="40"/>
          <w:szCs w:val="40"/>
        </w:rPr>
      </w:pPr>
    </w:p>
    <w:p w14:paraId="1F4AF4DD" w14:textId="77777777" w:rsidR="00FD6AEA" w:rsidRDefault="00FD6AEA" w:rsidP="00D40136">
      <w:pPr>
        <w:jc w:val="center"/>
        <w:rPr>
          <w:b/>
          <w:bCs/>
          <w:sz w:val="40"/>
          <w:szCs w:val="40"/>
        </w:rPr>
      </w:pPr>
    </w:p>
    <w:p w14:paraId="690504C8" w14:textId="599E0C4E" w:rsidR="0007158C" w:rsidRPr="00D40136" w:rsidRDefault="0007158C" w:rsidP="00D40136">
      <w:pPr>
        <w:jc w:val="center"/>
        <w:rPr>
          <w:b/>
          <w:bCs/>
          <w:sz w:val="40"/>
          <w:szCs w:val="40"/>
        </w:rPr>
      </w:pPr>
      <w:r w:rsidRPr="00D40136">
        <w:rPr>
          <w:b/>
          <w:bCs/>
          <w:sz w:val="40"/>
          <w:szCs w:val="40"/>
        </w:rPr>
        <w:t>Preparing for Professional Police Practice</w:t>
      </w:r>
    </w:p>
    <w:p w14:paraId="0771F97C" w14:textId="77777777" w:rsidR="00D40136" w:rsidRPr="00D40136" w:rsidRDefault="0007158C" w:rsidP="00D40136">
      <w:pPr>
        <w:jc w:val="center"/>
        <w:rPr>
          <w:b/>
          <w:bCs/>
          <w:sz w:val="28"/>
          <w:szCs w:val="28"/>
        </w:rPr>
      </w:pPr>
      <w:r w:rsidRPr="00D40136">
        <w:rPr>
          <w:b/>
          <w:bCs/>
          <w:sz w:val="28"/>
          <w:szCs w:val="28"/>
        </w:rPr>
        <w:t>Module Code:</w:t>
      </w:r>
      <w:r w:rsidR="00D40136" w:rsidRPr="00D40136">
        <w:rPr>
          <w:b/>
          <w:bCs/>
          <w:sz w:val="28"/>
          <w:szCs w:val="28"/>
        </w:rPr>
        <w:t xml:space="preserve"> BMPL 4002</w:t>
      </w:r>
    </w:p>
    <w:p w14:paraId="65BBAEA5" w14:textId="1964E697" w:rsidR="00D40136" w:rsidRPr="00D40136" w:rsidRDefault="00D40136" w:rsidP="00D40136">
      <w:pPr>
        <w:jc w:val="center"/>
        <w:rPr>
          <w:b/>
          <w:bCs/>
          <w:sz w:val="28"/>
          <w:szCs w:val="28"/>
        </w:rPr>
      </w:pPr>
      <w:r w:rsidRPr="00D40136">
        <w:rPr>
          <w:b/>
          <w:bCs/>
          <w:sz w:val="28"/>
          <w:szCs w:val="28"/>
        </w:rPr>
        <w:t>Student Name:</w:t>
      </w:r>
      <w:r w:rsidR="00867DA8">
        <w:rPr>
          <w:b/>
          <w:bCs/>
          <w:sz w:val="28"/>
          <w:szCs w:val="28"/>
        </w:rPr>
        <w:t xml:space="preserve"> </w:t>
      </w:r>
      <w:r w:rsidR="00867DA8" w:rsidRPr="00867DA8">
        <w:rPr>
          <w:b/>
          <w:bCs/>
          <w:sz w:val="28"/>
          <w:szCs w:val="28"/>
        </w:rPr>
        <w:t xml:space="preserve">Alina </w:t>
      </w:r>
      <w:proofErr w:type="spellStart"/>
      <w:r w:rsidR="00867DA8" w:rsidRPr="00867DA8">
        <w:rPr>
          <w:b/>
          <w:bCs/>
          <w:sz w:val="28"/>
          <w:szCs w:val="28"/>
        </w:rPr>
        <w:t>Chiosa</w:t>
      </w:r>
      <w:proofErr w:type="spellEnd"/>
    </w:p>
    <w:p w14:paraId="48EE4A10" w14:textId="39C43325" w:rsidR="00B870E5" w:rsidRDefault="00D40136" w:rsidP="00D40136">
      <w:pPr>
        <w:jc w:val="center"/>
        <w:rPr>
          <w:b/>
          <w:sz w:val="28"/>
          <w:szCs w:val="40"/>
        </w:rPr>
      </w:pPr>
      <w:r w:rsidRPr="00D40136">
        <w:rPr>
          <w:b/>
          <w:bCs/>
          <w:sz w:val="28"/>
          <w:szCs w:val="28"/>
        </w:rPr>
        <w:t>Student’s ID:</w:t>
      </w:r>
      <w:r w:rsidR="00C31384">
        <w:rPr>
          <w:b/>
          <w:bCs/>
          <w:sz w:val="28"/>
          <w:szCs w:val="28"/>
        </w:rPr>
        <w:t xml:space="preserve"> </w:t>
      </w:r>
      <w:r w:rsidR="002E02EC">
        <w:rPr>
          <w:b/>
          <w:bCs/>
          <w:sz w:val="28"/>
          <w:szCs w:val="28"/>
        </w:rPr>
        <w:t>2325692</w:t>
      </w:r>
      <w:r w:rsidR="00B870E5">
        <w:br w:type="page"/>
      </w:r>
    </w:p>
    <w:p w14:paraId="00000001" w14:textId="579D4F0B" w:rsidR="00C835A1" w:rsidRDefault="00884F89" w:rsidP="00B870E5">
      <w:pPr>
        <w:pStyle w:val="Heading1"/>
      </w:pPr>
      <w:r>
        <w:lastRenderedPageBreak/>
        <w:t>Introduction</w:t>
      </w:r>
    </w:p>
    <w:p w14:paraId="00000002" w14:textId="77777777" w:rsidR="00C835A1" w:rsidRDefault="00884F89" w:rsidP="00B870E5">
      <w:r>
        <w:t>Policing by consent is referred to as the legitimacy of the policing concept in the view of the general public. It is based on a concord support that agrees with various concepts such as transparency of powers, integrity regarding exercising the power, and accountability regarding that. The concept is regarded as a long standard philosophy that is connected with British policing. In the following essay, the concept of policing by consent will be elucidated with an analysis of the importance of community tru</w:t>
      </w:r>
      <w:r>
        <w:t>st in the case of policing. The necessity of maintaining a code of ethics will be explained in the different policing scenarios. Moreover, the way of exercising police powers will be discussed in the following piece of essay along with the impact of different values in different communities.</w:t>
      </w:r>
      <w:r>
        <w:br w:type="page"/>
      </w:r>
    </w:p>
    <w:p w14:paraId="00000003" w14:textId="77777777" w:rsidR="00C835A1" w:rsidRDefault="00884F89" w:rsidP="00B870E5">
      <w:pPr>
        <w:pStyle w:val="Heading1"/>
      </w:pPr>
      <w:r>
        <w:lastRenderedPageBreak/>
        <w:t>Discussion</w:t>
      </w:r>
    </w:p>
    <w:p w14:paraId="00000005" w14:textId="58F77855" w:rsidR="00C835A1" w:rsidRDefault="00884F89" w:rsidP="00B870E5">
      <w:r>
        <w:t xml:space="preserve">Policing by consent is a phenomenon that indicates the long-standard philosophy of British policing. It was mainly devised by Charles Rowan and Richard </w:t>
      </w:r>
      <w:proofErr w:type="spellStart"/>
      <w:r>
        <w:t>Mayne</w:t>
      </w:r>
      <w:proofErr w:type="spellEnd"/>
      <w:r>
        <w:t>, the first commissioners of police of the police. This principle is released in the form of General instructions in the year 1829</w:t>
      </w:r>
      <w:r w:rsidR="005629D5">
        <w:t xml:space="preserve"> </w:t>
      </w:r>
      <w:sdt>
        <w:sdtPr>
          <w:id w:val="-1861734856"/>
          <w:citation/>
        </w:sdtPr>
        <w:sdtEndPr/>
        <w:sdtContent>
          <w:r w:rsidR="005629D5">
            <w:fldChar w:fldCharType="begin"/>
          </w:r>
          <w:r w:rsidR="005629D5">
            <w:rPr>
              <w:lang w:val="en-US"/>
            </w:rPr>
            <w:instrText xml:space="preserve"> CITATION gov242 \l 1033 </w:instrText>
          </w:r>
          <w:r w:rsidR="005629D5">
            <w:fldChar w:fldCharType="separate"/>
          </w:r>
          <w:r w:rsidR="005629D5" w:rsidRPr="005629D5">
            <w:rPr>
              <w:noProof/>
              <w:lang w:val="en-US"/>
            </w:rPr>
            <w:t>(gov, 2024)</w:t>
          </w:r>
          <w:r w:rsidR="005629D5">
            <w:fldChar w:fldCharType="end"/>
          </w:r>
        </w:sdtContent>
      </w:sdt>
      <w:r w:rsidR="005629D5">
        <w:t>.</w:t>
      </w:r>
      <w:r>
        <w:t xml:space="preserve"> Sometimes it is regarded as Robert Peel's 9 principles of policing. The policies are set out to prevent disorder as well as crime as an alternative to the severity of the punishment of police as well as the repression that is done by the military force of the country. It aims to ensure as well as maintain the </w:t>
      </w:r>
      <w:proofErr w:type="spellStart"/>
      <w:r>
        <w:t>the</w:t>
      </w:r>
      <w:proofErr w:type="spellEnd"/>
      <w:r>
        <w:t xml:space="preserve"> respect in the public means as well as the cooperation of the public in securing the observation of the laws. The concept only imparts physical force in case of insufficiency of public cooperation</w:t>
      </w:r>
      <w:r>
        <w:t xml:space="preserve"> and the exercise of persuasion. this concept focuses on maintaining a healthy relationship with the public. </w:t>
      </w:r>
      <w:r w:rsidR="0089712C">
        <w:t>Therefore,</w:t>
      </w:r>
      <w:r>
        <w:t xml:space="preserve"> it always sticks to the adherence to the police executive functions as well as refraining from the usurping of the powers. The concept is rooted in the belief of effective policing, and policing should be based on the broad support of the public for the actions that are taken by them. public trust is a very important as well as crucial component in the case of policing.</w:t>
      </w:r>
      <w:r w:rsidR="0089712C">
        <w:t xml:space="preserve"> </w:t>
      </w:r>
      <w:r>
        <w:t xml:space="preserve">The maintenance of </w:t>
      </w:r>
      <w:r>
        <w:t>public trust is very important because it is connected with the concept of effectiveness as well as the legitimacy of policing.</w:t>
      </w:r>
      <w:r w:rsidR="0089712C">
        <w:t xml:space="preserve"> </w:t>
      </w:r>
      <w:r>
        <w:t>Trust helps to ensure the rule of law in the state. Along with that, it encourages the concord of the officers with the public, as it ensures compliance with the relevant law as well as the engagement of the social control informally. There are several factors such as advanced cohesion, a noncriminal view of the contribution of policing at the higher levels, and the visibility of t</w:t>
      </w:r>
      <w:r>
        <w:t xml:space="preserve">he police across the state. </w:t>
      </w:r>
      <w:r w:rsidR="0089712C">
        <w:t>Therefore,</w:t>
      </w:r>
      <w:r>
        <w:t xml:space="preserve"> the experiences regarded with the policies can enhance the confidence level of the general </w:t>
      </w:r>
      <w:r>
        <w:lastRenderedPageBreak/>
        <w:t>public which in turn can lead to a shift of the trust in policing. The public trust as well as confidence can enhance the active participation of the citizens in various scenarios. Along with that, it can make the public bodies more responsive towards their respective responsibility and it can also secure the cooperation of the general public with the policies as well as the laws</w:t>
      </w:r>
      <w:r>
        <w:t>. The trust at the community level also ensures compliance with the laws by deriving the accountability of the general public with the laws. The emerging trust in the case of policing also increases the number of recorded crimes in the city of the UK. The Office of National Statistics reported that there were 6.7 million crimes, that were recorded at the end of September 2023, an increase of .1 million from the end of the previous year</w:t>
      </w:r>
      <w:r w:rsidR="00B41B24">
        <w:t xml:space="preserve"> </w:t>
      </w:r>
      <w:sdt>
        <w:sdtPr>
          <w:id w:val="-1176488786"/>
          <w:citation/>
        </w:sdtPr>
        <w:sdtEndPr/>
        <w:sdtContent>
          <w:r w:rsidR="00B41B24">
            <w:fldChar w:fldCharType="begin"/>
          </w:r>
          <w:r w:rsidR="00B41B24">
            <w:rPr>
              <w:lang w:val="en-US"/>
            </w:rPr>
            <w:instrText xml:space="preserve"> CITATION ons241 \l 1033 </w:instrText>
          </w:r>
          <w:r w:rsidR="00B41B24">
            <w:fldChar w:fldCharType="separate"/>
          </w:r>
          <w:r w:rsidR="00B41B24" w:rsidRPr="00B41B24">
            <w:rPr>
              <w:noProof/>
              <w:lang w:val="en-US"/>
            </w:rPr>
            <w:t>(ons, 2024)</w:t>
          </w:r>
          <w:r w:rsidR="00B41B24">
            <w:fldChar w:fldCharType="end"/>
          </w:r>
        </w:sdtContent>
      </w:sdt>
      <w:r w:rsidR="00B41B24">
        <w:t xml:space="preserve">. </w:t>
      </w:r>
      <w:r>
        <w:t>The improvement behind the recording processes as well as practices is due to the number of victims who recorded the crimes increases due to the enhanced trust. Sometimes the increase in the number of Crimes may be also the cause for this. According to the Crime Survey of England and Wales (CSEW), there are near about 8.5 million crime cases all over the country (</w:t>
      </w:r>
      <w:r>
        <w:rPr>
          <w:color w:val="222222"/>
          <w:highlight w:val="white"/>
        </w:rPr>
        <w:t xml:space="preserve">Morgan, 2023). </w:t>
      </w:r>
      <w:r>
        <w:t>The comparison of the crime reports from the year September 2022 shows some differences in the patterns of individual crime types</w:t>
      </w:r>
      <w:r>
        <w:t>. It has been seen that there is a decrease in fraud cases by about 13%. Along with that, there is a notable reduction of advance-free fraud by 33% and other frauds by about 40%</w:t>
      </w:r>
      <w:r w:rsidR="0089712C">
        <w:t xml:space="preserve">. </w:t>
      </w:r>
      <w:r>
        <w:t xml:space="preserve">Moreover, there is an enhancement of 30% in computer misuse as the </w:t>
      </w:r>
      <w:proofErr w:type="spellStart"/>
      <w:r>
        <w:t>unauthorised</w:t>
      </w:r>
      <w:proofErr w:type="spellEnd"/>
      <w:r>
        <w:t xml:space="preserve"> increases of personal information increases</w:t>
      </w:r>
      <w:r w:rsidR="00091185">
        <w:t xml:space="preserve"> </w:t>
      </w:r>
      <w:sdt>
        <w:sdtPr>
          <w:id w:val="-53853380"/>
          <w:citation/>
        </w:sdtPr>
        <w:sdtEndPr/>
        <w:sdtContent>
          <w:r w:rsidR="00091185">
            <w:fldChar w:fldCharType="begin"/>
          </w:r>
          <w:r w:rsidR="00091185">
            <w:rPr>
              <w:lang w:val="en-US"/>
            </w:rPr>
            <w:instrText xml:space="preserve"> CITATION Mar241 \l 1033 </w:instrText>
          </w:r>
          <w:r w:rsidR="00091185">
            <w:fldChar w:fldCharType="separate"/>
          </w:r>
          <w:r w:rsidR="00091185" w:rsidRPr="00091185">
            <w:rPr>
              <w:noProof/>
              <w:lang w:val="en-US"/>
            </w:rPr>
            <w:t>(Faithfull, 2024)</w:t>
          </w:r>
          <w:r w:rsidR="00091185">
            <w:fldChar w:fldCharType="end"/>
          </w:r>
        </w:sdtContent>
      </w:sdt>
      <w:r w:rsidR="00091185">
        <w:t>.</w:t>
      </w:r>
      <w:r>
        <w:t xml:space="preserve"> The critical damage by the various crimes also decreases by 21% which includes a 30% fall in the damage of the vehicle (Aston et al., 2023). The Code of Ethics also takes a very crucial role in outlining the professional behaviors, that the public can expect to take as well see from the officers, staff as well as volunteers. The code of ethics focuses on the principle </w:t>
      </w:r>
      <w:r>
        <w:lastRenderedPageBreak/>
        <w:t>that policing should provide a fair as well as ethical service that can be trusted by making decisions in the interest of keeping the peopl</w:t>
      </w:r>
      <w:r>
        <w:t>e safe as well as secure. These principles also ensure they take the right way and make the right decisions in various police scenarios. The NDM or national decision model is a model that puts the code of ethics in the first preference of police decision-making (</w:t>
      </w:r>
      <w:r>
        <w:rPr>
          <w:color w:val="222222"/>
          <w:highlight w:val="white"/>
        </w:rPr>
        <w:t>Goh, 2020).</w:t>
      </w:r>
      <w:r>
        <w:t xml:space="preserve"> The model is used in the case of spontaneous incidents as well as in the case of public operations. NDM can be used in both operational as well as nonoperational situations. The national decision-making model has mainly six main componen</w:t>
      </w:r>
      <w:r>
        <w:t xml:space="preserve">ts that comprise of code of ethics that is based on ethical principles of policing as well as professional behavior in the case of policing. It helps to collect information as well as intelligence for the detection of crime. </w:t>
      </w:r>
      <w:r w:rsidR="002B1AA1">
        <w:t>This is</w:t>
      </w:r>
      <w:r>
        <w:t xml:space="preserve"> also regarded the options regarding the contingencies, along with assessing the risk of developing a wrong strategy</w:t>
      </w:r>
      <w:r w:rsidR="00FD6AEA">
        <w:t xml:space="preserve"> </w:t>
      </w:r>
      <w:r>
        <w:t>(</w:t>
      </w:r>
      <w:r>
        <w:rPr>
          <w:color w:val="222222"/>
          <w:highlight w:val="white"/>
        </w:rPr>
        <w:t>Stott et al. 2020).</w:t>
      </w:r>
      <w:r>
        <w:t xml:space="preserve"> The policies of the NDM are based on the three principles that mainly focus on courage, respect, and empathy as well as the public service. Pu</w:t>
      </w:r>
      <w:r>
        <w:t>blic service fosters public officials to build trust and empathetic relationships and provide effective services to the public. Officials should also be aware of Human rights as they affect the police officers in many ways. For example, it can be said that the public should be treated by the police officials without any discrimination of their sex, caste as well as the religion. In the case of a democratic country, police officials play many roles at the same time. They work as state officials as well as la</w:t>
      </w:r>
      <w:r>
        <w:t>w enforcers in the coun</w:t>
      </w:r>
      <w:r w:rsidRPr="00577B5F">
        <w:rPr>
          <w:color w:val="000000" w:themeColor="text1"/>
        </w:rPr>
        <w:t>try</w:t>
      </w:r>
      <w:r w:rsidR="00622A6A" w:rsidRPr="00577B5F">
        <w:rPr>
          <w:color w:val="000000" w:themeColor="text1"/>
        </w:rPr>
        <w:t xml:space="preserve"> (Elliot and Quinn, 2018)</w:t>
      </w:r>
      <w:r w:rsidRPr="00577B5F">
        <w:rPr>
          <w:color w:val="000000" w:themeColor="text1"/>
        </w:rPr>
        <w:t xml:space="preserve">. </w:t>
      </w:r>
      <w:r w:rsidRPr="00577B5F">
        <w:rPr>
          <w:color w:val="000000" w:themeColor="text1"/>
        </w:rPr>
        <w:t>Po</w:t>
      </w:r>
      <w:r>
        <w:t>lice officers are often viewed as service providers, who are responsible for the community service providers to the public. There is a presence of conflicting scenarios between human rights the policing as human rights serve as the base as well as the main objective of the policing. It promotes the establishment of strict legality as well as proportionality standards (</w:t>
      </w:r>
      <w:r>
        <w:rPr>
          <w:color w:val="222222"/>
          <w:highlight w:val="white"/>
        </w:rPr>
        <w:t xml:space="preserve">Malone and </w:t>
      </w:r>
      <w:proofErr w:type="spellStart"/>
      <w:r>
        <w:rPr>
          <w:color w:val="222222"/>
          <w:highlight w:val="white"/>
        </w:rPr>
        <w:t>Dammert</w:t>
      </w:r>
      <w:proofErr w:type="spellEnd"/>
      <w:r>
        <w:rPr>
          <w:color w:val="222222"/>
          <w:highlight w:val="white"/>
        </w:rPr>
        <w:t>, 2021).</w:t>
      </w:r>
      <w:r>
        <w:t xml:space="preserve"> The human rights also ensure the legality as well as the successful administration of the country. The police and Criminal Evidence Act (PACE) that is released in the year 1984, set up the power of the police to combat deviance as well as crimes while ensuring the rights of the public also (</w:t>
      </w:r>
      <w:r>
        <w:rPr>
          <w:color w:val="222222"/>
          <w:highlight w:val="white"/>
        </w:rPr>
        <w:t xml:space="preserve">Blair et al., 2021). </w:t>
      </w:r>
      <w:r>
        <w:t>PACE maintains an effective balance between the freedom of the public as well as the powers of police officials. This ensures various practices such as stop and search, investigation,</w:t>
      </w:r>
      <w:r>
        <w:t xml:space="preserve"> identification, and interviewing detainees. There are several codes in the PACE act such as Code A 2023, Code B 2023, Code E 2018, Code F 2018. It provides the police officers the statutory powers, to make search options to the person or a thing without the </w:t>
      </w:r>
      <w:r w:rsidR="0089712C">
        <w:t>warrant. Various</w:t>
      </w:r>
      <w:r>
        <w:t xml:space="preserve"> codes provide the powers to the police officials to seize or retain the property with their will. The codes give the authority to the police officials to arrest the criminals as well as</w:t>
      </w:r>
      <w:r w:rsidRPr="00AC49C0">
        <w:rPr>
          <w:color w:val="000000" w:themeColor="text1"/>
        </w:rPr>
        <w:t xml:space="preserve"> giving the authority to the police officials to the audio as well as the video recording</w:t>
      </w:r>
      <w:r w:rsidR="00622A6A" w:rsidRPr="00AC49C0">
        <w:rPr>
          <w:color w:val="000000" w:themeColor="text1"/>
        </w:rPr>
        <w:t xml:space="preserve"> (</w:t>
      </w:r>
      <w:r w:rsidR="00622A6A" w:rsidRPr="00AC49C0">
        <w:rPr>
          <w:color w:val="000000" w:themeColor="text1"/>
          <w:szCs w:val="24"/>
          <w:shd w:val="clear" w:color="auto" w:fill="FFFFFF"/>
        </w:rPr>
        <w:t xml:space="preserve">Finch and </w:t>
      </w:r>
      <w:proofErr w:type="spellStart"/>
      <w:r w:rsidR="00622A6A" w:rsidRPr="00AC49C0">
        <w:rPr>
          <w:color w:val="000000" w:themeColor="text1"/>
          <w:szCs w:val="24"/>
          <w:shd w:val="clear" w:color="auto" w:fill="FFFFFF"/>
        </w:rPr>
        <w:t>Fafinski</w:t>
      </w:r>
      <w:proofErr w:type="spellEnd"/>
      <w:r w:rsidR="00622A6A" w:rsidRPr="00AC49C0">
        <w:rPr>
          <w:color w:val="000000" w:themeColor="text1"/>
          <w:szCs w:val="24"/>
          <w:shd w:val="clear" w:color="auto" w:fill="FFFFFF"/>
        </w:rPr>
        <w:t>, 2014)</w:t>
      </w:r>
      <w:r w:rsidRPr="00AC49C0">
        <w:rPr>
          <w:color w:val="000000" w:themeColor="text1"/>
        </w:rPr>
        <w:t xml:space="preserve">. </w:t>
      </w:r>
      <w:r w:rsidRPr="00AC49C0">
        <w:rPr>
          <w:color w:val="000000" w:themeColor="text1"/>
        </w:rPr>
        <w:t xml:space="preserve">The relationship between a person and a law official such as the police depends on </w:t>
      </w:r>
      <w:r>
        <w:t>respectful communication as well as the rust building (</w:t>
      </w:r>
      <w:r>
        <w:rPr>
          <w:color w:val="222222"/>
          <w:highlight w:val="white"/>
        </w:rPr>
        <w:t>Watson et al., 2021).</w:t>
      </w:r>
      <w:r>
        <w:t xml:space="preserve"> Therefore the officials should derive and take innovative strategies to establish a trustworthy relationship between them. They should learn about the various survey software as well as the social media platforms to increase awareness as well as build a trustworthy cooperative relationship among them.</w:t>
      </w:r>
    </w:p>
    <w:p w14:paraId="00000006" w14:textId="77777777" w:rsidR="00C835A1" w:rsidRDefault="00884F89" w:rsidP="00B870E5">
      <w:r>
        <w:br w:type="page"/>
      </w:r>
    </w:p>
    <w:p w14:paraId="00000007" w14:textId="77777777" w:rsidR="00C835A1" w:rsidRDefault="00884F89" w:rsidP="00B870E5">
      <w:pPr>
        <w:pStyle w:val="Heading1"/>
      </w:pPr>
      <w:r>
        <w:t>Conclusion</w:t>
      </w:r>
    </w:p>
    <w:p w14:paraId="00000008" w14:textId="5BF7390B" w:rsidR="00C835A1" w:rsidRDefault="00884F89" w:rsidP="00B870E5">
      <w:r>
        <w:t>The concept of policing by consent is described briefly along with its several components as well as its focus area. The need to build trustworthy cooperative relationships between public officials as well as the general public has been elucidated in the above essay. There are several data regarding the crime scenarios of the UK. Data regarding that by the Office of National Statistics has been given in the following piece of essay. The national decision-making model along with the PACE Act 1984 has been gi</w:t>
      </w:r>
      <w:r>
        <w:t>ven in the essay to demonstrate the significance of splicing strategies in law-making.</w:t>
      </w:r>
      <w:r>
        <w:br w:type="page"/>
      </w:r>
    </w:p>
    <w:p w14:paraId="00000009" w14:textId="77777777" w:rsidR="00C835A1" w:rsidRPr="00B870E5" w:rsidRDefault="00884F89" w:rsidP="00B870E5">
      <w:pPr>
        <w:pStyle w:val="Heading1"/>
      </w:pPr>
      <w:r w:rsidRPr="00B870E5">
        <w:t>References</w:t>
      </w:r>
    </w:p>
    <w:p w14:paraId="0EE24B59" w14:textId="77777777" w:rsidR="00622A6A" w:rsidRDefault="00622A6A" w:rsidP="0089712C">
      <w:pPr>
        <w:pStyle w:val="Normal1"/>
        <w:spacing w:line="480" w:lineRule="auto"/>
        <w:jc w:val="both"/>
        <w:rPr>
          <w:color w:val="222222"/>
          <w:sz w:val="24"/>
          <w:szCs w:val="24"/>
          <w:highlight w:val="white"/>
        </w:rPr>
      </w:pPr>
      <w:r>
        <w:t>Aston,</w:t>
      </w:r>
      <w:r>
        <w:rPr>
          <w:color w:val="222222"/>
          <w:sz w:val="24"/>
          <w:szCs w:val="24"/>
          <w:highlight w:val="white"/>
        </w:rPr>
        <w:t xml:space="preserve"> E.V., O’Neill, M., Hail, Y. and </w:t>
      </w:r>
      <w:proofErr w:type="spellStart"/>
      <w:r>
        <w:rPr>
          <w:color w:val="222222"/>
          <w:sz w:val="24"/>
          <w:szCs w:val="24"/>
          <w:highlight w:val="white"/>
        </w:rPr>
        <w:t>Wooff</w:t>
      </w:r>
      <w:proofErr w:type="spellEnd"/>
      <w:r>
        <w:rPr>
          <w:color w:val="222222"/>
          <w:sz w:val="24"/>
          <w:szCs w:val="24"/>
          <w:highlight w:val="white"/>
        </w:rPr>
        <w:t xml:space="preserve">, A., (2023). Information sharing in community policing in Europe: Building public confidence. </w:t>
      </w:r>
      <w:r>
        <w:rPr>
          <w:i/>
          <w:color w:val="222222"/>
          <w:sz w:val="24"/>
          <w:szCs w:val="24"/>
          <w:highlight w:val="white"/>
        </w:rPr>
        <w:t>European Journal of Criminology</w:t>
      </w:r>
      <w:r>
        <w:rPr>
          <w:color w:val="222222"/>
          <w:sz w:val="24"/>
          <w:szCs w:val="24"/>
          <w:highlight w:val="white"/>
        </w:rPr>
        <w:t xml:space="preserve">, </w:t>
      </w:r>
      <w:r>
        <w:rPr>
          <w:i/>
          <w:color w:val="222222"/>
          <w:sz w:val="24"/>
          <w:szCs w:val="24"/>
          <w:highlight w:val="white"/>
        </w:rPr>
        <w:t>20</w:t>
      </w:r>
      <w:r>
        <w:rPr>
          <w:color w:val="222222"/>
          <w:sz w:val="24"/>
          <w:szCs w:val="24"/>
          <w:highlight w:val="white"/>
        </w:rPr>
        <w:t>(4), pp.1349-1368.</w:t>
      </w:r>
    </w:p>
    <w:p w14:paraId="1A714F8E" w14:textId="77777777" w:rsidR="00622A6A" w:rsidRDefault="00622A6A" w:rsidP="0089712C">
      <w:pPr>
        <w:pStyle w:val="Normal1"/>
        <w:spacing w:line="480" w:lineRule="auto"/>
        <w:jc w:val="both"/>
        <w:rPr>
          <w:color w:val="222222"/>
          <w:sz w:val="24"/>
          <w:szCs w:val="24"/>
          <w:highlight w:val="white"/>
        </w:rPr>
      </w:pPr>
      <w:r>
        <w:rPr>
          <w:color w:val="222222"/>
          <w:sz w:val="24"/>
          <w:szCs w:val="24"/>
          <w:highlight w:val="white"/>
        </w:rPr>
        <w:t xml:space="preserve">Blair, G., Weinstein, J.M., </w:t>
      </w:r>
      <w:proofErr w:type="spellStart"/>
      <w:r>
        <w:rPr>
          <w:color w:val="222222"/>
          <w:sz w:val="24"/>
          <w:szCs w:val="24"/>
          <w:highlight w:val="white"/>
        </w:rPr>
        <w:t>Christia</w:t>
      </w:r>
      <w:proofErr w:type="spellEnd"/>
      <w:r>
        <w:rPr>
          <w:color w:val="222222"/>
          <w:sz w:val="24"/>
          <w:szCs w:val="24"/>
          <w:highlight w:val="white"/>
        </w:rPr>
        <w:t xml:space="preserve">, F., Arias, E., </w:t>
      </w:r>
      <w:proofErr w:type="spellStart"/>
      <w:r>
        <w:rPr>
          <w:color w:val="222222"/>
          <w:sz w:val="24"/>
          <w:szCs w:val="24"/>
          <w:highlight w:val="white"/>
        </w:rPr>
        <w:t>Badran</w:t>
      </w:r>
      <w:proofErr w:type="spellEnd"/>
      <w:r>
        <w:rPr>
          <w:color w:val="222222"/>
          <w:sz w:val="24"/>
          <w:szCs w:val="24"/>
          <w:highlight w:val="white"/>
        </w:rPr>
        <w:t xml:space="preserve">, E., Blair, R.A., Cheema, A., </w:t>
      </w:r>
      <w:proofErr w:type="spellStart"/>
      <w:r>
        <w:rPr>
          <w:color w:val="222222"/>
          <w:sz w:val="24"/>
          <w:szCs w:val="24"/>
          <w:highlight w:val="white"/>
        </w:rPr>
        <w:t>Farooqui</w:t>
      </w:r>
      <w:proofErr w:type="spellEnd"/>
      <w:r>
        <w:rPr>
          <w:color w:val="222222"/>
          <w:sz w:val="24"/>
          <w:szCs w:val="24"/>
          <w:highlight w:val="white"/>
        </w:rPr>
        <w:t xml:space="preserve">, A., </w:t>
      </w:r>
      <w:proofErr w:type="spellStart"/>
      <w:r>
        <w:rPr>
          <w:color w:val="222222"/>
          <w:sz w:val="24"/>
          <w:szCs w:val="24"/>
          <w:highlight w:val="white"/>
        </w:rPr>
        <w:t>Fetzer</w:t>
      </w:r>
      <w:proofErr w:type="spellEnd"/>
      <w:r>
        <w:rPr>
          <w:color w:val="222222"/>
          <w:sz w:val="24"/>
          <w:szCs w:val="24"/>
          <w:highlight w:val="white"/>
        </w:rPr>
        <w:t xml:space="preserve">, T., Grossman, G. and Haim, D., (2021). Community policing does not build citizen trust in police or reduce crime in the Global South. </w:t>
      </w:r>
      <w:r>
        <w:rPr>
          <w:i/>
          <w:color w:val="222222"/>
          <w:sz w:val="24"/>
          <w:szCs w:val="24"/>
          <w:highlight w:val="white"/>
        </w:rPr>
        <w:t>Science</w:t>
      </w:r>
      <w:r>
        <w:rPr>
          <w:color w:val="222222"/>
          <w:sz w:val="24"/>
          <w:szCs w:val="24"/>
          <w:highlight w:val="white"/>
        </w:rPr>
        <w:t xml:space="preserve">, </w:t>
      </w:r>
      <w:r>
        <w:rPr>
          <w:i/>
          <w:color w:val="222222"/>
          <w:sz w:val="24"/>
          <w:szCs w:val="24"/>
          <w:highlight w:val="white"/>
        </w:rPr>
        <w:t>374</w:t>
      </w:r>
      <w:r>
        <w:rPr>
          <w:color w:val="222222"/>
          <w:sz w:val="24"/>
          <w:szCs w:val="24"/>
          <w:highlight w:val="white"/>
        </w:rPr>
        <w:t>(6571), p.eabd3446.</w:t>
      </w:r>
    </w:p>
    <w:p w14:paraId="0805B33C" w14:textId="77777777" w:rsidR="00622A6A" w:rsidRPr="00AC49C0" w:rsidRDefault="00622A6A" w:rsidP="00622A6A">
      <w:pPr>
        <w:rPr>
          <w:color w:val="000000" w:themeColor="text1"/>
          <w:sz w:val="48"/>
        </w:rPr>
      </w:pPr>
      <w:r w:rsidRPr="00AC49C0">
        <w:rPr>
          <w:color w:val="000000" w:themeColor="text1"/>
        </w:rPr>
        <w:t>Elliot, C. and Quinn, F., (2018)</w:t>
      </w:r>
      <w:r w:rsidRPr="00AC49C0">
        <w:rPr>
          <w:color w:val="000000" w:themeColor="text1"/>
          <w:sz w:val="20"/>
          <w:szCs w:val="20"/>
          <w:shd w:val="clear" w:color="auto" w:fill="FFFFFF"/>
        </w:rPr>
        <w:t xml:space="preserve"> </w:t>
      </w:r>
      <w:r w:rsidRPr="00AC49C0">
        <w:rPr>
          <w:i/>
          <w:iCs/>
          <w:color w:val="000000" w:themeColor="text1"/>
        </w:rPr>
        <w:t xml:space="preserve">Elliot &amp; Quinn's Criminal Law, 12th </w:t>
      </w:r>
      <w:proofErr w:type="spellStart"/>
      <w:r w:rsidRPr="00AC49C0">
        <w:rPr>
          <w:i/>
          <w:iCs/>
          <w:color w:val="000000" w:themeColor="text1"/>
        </w:rPr>
        <w:t>edn</w:t>
      </w:r>
      <w:proofErr w:type="spellEnd"/>
      <w:r w:rsidRPr="00AC49C0">
        <w:rPr>
          <w:i/>
          <w:iCs/>
          <w:color w:val="000000" w:themeColor="text1"/>
        </w:rPr>
        <w:t xml:space="preserve">. </w:t>
      </w:r>
      <w:r w:rsidRPr="00AC49C0">
        <w:rPr>
          <w:color w:val="000000" w:themeColor="text1"/>
        </w:rPr>
        <w:t>Pearson UK.</w:t>
      </w:r>
    </w:p>
    <w:p w14:paraId="5DB9C48F" w14:textId="77777777" w:rsidR="00622A6A" w:rsidRPr="00AC49C0" w:rsidRDefault="00622A6A" w:rsidP="0089712C">
      <w:pPr>
        <w:pStyle w:val="Normal1"/>
        <w:spacing w:line="480" w:lineRule="auto"/>
        <w:jc w:val="both"/>
        <w:rPr>
          <w:color w:val="000000" w:themeColor="text1"/>
          <w:sz w:val="24"/>
          <w:szCs w:val="24"/>
        </w:rPr>
      </w:pPr>
      <w:r w:rsidRPr="00AC49C0">
        <w:rPr>
          <w:color w:val="000000" w:themeColor="text1"/>
          <w:sz w:val="24"/>
          <w:szCs w:val="24"/>
        </w:rPr>
        <w:t>Faithfull, M., (2024)</w:t>
      </w:r>
      <w:r w:rsidRPr="00AC49C0">
        <w:rPr>
          <w:i/>
          <w:iCs/>
          <w:color w:val="000000" w:themeColor="text1"/>
          <w:sz w:val="24"/>
          <w:szCs w:val="24"/>
        </w:rPr>
        <w:t>. U.K. Says ‘Enough Is Enough’ As Shop Assaults Made Specific Crime.</w:t>
      </w:r>
      <w:r w:rsidRPr="00AC49C0">
        <w:rPr>
          <w:color w:val="000000" w:themeColor="text1"/>
          <w:sz w:val="24"/>
          <w:szCs w:val="24"/>
        </w:rPr>
        <w:t xml:space="preserve"> [Online] Available at: https://www.forbes.com/sites/markfaithfull/2024/04/10/uk-says-enough-is-enough-as-shop-assaults-made-specific-crime/https://www.forbes.com/sites/markfaithfull/2024/04/10/uk-says-enough-is-enough-as-shop-assaults-made-specific-crime/ [Accessed 15 June 2024].</w:t>
      </w:r>
    </w:p>
    <w:p w14:paraId="3AB691E5" w14:textId="77777777" w:rsidR="00622A6A" w:rsidRPr="00AC49C0" w:rsidRDefault="00622A6A" w:rsidP="00622A6A">
      <w:pPr>
        <w:pStyle w:val="Normal1"/>
        <w:spacing w:line="480" w:lineRule="auto"/>
        <w:jc w:val="both"/>
        <w:rPr>
          <w:color w:val="000000" w:themeColor="text1"/>
          <w:sz w:val="20"/>
          <w:szCs w:val="20"/>
          <w:shd w:val="clear" w:color="auto" w:fill="FFFFFF"/>
        </w:rPr>
      </w:pPr>
      <w:r w:rsidRPr="00AC49C0">
        <w:rPr>
          <w:color w:val="000000" w:themeColor="text1"/>
          <w:sz w:val="24"/>
          <w:szCs w:val="24"/>
          <w:shd w:val="clear" w:color="auto" w:fill="FFFFFF"/>
        </w:rPr>
        <w:t xml:space="preserve">Finch, E. and </w:t>
      </w:r>
      <w:proofErr w:type="spellStart"/>
      <w:r w:rsidRPr="00AC49C0">
        <w:rPr>
          <w:color w:val="000000" w:themeColor="text1"/>
          <w:sz w:val="24"/>
          <w:szCs w:val="24"/>
          <w:shd w:val="clear" w:color="auto" w:fill="FFFFFF"/>
        </w:rPr>
        <w:t>Fafinski</w:t>
      </w:r>
      <w:proofErr w:type="spellEnd"/>
      <w:r w:rsidRPr="00AC49C0">
        <w:rPr>
          <w:color w:val="000000" w:themeColor="text1"/>
          <w:sz w:val="24"/>
          <w:szCs w:val="24"/>
          <w:shd w:val="clear" w:color="auto" w:fill="FFFFFF"/>
        </w:rPr>
        <w:t>, S., (2014). </w:t>
      </w:r>
      <w:r w:rsidRPr="00AC49C0">
        <w:rPr>
          <w:i/>
          <w:iCs/>
          <w:color w:val="000000" w:themeColor="text1"/>
          <w:sz w:val="24"/>
          <w:szCs w:val="24"/>
          <w:shd w:val="clear" w:color="auto" w:fill="FFFFFF"/>
        </w:rPr>
        <w:t xml:space="preserve">Law Express: English Legal System 8th </w:t>
      </w:r>
      <w:proofErr w:type="spellStart"/>
      <w:r w:rsidRPr="00AC49C0">
        <w:rPr>
          <w:i/>
          <w:iCs/>
          <w:color w:val="000000" w:themeColor="text1"/>
          <w:sz w:val="24"/>
          <w:szCs w:val="24"/>
          <w:shd w:val="clear" w:color="auto" w:fill="FFFFFF"/>
        </w:rPr>
        <w:t>edn</w:t>
      </w:r>
      <w:proofErr w:type="spellEnd"/>
      <w:r w:rsidRPr="00AC49C0">
        <w:rPr>
          <w:color w:val="000000" w:themeColor="text1"/>
          <w:sz w:val="24"/>
          <w:szCs w:val="24"/>
          <w:shd w:val="clear" w:color="auto" w:fill="FFFFFF"/>
        </w:rPr>
        <w:t>. Pearson UK</w:t>
      </w:r>
      <w:r w:rsidRPr="00AC49C0">
        <w:rPr>
          <w:color w:val="000000" w:themeColor="text1"/>
          <w:sz w:val="20"/>
          <w:szCs w:val="20"/>
          <w:shd w:val="clear" w:color="auto" w:fill="FFFFFF"/>
        </w:rPr>
        <w:t>.</w:t>
      </w:r>
    </w:p>
    <w:p w14:paraId="0907BFE8" w14:textId="77777777" w:rsidR="00622A6A" w:rsidRPr="00AC49C0" w:rsidRDefault="00622A6A" w:rsidP="0089712C">
      <w:pPr>
        <w:pStyle w:val="Normal1"/>
        <w:spacing w:line="480" w:lineRule="auto"/>
        <w:jc w:val="both"/>
        <w:rPr>
          <w:color w:val="000000" w:themeColor="text1"/>
          <w:sz w:val="24"/>
          <w:szCs w:val="24"/>
          <w:highlight w:val="white"/>
        </w:rPr>
      </w:pPr>
      <w:r w:rsidRPr="00AC49C0">
        <w:rPr>
          <w:color w:val="000000" w:themeColor="text1"/>
          <w:sz w:val="24"/>
          <w:szCs w:val="24"/>
          <w:highlight w:val="white"/>
        </w:rPr>
        <w:t xml:space="preserve">Goh, L.S., (2020). Going local: Do consent decrees and other forms of federal intervention in municipal police departments reduce police killings?. </w:t>
      </w:r>
      <w:r w:rsidRPr="00AC49C0">
        <w:rPr>
          <w:i/>
          <w:color w:val="000000" w:themeColor="text1"/>
          <w:sz w:val="24"/>
          <w:szCs w:val="24"/>
          <w:highlight w:val="white"/>
        </w:rPr>
        <w:t>Justice Quarterly</w:t>
      </w:r>
      <w:r w:rsidRPr="00AC49C0">
        <w:rPr>
          <w:color w:val="000000" w:themeColor="text1"/>
          <w:sz w:val="24"/>
          <w:szCs w:val="24"/>
          <w:highlight w:val="white"/>
        </w:rPr>
        <w:t xml:space="preserve">, </w:t>
      </w:r>
      <w:r w:rsidRPr="00AC49C0">
        <w:rPr>
          <w:i/>
          <w:color w:val="000000" w:themeColor="text1"/>
          <w:sz w:val="24"/>
          <w:szCs w:val="24"/>
          <w:highlight w:val="white"/>
        </w:rPr>
        <w:t>37</w:t>
      </w:r>
      <w:r w:rsidRPr="00AC49C0">
        <w:rPr>
          <w:color w:val="000000" w:themeColor="text1"/>
          <w:sz w:val="24"/>
          <w:szCs w:val="24"/>
          <w:highlight w:val="white"/>
        </w:rPr>
        <w:t>(5), pp.900-929.</w:t>
      </w:r>
    </w:p>
    <w:p w14:paraId="0959E63A" w14:textId="77777777" w:rsidR="00622A6A" w:rsidRPr="00AC49C0" w:rsidRDefault="00622A6A" w:rsidP="0089712C">
      <w:pPr>
        <w:pStyle w:val="Normal1"/>
        <w:spacing w:line="480" w:lineRule="auto"/>
        <w:jc w:val="both"/>
        <w:rPr>
          <w:color w:val="000000" w:themeColor="text1"/>
          <w:sz w:val="24"/>
          <w:szCs w:val="24"/>
        </w:rPr>
      </w:pPr>
      <w:proofErr w:type="spellStart"/>
      <w:r w:rsidRPr="00AC49C0">
        <w:rPr>
          <w:color w:val="000000" w:themeColor="text1"/>
          <w:sz w:val="24"/>
          <w:szCs w:val="24"/>
        </w:rPr>
        <w:t>gov</w:t>
      </w:r>
      <w:proofErr w:type="spellEnd"/>
      <w:r w:rsidRPr="00AC49C0">
        <w:rPr>
          <w:color w:val="000000" w:themeColor="text1"/>
          <w:sz w:val="24"/>
          <w:szCs w:val="24"/>
        </w:rPr>
        <w:t xml:space="preserve">, (2024). </w:t>
      </w:r>
      <w:r w:rsidRPr="00AC49C0">
        <w:rPr>
          <w:i/>
          <w:iCs/>
          <w:color w:val="000000" w:themeColor="text1"/>
          <w:sz w:val="24"/>
          <w:szCs w:val="24"/>
        </w:rPr>
        <w:t>Definition of policing by consent</w:t>
      </w:r>
      <w:r w:rsidRPr="00AC49C0">
        <w:rPr>
          <w:color w:val="000000" w:themeColor="text1"/>
          <w:sz w:val="24"/>
          <w:szCs w:val="24"/>
        </w:rPr>
        <w:t>. [Online] Available at: https://www.gov.uk/government/publications/policing-by-consent/definition-of-policing-by-consent [Accessed 14 June 2024].</w:t>
      </w:r>
    </w:p>
    <w:p w14:paraId="58E1E25C" w14:textId="77777777" w:rsidR="00622A6A" w:rsidRPr="00AC49C0" w:rsidRDefault="00622A6A" w:rsidP="0089712C">
      <w:pPr>
        <w:pStyle w:val="Normal1"/>
        <w:spacing w:line="480" w:lineRule="auto"/>
        <w:jc w:val="both"/>
        <w:rPr>
          <w:color w:val="000000" w:themeColor="text1"/>
          <w:sz w:val="24"/>
          <w:szCs w:val="24"/>
          <w:highlight w:val="white"/>
        </w:rPr>
      </w:pPr>
      <w:r w:rsidRPr="00AC49C0">
        <w:rPr>
          <w:color w:val="000000" w:themeColor="text1"/>
          <w:sz w:val="24"/>
          <w:szCs w:val="24"/>
          <w:highlight w:val="white"/>
        </w:rPr>
        <w:t xml:space="preserve">Malone, M.F.T. and </w:t>
      </w:r>
      <w:proofErr w:type="spellStart"/>
      <w:r w:rsidRPr="00AC49C0">
        <w:rPr>
          <w:color w:val="000000" w:themeColor="text1"/>
          <w:sz w:val="24"/>
          <w:szCs w:val="24"/>
          <w:highlight w:val="white"/>
        </w:rPr>
        <w:t>Dammert</w:t>
      </w:r>
      <w:proofErr w:type="spellEnd"/>
      <w:r w:rsidRPr="00AC49C0">
        <w:rPr>
          <w:color w:val="000000" w:themeColor="text1"/>
          <w:sz w:val="24"/>
          <w:szCs w:val="24"/>
          <w:highlight w:val="white"/>
        </w:rPr>
        <w:t xml:space="preserve">, L., (2021). The police and the public: policing practices and public trust in Latin America. </w:t>
      </w:r>
      <w:r w:rsidRPr="00AC49C0">
        <w:rPr>
          <w:i/>
          <w:color w:val="000000" w:themeColor="text1"/>
          <w:sz w:val="24"/>
          <w:szCs w:val="24"/>
          <w:highlight w:val="white"/>
        </w:rPr>
        <w:t>Policing and society</w:t>
      </w:r>
      <w:r w:rsidRPr="00AC49C0">
        <w:rPr>
          <w:color w:val="000000" w:themeColor="text1"/>
          <w:sz w:val="24"/>
          <w:szCs w:val="24"/>
          <w:highlight w:val="white"/>
        </w:rPr>
        <w:t xml:space="preserve">, </w:t>
      </w:r>
      <w:r w:rsidRPr="00AC49C0">
        <w:rPr>
          <w:i/>
          <w:color w:val="000000" w:themeColor="text1"/>
          <w:sz w:val="24"/>
          <w:szCs w:val="24"/>
          <w:highlight w:val="white"/>
        </w:rPr>
        <w:t>31</w:t>
      </w:r>
      <w:r w:rsidRPr="00AC49C0">
        <w:rPr>
          <w:color w:val="000000" w:themeColor="text1"/>
          <w:sz w:val="24"/>
          <w:szCs w:val="24"/>
          <w:highlight w:val="white"/>
        </w:rPr>
        <w:t>(4), pp.418-433.</w:t>
      </w:r>
    </w:p>
    <w:p w14:paraId="6CB5D277" w14:textId="77777777" w:rsidR="00622A6A" w:rsidRPr="00AC49C0" w:rsidRDefault="00622A6A" w:rsidP="0089712C">
      <w:pPr>
        <w:pStyle w:val="Normal1"/>
        <w:spacing w:line="480" w:lineRule="auto"/>
        <w:jc w:val="both"/>
        <w:rPr>
          <w:color w:val="000000" w:themeColor="text1"/>
          <w:sz w:val="24"/>
          <w:szCs w:val="24"/>
          <w:highlight w:val="white"/>
        </w:rPr>
      </w:pPr>
      <w:r w:rsidRPr="00AC49C0">
        <w:rPr>
          <w:color w:val="000000" w:themeColor="text1"/>
          <w:sz w:val="24"/>
          <w:szCs w:val="24"/>
          <w:highlight w:val="white"/>
        </w:rPr>
        <w:t xml:space="preserve">Morgan, R., (2023). ‘Policing by consent’: legitimating the doctrine. In </w:t>
      </w:r>
      <w:r w:rsidRPr="00AC49C0">
        <w:rPr>
          <w:i/>
          <w:color w:val="000000" w:themeColor="text1"/>
          <w:sz w:val="24"/>
          <w:szCs w:val="24"/>
          <w:highlight w:val="white"/>
        </w:rPr>
        <w:t>Coming to terms with policing</w:t>
      </w:r>
      <w:r w:rsidRPr="00AC49C0">
        <w:rPr>
          <w:color w:val="000000" w:themeColor="text1"/>
          <w:sz w:val="24"/>
          <w:szCs w:val="24"/>
          <w:highlight w:val="white"/>
        </w:rPr>
        <w:t xml:space="preserve"> (pp. 217-234). Routledge.</w:t>
      </w:r>
    </w:p>
    <w:p w14:paraId="1658006A" w14:textId="77777777" w:rsidR="00622A6A" w:rsidRPr="00AC49C0" w:rsidRDefault="00622A6A" w:rsidP="0089712C">
      <w:pPr>
        <w:pStyle w:val="Normal1"/>
        <w:spacing w:line="480" w:lineRule="auto"/>
        <w:jc w:val="both"/>
        <w:rPr>
          <w:color w:val="000000" w:themeColor="text1"/>
          <w:sz w:val="24"/>
          <w:szCs w:val="24"/>
        </w:rPr>
      </w:pPr>
      <w:proofErr w:type="spellStart"/>
      <w:r w:rsidRPr="00AC49C0">
        <w:rPr>
          <w:color w:val="000000" w:themeColor="text1"/>
          <w:sz w:val="24"/>
          <w:szCs w:val="24"/>
        </w:rPr>
        <w:t>ons</w:t>
      </w:r>
      <w:proofErr w:type="spellEnd"/>
      <w:r w:rsidRPr="00AC49C0">
        <w:rPr>
          <w:color w:val="000000" w:themeColor="text1"/>
          <w:sz w:val="24"/>
          <w:szCs w:val="24"/>
        </w:rPr>
        <w:t xml:space="preserve">, (2024). </w:t>
      </w:r>
      <w:r w:rsidRPr="00AC49C0">
        <w:rPr>
          <w:i/>
          <w:iCs/>
          <w:color w:val="000000" w:themeColor="text1"/>
          <w:sz w:val="24"/>
          <w:szCs w:val="24"/>
        </w:rPr>
        <w:t>Crime in England and Wales: year ending September 2023</w:t>
      </w:r>
      <w:r w:rsidRPr="00AC49C0">
        <w:rPr>
          <w:color w:val="000000" w:themeColor="text1"/>
          <w:sz w:val="24"/>
          <w:szCs w:val="24"/>
        </w:rPr>
        <w:t>. [Online] Available at: https://www.ons.gov.uk/peoplepopulationandcommunity/crimeandjustice/bulletins/crimeinenglandandwales/yearendingseptember2023#:~:text=Police%20recorded%20crime%20in%20England,the%20year%20ending%20September%202022. [Accessed 14 June 2024].</w:t>
      </w:r>
    </w:p>
    <w:p w14:paraId="4914AC9D" w14:textId="77777777" w:rsidR="00622A6A" w:rsidRPr="00AC49C0" w:rsidRDefault="00622A6A" w:rsidP="0089712C">
      <w:pPr>
        <w:pStyle w:val="Normal1"/>
        <w:spacing w:line="480" w:lineRule="auto"/>
        <w:jc w:val="both"/>
        <w:rPr>
          <w:color w:val="000000" w:themeColor="text1"/>
          <w:sz w:val="24"/>
          <w:szCs w:val="24"/>
          <w:highlight w:val="white"/>
        </w:rPr>
      </w:pPr>
      <w:r w:rsidRPr="00AC49C0">
        <w:rPr>
          <w:color w:val="000000" w:themeColor="text1"/>
          <w:sz w:val="24"/>
          <w:szCs w:val="24"/>
          <w:highlight w:val="white"/>
        </w:rPr>
        <w:t xml:space="preserve">Stott, C., West, O. and Harrison, M., (2020). A turning point, securitization, and policing in the context of Covid-19: building a new social contract between state and nation?. </w:t>
      </w:r>
      <w:r w:rsidRPr="00AC49C0">
        <w:rPr>
          <w:i/>
          <w:color w:val="000000" w:themeColor="text1"/>
          <w:sz w:val="24"/>
          <w:szCs w:val="24"/>
          <w:highlight w:val="white"/>
        </w:rPr>
        <w:t>Policing: A Journal of Policy and Practice</w:t>
      </w:r>
      <w:r w:rsidRPr="00AC49C0">
        <w:rPr>
          <w:color w:val="000000" w:themeColor="text1"/>
          <w:sz w:val="24"/>
          <w:szCs w:val="24"/>
          <w:highlight w:val="white"/>
        </w:rPr>
        <w:t xml:space="preserve">, </w:t>
      </w:r>
      <w:r w:rsidRPr="00AC49C0">
        <w:rPr>
          <w:i/>
          <w:color w:val="000000" w:themeColor="text1"/>
          <w:sz w:val="24"/>
          <w:szCs w:val="24"/>
          <w:highlight w:val="white"/>
        </w:rPr>
        <w:t>14</w:t>
      </w:r>
      <w:r w:rsidRPr="00AC49C0">
        <w:rPr>
          <w:color w:val="000000" w:themeColor="text1"/>
          <w:sz w:val="24"/>
          <w:szCs w:val="24"/>
          <w:highlight w:val="white"/>
        </w:rPr>
        <w:t>(3), pp.574-578.</w:t>
      </w:r>
    </w:p>
    <w:p w14:paraId="392ECF2A" w14:textId="77777777" w:rsidR="00622A6A" w:rsidRPr="00AC49C0" w:rsidRDefault="00622A6A" w:rsidP="0089712C">
      <w:pPr>
        <w:pStyle w:val="Normal1"/>
        <w:spacing w:line="480" w:lineRule="auto"/>
        <w:jc w:val="both"/>
        <w:rPr>
          <w:color w:val="000000" w:themeColor="text1"/>
          <w:sz w:val="24"/>
          <w:szCs w:val="24"/>
          <w:highlight w:val="white"/>
        </w:rPr>
      </w:pPr>
      <w:r w:rsidRPr="00AC49C0">
        <w:rPr>
          <w:color w:val="000000" w:themeColor="text1"/>
          <w:sz w:val="24"/>
          <w:szCs w:val="24"/>
          <w:highlight w:val="white"/>
        </w:rPr>
        <w:t xml:space="preserve">Watson, D., </w:t>
      </w:r>
      <w:proofErr w:type="spellStart"/>
      <w:r w:rsidRPr="00AC49C0">
        <w:rPr>
          <w:color w:val="000000" w:themeColor="text1"/>
          <w:sz w:val="24"/>
          <w:szCs w:val="24"/>
          <w:highlight w:val="white"/>
        </w:rPr>
        <w:t>Boateng</w:t>
      </w:r>
      <w:proofErr w:type="spellEnd"/>
      <w:r w:rsidRPr="00AC49C0">
        <w:rPr>
          <w:color w:val="000000" w:themeColor="text1"/>
          <w:sz w:val="24"/>
          <w:szCs w:val="24"/>
          <w:highlight w:val="white"/>
        </w:rPr>
        <w:t xml:space="preserve">, F.D. and Miles-Johnson, T., (2021). Legitimizing policing practices: A study of stakeholder perceptions of police trustworthiness, effectiveness and relationship with the community. </w:t>
      </w:r>
      <w:r w:rsidRPr="00AC49C0">
        <w:rPr>
          <w:i/>
          <w:color w:val="000000" w:themeColor="text1"/>
          <w:sz w:val="24"/>
          <w:szCs w:val="24"/>
          <w:highlight w:val="white"/>
        </w:rPr>
        <w:t>Police practice and research</w:t>
      </w:r>
      <w:r w:rsidRPr="00AC49C0">
        <w:rPr>
          <w:color w:val="000000" w:themeColor="text1"/>
          <w:sz w:val="24"/>
          <w:szCs w:val="24"/>
          <w:highlight w:val="white"/>
        </w:rPr>
        <w:t xml:space="preserve">, </w:t>
      </w:r>
      <w:r w:rsidRPr="00AC49C0">
        <w:rPr>
          <w:i/>
          <w:color w:val="000000" w:themeColor="text1"/>
          <w:sz w:val="24"/>
          <w:szCs w:val="24"/>
          <w:highlight w:val="white"/>
        </w:rPr>
        <w:t>22</w:t>
      </w:r>
      <w:r w:rsidRPr="00AC49C0">
        <w:rPr>
          <w:color w:val="000000" w:themeColor="text1"/>
          <w:sz w:val="24"/>
          <w:szCs w:val="24"/>
          <w:highlight w:val="white"/>
        </w:rPr>
        <w:t>(1), pp.623-639.</w:t>
      </w:r>
    </w:p>
    <w:p w14:paraId="37CA6AA9" w14:textId="77777777" w:rsidR="00622A6A" w:rsidRPr="00AC49C0" w:rsidRDefault="00622A6A" w:rsidP="0089712C">
      <w:pPr>
        <w:pStyle w:val="Normal1"/>
        <w:spacing w:line="480" w:lineRule="auto"/>
        <w:jc w:val="both"/>
        <w:rPr>
          <w:color w:val="000000" w:themeColor="text1"/>
          <w:sz w:val="24"/>
          <w:szCs w:val="24"/>
          <w:highlight w:val="white"/>
        </w:rPr>
      </w:pPr>
    </w:p>
    <w:p w14:paraId="3627F052" w14:textId="77777777" w:rsidR="00091185" w:rsidRPr="00AC49C0" w:rsidRDefault="00091185" w:rsidP="00B870E5">
      <w:pPr>
        <w:pStyle w:val="Normal1"/>
        <w:spacing w:line="480" w:lineRule="auto"/>
        <w:jc w:val="both"/>
        <w:rPr>
          <w:color w:val="000000" w:themeColor="text1"/>
          <w:sz w:val="24"/>
          <w:szCs w:val="24"/>
          <w:highlight w:val="white"/>
        </w:rPr>
      </w:pPr>
    </w:p>
    <w:sectPr w:rsidR="00091185" w:rsidRPr="00AC49C0" w:rsidSect="00FD6AEA">
      <w:headerReference w:type="default" r:id="rId8"/>
      <w:footerReference w:type="default" r:id="rId9"/>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651F6" w14:textId="77777777" w:rsidR="002933F9" w:rsidRDefault="002933F9" w:rsidP="00FD6AEA">
      <w:pPr>
        <w:spacing w:line="240" w:lineRule="auto"/>
      </w:pPr>
      <w:r>
        <w:separator/>
      </w:r>
    </w:p>
  </w:endnote>
  <w:endnote w:type="continuationSeparator" w:id="0">
    <w:p w14:paraId="422BC37A" w14:textId="77777777" w:rsidR="002933F9" w:rsidRDefault="002933F9" w:rsidP="00FD6A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3711255"/>
      <w:docPartObj>
        <w:docPartGallery w:val="Page Numbers (Bottom of Page)"/>
        <w:docPartUnique/>
      </w:docPartObj>
    </w:sdtPr>
    <w:sdtEndPr/>
    <w:sdtContent>
      <w:sdt>
        <w:sdtPr>
          <w:id w:val="-1769616900"/>
          <w:docPartObj>
            <w:docPartGallery w:val="Page Numbers (Top of Page)"/>
            <w:docPartUnique/>
          </w:docPartObj>
        </w:sdtPr>
        <w:sdtEndPr/>
        <w:sdtContent>
          <w:p w14:paraId="38AE7E28" w14:textId="086AE2E8" w:rsidR="00FD6AEA" w:rsidRDefault="00FD6AE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1014674" w14:textId="77777777" w:rsidR="00FD6AEA" w:rsidRDefault="00FD6A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BD7A8D" w14:textId="77777777" w:rsidR="002933F9" w:rsidRDefault="002933F9" w:rsidP="00FD6AEA">
      <w:pPr>
        <w:spacing w:line="240" w:lineRule="auto"/>
      </w:pPr>
      <w:r>
        <w:separator/>
      </w:r>
    </w:p>
  </w:footnote>
  <w:footnote w:type="continuationSeparator" w:id="0">
    <w:p w14:paraId="7658A055" w14:textId="77777777" w:rsidR="002933F9" w:rsidRDefault="002933F9" w:rsidP="00FD6AE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9F6853" w14:textId="14FD5E05" w:rsidR="00FD6AEA" w:rsidRDefault="00FD6AEA" w:rsidP="00FD6AEA">
    <w:pPr>
      <w:pStyle w:val="Header"/>
      <w:jc w:val="right"/>
    </w:pPr>
    <w:r w:rsidRPr="00FD6AEA">
      <w:t>Preparing for Professional Police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078E2"/>
    <w:multiLevelType w:val="hybridMultilevel"/>
    <w:tmpl w:val="7BB092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30075FA"/>
    <w:multiLevelType w:val="hybridMultilevel"/>
    <w:tmpl w:val="AC70C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12165715">
    <w:abstractNumId w:val="1"/>
  </w:num>
  <w:num w:numId="2" w16cid:durableId="6821282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35A1"/>
    <w:rsid w:val="0007158C"/>
    <w:rsid w:val="000903B5"/>
    <w:rsid w:val="00091185"/>
    <w:rsid w:val="002933F9"/>
    <w:rsid w:val="002B1AA1"/>
    <w:rsid w:val="002E02EC"/>
    <w:rsid w:val="00434CBF"/>
    <w:rsid w:val="00557979"/>
    <w:rsid w:val="005629D5"/>
    <w:rsid w:val="00577B5F"/>
    <w:rsid w:val="00622A6A"/>
    <w:rsid w:val="0075232F"/>
    <w:rsid w:val="00801210"/>
    <w:rsid w:val="00863A48"/>
    <w:rsid w:val="00867DA8"/>
    <w:rsid w:val="00884F89"/>
    <w:rsid w:val="0089712C"/>
    <w:rsid w:val="008B5493"/>
    <w:rsid w:val="008E15AB"/>
    <w:rsid w:val="009B0E97"/>
    <w:rsid w:val="00AC49C0"/>
    <w:rsid w:val="00AF2E31"/>
    <w:rsid w:val="00B41B24"/>
    <w:rsid w:val="00B870E5"/>
    <w:rsid w:val="00C31384"/>
    <w:rsid w:val="00C835A1"/>
    <w:rsid w:val="00D40136"/>
    <w:rsid w:val="00E87396"/>
    <w:rsid w:val="00EE538B"/>
    <w:rsid w:val="00F87110"/>
    <w:rsid w:val="00FD6A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8A53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0E5"/>
    <w:pPr>
      <w:spacing w:line="480" w:lineRule="auto"/>
      <w:jc w:val="both"/>
    </w:pPr>
    <w:rPr>
      <w:sz w:val="24"/>
    </w:rPr>
  </w:style>
  <w:style w:type="paragraph" w:styleId="Heading1">
    <w:name w:val="heading 1"/>
    <w:basedOn w:val="Normal1"/>
    <w:next w:val="Normal1"/>
    <w:link w:val="Heading1Char"/>
    <w:autoRedefine/>
    <w:uiPriority w:val="9"/>
    <w:qFormat/>
    <w:rsid w:val="00B870E5"/>
    <w:pPr>
      <w:keepNext/>
      <w:keepLines/>
      <w:spacing w:before="400" w:after="120" w:line="480" w:lineRule="auto"/>
      <w:jc w:val="both"/>
      <w:outlineLvl w:val="0"/>
    </w:pPr>
    <w:rPr>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customStyle="1" w:styleId="Heading1Char">
    <w:name w:val="Heading 1 Char"/>
    <w:basedOn w:val="DefaultParagraphFont"/>
    <w:link w:val="Heading1"/>
    <w:uiPriority w:val="9"/>
    <w:rsid w:val="00B870E5"/>
    <w:rPr>
      <w:b/>
      <w:sz w:val="28"/>
      <w:szCs w:val="40"/>
    </w:rPr>
  </w:style>
  <w:style w:type="paragraph" w:styleId="Bibliography">
    <w:name w:val="Bibliography"/>
    <w:basedOn w:val="Normal"/>
    <w:next w:val="Normal"/>
    <w:uiPriority w:val="37"/>
    <w:unhideWhenUsed/>
    <w:rsid w:val="00E87396"/>
  </w:style>
  <w:style w:type="character" w:styleId="Hyperlink">
    <w:name w:val="Hyperlink"/>
    <w:basedOn w:val="DefaultParagraphFont"/>
    <w:uiPriority w:val="99"/>
    <w:unhideWhenUsed/>
    <w:rsid w:val="000903B5"/>
    <w:rPr>
      <w:color w:val="0000FF" w:themeColor="hyperlink"/>
      <w:u w:val="single"/>
    </w:rPr>
  </w:style>
  <w:style w:type="character" w:styleId="UnresolvedMention">
    <w:name w:val="Unresolved Mention"/>
    <w:basedOn w:val="DefaultParagraphFont"/>
    <w:uiPriority w:val="99"/>
    <w:semiHidden/>
    <w:unhideWhenUsed/>
    <w:rsid w:val="000903B5"/>
    <w:rPr>
      <w:color w:val="605E5C"/>
      <w:shd w:val="clear" w:color="auto" w:fill="E1DFDD"/>
    </w:rPr>
  </w:style>
  <w:style w:type="paragraph" w:styleId="Header">
    <w:name w:val="header"/>
    <w:basedOn w:val="Normal"/>
    <w:link w:val="HeaderChar"/>
    <w:uiPriority w:val="99"/>
    <w:unhideWhenUsed/>
    <w:rsid w:val="00FD6AEA"/>
    <w:pPr>
      <w:tabs>
        <w:tab w:val="center" w:pos="4680"/>
        <w:tab w:val="right" w:pos="9360"/>
      </w:tabs>
      <w:spacing w:line="240" w:lineRule="auto"/>
    </w:pPr>
  </w:style>
  <w:style w:type="character" w:customStyle="1" w:styleId="HeaderChar">
    <w:name w:val="Header Char"/>
    <w:basedOn w:val="DefaultParagraphFont"/>
    <w:link w:val="Header"/>
    <w:uiPriority w:val="99"/>
    <w:rsid w:val="00FD6AEA"/>
    <w:rPr>
      <w:sz w:val="24"/>
    </w:rPr>
  </w:style>
  <w:style w:type="paragraph" w:styleId="Footer">
    <w:name w:val="footer"/>
    <w:basedOn w:val="Normal"/>
    <w:link w:val="FooterChar"/>
    <w:uiPriority w:val="99"/>
    <w:unhideWhenUsed/>
    <w:rsid w:val="00FD6AEA"/>
    <w:pPr>
      <w:tabs>
        <w:tab w:val="center" w:pos="4680"/>
        <w:tab w:val="right" w:pos="9360"/>
      </w:tabs>
      <w:spacing w:line="240" w:lineRule="auto"/>
    </w:pPr>
  </w:style>
  <w:style w:type="character" w:customStyle="1" w:styleId="FooterChar">
    <w:name w:val="Footer Char"/>
    <w:basedOn w:val="DefaultParagraphFont"/>
    <w:link w:val="Footer"/>
    <w:uiPriority w:val="99"/>
    <w:rsid w:val="00FD6AEA"/>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349468">
      <w:bodyDiv w:val="1"/>
      <w:marLeft w:val="0"/>
      <w:marRight w:val="0"/>
      <w:marTop w:val="0"/>
      <w:marBottom w:val="0"/>
      <w:divBdr>
        <w:top w:val="none" w:sz="0" w:space="0" w:color="auto"/>
        <w:left w:val="none" w:sz="0" w:space="0" w:color="auto"/>
        <w:bottom w:val="none" w:sz="0" w:space="0" w:color="auto"/>
        <w:right w:val="none" w:sz="0" w:space="0" w:color="auto"/>
      </w:divBdr>
    </w:div>
    <w:div w:id="143282880">
      <w:bodyDiv w:val="1"/>
      <w:marLeft w:val="0"/>
      <w:marRight w:val="0"/>
      <w:marTop w:val="0"/>
      <w:marBottom w:val="0"/>
      <w:divBdr>
        <w:top w:val="none" w:sz="0" w:space="0" w:color="auto"/>
        <w:left w:val="none" w:sz="0" w:space="0" w:color="auto"/>
        <w:bottom w:val="none" w:sz="0" w:space="0" w:color="auto"/>
        <w:right w:val="none" w:sz="0" w:space="0" w:color="auto"/>
      </w:divBdr>
    </w:div>
    <w:div w:id="1055934595">
      <w:bodyDiv w:val="1"/>
      <w:marLeft w:val="0"/>
      <w:marRight w:val="0"/>
      <w:marTop w:val="0"/>
      <w:marBottom w:val="0"/>
      <w:divBdr>
        <w:top w:val="none" w:sz="0" w:space="0" w:color="auto"/>
        <w:left w:val="none" w:sz="0" w:space="0" w:color="auto"/>
        <w:bottom w:val="none" w:sz="0" w:space="0" w:color="auto"/>
        <w:right w:val="none" w:sz="0" w:space="0" w:color="auto"/>
      </w:divBdr>
    </w:div>
    <w:div w:id="14983017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gov242</b:Tag>
    <b:SourceType>InternetSite</b:SourceType>
    <b:Guid>{3599B1DC-0021-4461-9485-D123A27E0B6A}</b:Guid>
    <b:Author>
      <b:Author>
        <b:Corporate>gov</b:Corporate>
      </b:Author>
    </b:Author>
    <b:Title>Definition of policing by consent</b:Title>
    <b:Year>2024</b:Year>
    <b:YearAccessed>2024</b:YearAccessed>
    <b:MonthAccessed>June</b:MonthAccessed>
    <b:DayAccessed>14</b:DayAccessed>
    <b:URL>https://www.gov.uk/government/publications/policing-by-consent/definition-of-policing-by-consent</b:URL>
    <b:RefOrder>1</b:RefOrder>
  </b:Source>
  <b:Source>
    <b:Tag>ons241</b:Tag>
    <b:SourceType>InternetSite</b:SourceType>
    <b:Guid>{F07EE968-CA0F-4C0C-8059-D14406988DD4}</b:Guid>
    <b:Author>
      <b:Author>
        <b:Corporate>ons</b:Corporate>
      </b:Author>
    </b:Author>
    <b:Title>Crime in England and Wales: year ending September 2023</b:Title>
    <b:Year>2024</b:Year>
    <b:YearAccessed>2024</b:YearAccessed>
    <b:MonthAccessed>June</b:MonthAccessed>
    <b:DayAccessed>14</b:DayAccessed>
    <b:URL>https://www.ons.gov.uk/peoplepopulationandcommunity/crimeandjustice/bulletins/crimeinenglandandwales/yearendingseptember2023#:~:text=Police%20recorded%20crime%20in%20England,the%20year%20ending%20September%202022.</b:URL>
    <b:RefOrder>2</b:RefOrder>
  </b:Source>
  <b:Source>
    <b:Tag>Mar241</b:Tag>
    <b:SourceType>InternetSite</b:SourceType>
    <b:Guid>{A8EF55A3-32FA-4C2F-B0CB-78FCCCB46917}</b:Guid>
    <b:Author>
      <b:Author>
        <b:NameList>
          <b:Person>
            <b:Last>Faithfull</b:Last>
            <b:First>Mark</b:First>
          </b:Person>
        </b:NameList>
      </b:Author>
    </b:Author>
    <b:Title>U.K. Says ‘Enough Is Enough’ As Shop Assaults Made Specific Crime</b:Title>
    <b:Year>2024</b:Year>
    <b:YearAccessed>2024</b:YearAccessed>
    <b:MonthAccessed>June </b:MonthAccessed>
    <b:DayAccessed>15</b:DayAccessed>
    <b:URL>https://www.forbes.com/sites/markfaithfull/2024/04/10/uk-says-enough-is-enough-as-shop-assaults-made-specific-crime/https://www.forbes.com/sites/markfaithfull/2024/04/10/uk-says-enough-is-enough-as-shop-assaults-made-specific-crime/</b:URL>
    <b:RefOrder>3</b:RefOrder>
  </b:Source>
</b:Sources>
</file>

<file path=customXml/itemProps1.xml><?xml version="1.0" encoding="utf-8"?>
<ds:datastoreItem xmlns:ds="http://schemas.openxmlformats.org/officeDocument/2006/customXml" ds:itemID="{5795B701-4B75-40D5-A035-41D37BAD8FD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1838</Words>
  <Characters>10011</Characters>
  <Application>Microsoft Office Word</Application>
  <DocSecurity>0</DocSecurity>
  <Lines>83</Lines>
  <Paragraphs>23</Paragraphs>
  <ScaleCrop>false</ScaleCrop>
  <Company/>
  <LinksUpToDate>false</LinksUpToDate>
  <CharactersWithSpaces>11826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2024-06-21T09:51:00Z</dcterms:created>
  <dcterms:modified xsi:type="dcterms:W3CDTF">2024-06-21T09:51:00Z</dcterms:modified>
</cp:coreProperties>
</file>