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B16" w:rsidRDefault="00B32B16" w:rsidP="00B32B16">
      <w:pPr>
        <w:rPr>
          <w:b/>
        </w:rPr>
      </w:pPr>
    </w:p>
    <w:p w:rsidR="00B32B16" w:rsidRPr="007F6180" w:rsidRDefault="00B32B16" w:rsidP="00B32B16">
      <w:pPr>
        <w:rPr>
          <w:b/>
        </w:rPr>
      </w:pPr>
    </w:p>
    <w:p w:rsidR="00FE13B6" w:rsidRDefault="00FE13B6">
      <w:pPr>
        <w:rPr>
          <w:b/>
        </w:rPr>
      </w:pPr>
    </w:p>
    <w:p w:rsidR="00BD4363" w:rsidRPr="00B35C83" w:rsidRDefault="00FE13B6" w:rsidP="00B35C83">
      <w:pPr>
        <w:rPr>
          <w:b/>
        </w:rPr>
      </w:pPr>
      <w:r>
        <w:t>This commentary is on the mosaic of Roger II (1095 – 1154) being crowned by Christ, which currently sits in the church of Santa Maria dell’ Ammiraglio [La Martorana] in Palermo, Sicily – and can be dated to the early-to-mid-1140s</w:t>
      </w:r>
      <w:r w:rsidR="009B0917">
        <w:t>.</w:t>
      </w:r>
      <w:r w:rsidR="009B0917">
        <w:rPr>
          <w:rStyle w:val="FootnoteReference"/>
        </w:rPr>
        <w:footnoteReference w:id="1"/>
      </w:r>
      <w:r w:rsidR="009E0896">
        <w:t xml:space="preserve">  </w:t>
      </w:r>
      <w:r w:rsidR="009C5A3B">
        <w:t>Though the presence of the complex within Palermo can be traced back to 1143 – the date to which it was founded by George of Antioch</w:t>
      </w:r>
      <w:r w:rsidR="00E03187">
        <w:t>, the Admiral of Sicily (</w:t>
      </w:r>
      <w:r w:rsidR="00E03187" w:rsidRPr="00E03187">
        <w:rPr>
          <w:i/>
        </w:rPr>
        <w:t>ammiratus ammiratorum</w:t>
      </w:r>
      <w:r w:rsidR="00E03187">
        <w:t xml:space="preserve">) from 1131 to 1152 </w:t>
      </w:r>
      <w:r w:rsidR="009C5A3B">
        <w:t xml:space="preserve">– the timescale of as to when this mosaic was created specifically is far harder to trace, as are the artists that were commissioned </w:t>
      </w:r>
      <w:r w:rsidR="00725D8D">
        <w:t>to produce i</w:t>
      </w:r>
      <w:r w:rsidR="00D176F3">
        <w:t>t, and given the ever-changing political landscape of this period therefore makes it difficult to put some of the mo</w:t>
      </w:r>
      <w:r w:rsidR="009F20A2">
        <w:t>re subtle aspects of its design</w:t>
      </w:r>
      <w:r w:rsidR="00D176F3">
        <w:t xml:space="preserve"> into a specific context.</w:t>
      </w:r>
      <w:r w:rsidR="007C0DCC">
        <w:rPr>
          <w:rStyle w:val="FootnoteReference"/>
        </w:rPr>
        <w:footnoteReference w:id="2"/>
      </w:r>
      <w:r w:rsidR="009F20A2">
        <w:t xml:space="preserve"> </w:t>
      </w:r>
      <w:r w:rsidR="007471DD">
        <w:t xml:space="preserve"> It is important to note that though educated guesses by scholars do exist in connection to these questions, it is currently impossible to know for certain given the lack of solid evidence – a docume</w:t>
      </w:r>
      <w:r w:rsidR="00A22F02">
        <w:t>nt, for example, that would tie an artist or a date to the project.</w:t>
      </w:r>
    </w:p>
    <w:p w:rsidR="007F6180" w:rsidRDefault="00A06DE8" w:rsidP="00232674">
      <w:pPr>
        <w:jc w:val="both"/>
        <w:rPr>
          <w:iCs/>
        </w:rPr>
      </w:pPr>
      <w:r>
        <w:t>Conversely, the presence of both the signatures of</w:t>
      </w:r>
      <w:r w:rsidR="00E03187">
        <w:t xml:space="preserve"> both</w:t>
      </w:r>
      <w:r>
        <w:t xml:space="preserve"> George of Antioch, and of king Roger on the charter from 1143 have only served to complicate this issue further, in the sense that it puts the level of involvement of Roger into question</w:t>
      </w:r>
      <w:r w:rsidR="009E0896">
        <w:t>.</w:t>
      </w:r>
      <w:r w:rsidR="00DE09B6">
        <w:rPr>
          <w:rStyle w:val="FootnoteReference"/>
        </w:rPr>
        <w:footnoteReference w:id="3"/>
      </w:r>
      <w:r w:rsidR="0019769C">
        <w:t xml:space="preserve"> At a glance, it may appear that Roger had significant input on the proje</w:t>
      </w:r>
      <w:r w:rsidR="00DC06A7">
        <w:t xml:space="preserve">ct, but this may not in fact be the case. </w:t>
      </w:r>
      <w:r w:rsidR="0064748B">
        <w:t xml:space="preserve"> Though it would be a given that Roger did indeed have some influence as to the general direction of the project, the extent to which this occurred may merely be the oversight of construction efforts, and the approval (and signing of) planning permissions.</w:t>
      </w:r>
      <w:r w:rsidR="0064748B">
        <w:rPr>
          <w:rStyle w:val="FootnoteReference"/>
        </w:rPr>
        <w:footnoteReference w:id="4"/>
      </w:r>
      <w:r w:rsidR="0064748B">
        <w:t xml:space="preserve"> </w:t>
      </w:r>
      <w:r w:rsidR="003E3BC1">
        <w:t xml:space="preserve"> Discussion of design and intent, therefore, should turn to George of Antioch, seeing as he had sought to found the church in the first place – and as such was far more closely involved in the project, as opposed to Roger who seemed to be playing his role from a distance.</w:t>
      </w:r>
      <w:r w:rsidR="00232674">
        <w:t xml:space="preserve"> </w:t>
      </w:r>
      <w:r w:rsidR="00442FC9">
        <w:t xml:space="preserve"> As an Eastern Orthodox Christian originally from Syria, the involvement of Geo</w:t>
      </w:r>
      <w:r w:rsidR="00D765A9">
        <w:t>rge in this project goes far in showing not only how Roger was able to appoint capable advisors</w:t>
      </w:r>
      <w:r w:rsidR="00794D01">
        <w:t xml:space="preserve"> in connection to their own merit</w:t>
      </w:r>
      <w:r w:rsidR="00D765A9">
        <w:t xml:space="preserve"> (by not discriminating on the basis of their ethnicity or religion), but more importantly the extent to which multiculturalism was an integral part of how Sicilian society functio</w:t>
      </w:r>
      <w:r w:rsidR="009C389F">
        <w:t xml:space="preserve">ned during the </w:t>
      </w:r>
      <w:r w:rsidR="009E318C">
        <w:t>eleventh to thirteenth centuries</w:t>
      </w:r>
      <w:r w:rsidR="009C389F">
        <w:t>.</w:t>
      </w:r>
      <w:r w:rsidR="00794D01">
        <w:t xml:space="preserve"> </w:t>
      </w:r>
      <w:r w:rsidR="00FC2FBD">
        <w:t xml:space="preserve">To put this point briefly into perspective, George was appointed </w:t>
      </w:r>
      <w:r w:rsidR="00FC2FBD">
        <w:rPr>
          <w:i/>
        </w:rPr>
        <w:t xml:space="preserve">Ammiratus ammiratorum </w:t>
      </w:r>
      <w:r w:rsidR="00FC2FBD">
        <w:t xml:space="preserve">(from the Arabic </w:t>
      </w:r>
      <w:r w:rsidR="00FC2FBD" w:rsidRPr="00FC2FBD">
        <w:rPr>
          <w:i/>
          <w:iCs/>
        </w:rPr>
        <w:t>amīr al-baḥ</w:t>
      </w:r>
      <w:r w:rsidR="00FC2FBD">
        <w:rPr>
          <w:i/>
          <w:iCs/>
        </w:rPr>
        <w:t>r</w:t>
      </w:r>
      <w:r w:rsidR="00FC2FBD">
        <w:rPr>
          <w:iCs/>
        </w:rPr>
        <w:t>, literally “emir of emirs” or “commander of commanders”) in 1131 as a reward for his efforts in suppressing the independence movements in Apulia and</w:t>
      </w:r>
      <w:r w:rsidR="002C394E">
        <w:rPr>
          <w:iCs/>
        </w:rPr>
        <w:t xml:space="preserve"> Calabria – among which he was able to force the city of Amalfi into the submission of Roger.</w:t>
      </w:r>
      <w:r w:rsidR="003F02B5">
        <w:rPr>
          <w:rStyle w:val="FootnoteReference"/>
          <w:iCs/>
        </w:rPr>
        <w:footnoteReference w:id="5"/>
      </w:r>
      <w:r w:rsidR="002C394E">
        <w:rPr>
          <w:iCs/>
        </w:rPr>
        <w:t xml:space="preserve"> </w:t>
      </w:r>
      <w:r w:rsidR="006469BF">
        <w:rPr>
          <w:iCs/>
        </w:rPr>
        <w:t xml:space="preserve"> </w:t>
      </w:r>
      <w:r w:rsidR="00C009AE">
        <w:rPr>
          <w:iCs/>
        </w:rPr>
        <w:t>Multi-cultural societies s</w:t>
      </w:r>
      <w:r w:rsidR="00A4358D">
        <w:rPr>
          <w:iCs/>
        </w:rPr>
        <w:t>uch as Sicily</w:t>
      </w:r>
      <w:r w:rsidR="00C009AE">
        <w:rPr>
          <w:iCs/>
        </w:rPr>
        <w:t xml:space="preserve"> </w:t>
      </w:r>
      <w:r w:rsidR="00433F0E">
        <w:rPr>
          <w:iCs/>
        </w:rPr>
        <w:t>offered not only</w:t>
      </w:r>
      <w:r w:rsidR="00C009AE">
        <w:rPr>
          <w:iCs/>
        </w:rPr>
        <w:t xml:space="preserve"> a large degree of social mobility to people such as George (and his peer, Christodulus), but also the means to which they could shape </w:t>
      </w:r>
      <w:r w:rsidR="00C009AE">
        <w:rPr>
          <w:iCs/>
        </w:rPr>
        <w:lastRenderedPageBreak/>
        <w:t>the physical (and by extension cultural) environments around them</w:t>
      </w:r>
      <w:r w:rsidR="00A4358D">
        <w:rPr>
          <w:iCs/>
        </w:rPr>
        <w:t>; something that the Church of Santa Maria demonstrates well</w:t>
      </w:r>
      <w:r w:rsidR="005B08A4">
        <w:rPr>
          <w:iCs/>
        </w:rPr>
        <w:t>, as do</w:t>
      </w:r>
      <w:r w:rsidR="00810004">
        <w:rPr>
          <w:iCs/>
        </w:rPr>
        <w:t xml:space="preserve"> the mosaics within it</w:t>
      </w:r>
      <w:r w:rsidR="00C009AE">
        <w:rPr>
          <w:iCs/>
        </w:rPr>
        <w:t>.</w:t>
      </w:r>
      <w:r w:rsidR="00C009AE">
        <w:rPr>
          <w:rStyle w:val="FootnoteReference"/>
          <w:iCs/>
        </w:rPr>
        <w:footnoteReference w:id="6"/>
      </w:r>
    </w:p>
    <w:p w:rsidR="00B83416" w:rsidRDefault="00B83416" w:rsidP="00232674">
      <w:pPr>
        <w:jc w:val="both"/>
        <w:rPr>
          <w:iCs/>
        </w:rPr>
      </w:pPr>
    </w:p>
    <w:p w:rsidR="007718D1" w:rsidRDefault="00B5646C" w:rsidP="0092524B">
      <w:pPr>
        <w:spacing w:before="240"/>
        <w:jc w:val="both"/>
        <w:rPr>
          <w:iCs/>
        </w:rPr>
      </w:pPr>
      <w:r>
        <w:rPr>
          <w:iCs/>
        </w:rPr>
        <w:t>Through this notion one can gain begin to examine the far more subtle aspects of this Mosaic’s design in connection to their performativity – namely the robes (whi</w:t>
      </w:r>
      <w:r w:rsidR="003C5871">
        <w:rPr>
          <w:iCs/>
        </w:rPr>
        <w:t>ch feature</w:t>
      </w:r>
      <w:r w:rsidR="0092524B">
        <w:rPr>
          <w:iCs/>
        </w:rPr>
        <w:t>s</w:t>
      </w:r>
      <w:r w:rsidR="003C5871">
        <w:rPr>
          <w:iCs/>
        </w:rPr>
        <w:t xml:space="preserve"> the </w:t>
      </w:r>
      <w:r w:rsidR="003C5871" w:rsidRPr="0092524B">
        <w:rPr>
          <w:i/>
          <w:iCs/>
        </w:rPr>
        <w:t>Fleurs-de-Lis</w:t>
      </w:r>
      <w:r w:rsidR="003C5871">
        <w:rPr>
          <w:iCs/>
        </w:rPr>
        <w:t xml:space="preserve">) worn by Roger, and the </w:t>
      </w:r>
      <w:r w:rsidR="003C5871">
        <w:rPr>
          <w:i/>
          <w:iCs/>
        </w:rPr>
        <w:t>Loros</w:t>
      </w:r>
      <w:r w:rsidR="003C5871">
        <w:rPr>
          <w:iCs/>
        </w:rPr>
        <w:t xml:space="preserve"> that rests atop his head.</w:t>
      </w:r>
      <w:r w:rsidR="00255CFB">
        <w:rPr>
          <w:rStyle w:val="FootnoteReference"/>
          <w:iCs/>
        </w:rPr>
        <w:footnoteReference w:id="7"/>
      </w:r>
      <w:r w:rsidR="00255CFB">
        <w:rPr>
          <w:iCs/>
        </w:rPr>
        <w:t xml:space="preserve"> </w:t>
      </w:r>
      <w:r w:rsidR="00F71023">
        <w:rPr>
          <w:iCs/>
        </w:rPr>
        <w:t xml:space="preserve">Although the use of a </w:t>
      </w:r>
      <w:r w:rsidR="00F71023">
        <w:rPr>
          <w:i/>
          <w:iCs/>
        </w:rPr>
        <w:t>Loros</w:t>
      </w:r>
      <w:r w:rsidR="00F71023">
        <w:rPr>
          <w:iCs/>
        </w:rPr>
        <w:t xml:space="preserve"> in this context is far more understandable in this context</w:t>
      </w:r>
      <w:r w:rsidR="0092524B">
        <w:rPr>
          <w:iCs/>
        </w:rPr>
        <w:t xml:space="preserve"> the presence of the </w:t>
      </w:r>
      <w:r w:rsidR="0092524B">
        <w:rPr>
          <w:i/>
          <w:iCs/>
        </w:rPr>
        <w:t>Fleur-de-Lis</w:t>
      </w:r>
      <w:r w:rsidR="0092524B">
        <w:rPr>
          <w:iCs/>
        </w:rPr>
        <w:t xml:space="preserve"> in this image, however, is not. Why, from a s</w:t>
      </w:r>
      <w:r w:rsidR="00F24231">
        <w:rPr>
          <w:iCs/>
        </w:rPr>
        <w:t xml:space="preserve">igillographic perspective </w:t>
      </w:r>
      <w:r w:rsidR="0092524B">
        <w:rPr>
          <w:iCs/>
        </w:rPr>
        <w:t>would the artist (or indeed Roger)</w:t>
      </w:r>
      <w:r w:rsidR="00AE191E">
        <w:rPr>
          <w:iCs/>
        </w:rPr>
        <w:t xml:space="preserve"> adopt a symbol that had been closely associated with the French monarchy since </w:t>
      </w:r>
      <w:r w:rsidR="001F1807">
        <w:rPr>
          <w:iCs/>
        </w:rPr>
        <w:t xml:space="preserve">the era </w:t>
      </w:r>
      <w:r w:rsidR="00AE191E">
        <w:rPr>
          <w:iCs/>
        </w:rPr>
        <w:t>of the Merovingian kings – as opposed to using their own?</w:t>
      </w:r>
      <w:r w:rsidR="005F5D03">
        <w:rPr>
          <w:rStyle w:val="FootnoteReference"/>
          <w:iCs/>
        </w:rPr>
        <w:footnoteReference w:id="8"/>
      </w:r>
      <w:r w:rsidR="00F24231">
        <w:rPr>
          <w:iCs/>
        </w:rPr>
        <w:t xml:space="preserve"> </w:t>
      </w:r>
      <w:r w:rsidR="00126B5E">
        <w:rPr>
          <w:iCs/>
        </w:rPr>
        <w:t>While</w:t>
      </w:r>
      <w:r w:rsidR="00F24231">
        <w:rPr>
          <w:iCs/>
        </w:rPr>
        <w:t xml:space="preserve"> the </w:t>
      </w:r>
      <w:r w:rsidR="00F24231">
        <w:rPr>
          <w:i/>
          <w:iCs/>
        </w:rPr>
        <w:t>Fleur-de-Lis</w:t>
      </w:r>
      <w:r w:rsidR="00F24231">
        <w:rPr>
          <w:iCs/>
        </w:rPr>
        <w:t xml:space="preserve"> was also adopted in Byzantine locales (after being introduced by</w:t>
      </w:r>
      <w:r w:rsidR="00126B5E">
        <w:rPr>
          <w:iCs/>
        </w:rPr>
        <w:t xml:space="preserve"> </w:t>
      </w:r>
      <w:r w:rsidR="00F24231">
        <w:rPr>
          <w:iCs/>
        </w:rPr>
        <w:t xml:space="preserve">Theodore II Laskaris of Nicea), this is a </w:t>
      </w:r>
      <w:r w:rsidR="00A45F50">
        <w:rPr>
          <w:iCs/>
        </w:rPr>
        <w:t>mid-</w:t>
      </w:r>
      <w:r w:rsidR="00F24231">
        <w:rPr>
          <w:iCs/>
        </w:rPr>
        <w:t>thirteenth century development, and therefore post-dates this piece by more than one-hundred years.</w:t>
      </w:r>
      <w:r w:rsidR="00126B5E">
        <w:rPr>
          <w:rStyle w:val="FootnoteReference"/>
          <w:iCs/>
        </w:rPr>
        <w:footnoteReference w:id="9"/>
      </w:r>
      <w:r w:rsidR="00F24231">
        <w:rPr>
          <w:iCs/>
        </w:rPr>
        <w:t xml:space="preserve"> Given that the timescale of this piece is relatively hard to trace the reason behind this </w:t>
      </w:r>
      <w:r w:rsidR="00126B5E">
        <w:rPr>
          <w:iCs/>
        </w:rPr>
        <w:t>decision,</w:t>
      </w:r>
      <w:r w:rsidR="00F24231">
        <w:rPr>
          <w:iCs/>
        </w:rPr>
        <w:t xml:space="preserve"> remain</w:t>
      </w:r>
      <w:r w:rsidR="00126B5E">
        <w:rPr>
          <w:iCs/>
        </w:rPr>
        <w:t>s</w:t>
      </w:r>
      <w:r w:rsidR="00F24231">
        <w:rPr>
          <w:iCs/>
        </w:rPr>
        <w:t xml:space="preserve"> unclear. If the mosaic was c</w:t>
      </w:r>
      <w:r w:rsidR="00C86D9D">
        <w:rPr>
          <w:iCs/>
        </w:rPr>
        <w:t>ompleted</w:t>
      </w:r>
      <w:r w:rsidR="00F24231">
        <w:rPr>
          <w:iCs/>
        </w:rPr>
        <w:t xml:space="preserve"> after 1147, for example, </w:t>
      </w:r>
      <w:r w:rsidR="004B3F36">
        <w:rPr>
          <w:iCs/>
        </w:rPr>
        <w:t>o</w:t>
      </w:r>
      <w:r w:rsidR="00C86D9D">
        <w:rPr>
          <w:iCs/>
        </w:rPr>
        <w:t>ne can assume that it was closely linked to the notion of a shared heritage that had emerged from Roger’s friendship with Louis VII ( r.1137 – 1180), and the summit held at Palermo in 1149 – following Roger’s protection of Louis’ fleet from Byzantine ships at Crete earlier the same year.</w:t>
      </w:r>
      <w:r w:rsidR="009B64AC">
        <w:rPr>
          <w:rStyle w:val="FootnoteReference"/>
          <w:iCs/>
        </w:rPr>
        <w:footnoteReference w:id="10"/>
      </w:r>
      <w:r w:rsidR="00B35C83">
        <w:rPr>
          <w:iCs/>
        </w:rPr>
        <w:t xml:space="preserve"> Alternatively, if completed in the period of 1149 – 1151 this mosaic could also be in response to Roger’s marriage to Sibylla – the sister of Duke Odo of Burgundy, and a descendent of Hugh Capet – and would therefore</w:t>
      </w:r>
      <w:r w:rsidR="000B0C04">
        <w:rPr>
          <w:iCs/>
        </w:rPr>
        <w:t xml:space="preserve"> be</w:t>
      </w:r>
      <w:r w:rsidR="00B35C83">
        <w:rPr>
          <w:iCs/>
        </w:rPr>
        <w:t xml:space="preserve"> a commemorative piece designed to signify his </w:t>
      </w:r>
      <w:r w:rsidR="000B0C04">
        <w:rPr>
          <w:iCs/>
        </w:rPr>
        <w:t>new connection to the</w:t>
      </w:r>
      <w:r w:rsidR="00113EF6">
        <w:rPr>
          <w:iCs/>
        </w:rPr>
        <w:t xml:space="preserve"> house of Capet.</w:t>
      </w:r>
      <w:r w:rsidR="003D5131">
        <w:rPr>
          <w:rStyle w:val="FootnoteReference"/>
          <w:iCs/>
        </w:rPr>
        <w:footnoteReference w:id="11"/>
      </w:r>
    </w:p>
    <w:p w:rsidR="000B0C04" w:rsidRPr="00642FB1" w:rsidRDefault="00D34AD8" w:rsidP="0092524B">
      <w:pPr>
        <w:spacing w:before="240"/>
        <w:jc w:val="both"/>
        <w:rPr>
          <w:iCs/>
        </w:rPr>
      </w:pPr>
      <w:r>
        <w:rPr>
          <w:iCs/>
        </w:rPr>
        <w:t xml:space="preserve">As mentioned previously, the use of a </w:t>
      </w:r>
      <w:r>
        <w:rPr>
          <w:i/>
          <w:iCs/>
        </w:rPr>
        <w:t>Loros</w:t>
      </w:r>
      <w:r>
        <w:rPr>
          <w:iCs/>
        </w:rPr>
        <w:t xml:space="preserve"> in this case is slightly easier to understand, in the sense that this is to be expected from the king of Sicily during this period. That is, of course, to co-opt the imagery of their Byzantine (or Orthodox Christian) neighbours, and to use it as a signifier of power and control over the conquered peoples of Sicily.  </w:t>
      </w:r>
      <w:r w:rsidR="00F13169">
        <w:rPr>
          <w:iCs/>
        </w:rPr>
        <w:t xml:space="preserve">The main question here, however, is as to why the artist would depict a </w:t>
      </w:r>
      <w:r w:rsidR="00F13169">
        <w:rPr>
          <w:i/>
          <w:iCs/>
        </w:rPr>
        <w:t>loros</w:t>
      </w:r>
      <w:r w:rsidR="00F13169">
        <w:rPr>
          <w:iCs/>
        </w:rPr>
        <w:t xml:space="preserve"> in this piece at a point when it had fallen out of fashion for the best part of forty to fifty years. </w:t>
      </w:r>
      <w:r w:rsidR="006B5432">
        <w:rPr>
          <w:iCs/>
        </w:rPr>
        <w:t xml:space="preserve">To put this into context, the </w:t>
      </w:r>
      <w:r w:rsidR="006B5432">
        <w:rPr>
          <w:i/>
          <w:iCs/>
        </w:rPr>
        <w:t>loros</w:t>
      </w:r>
      <w:r w:rsidR="006B5432">
        <w:rPr>
          <w:iCs/>
        </w:rPr>
        <w:t xml:space="preserve"> first emerged in the mid-9</w:t>
      </w:r>
      <w:r w:rsidR="006B5432" w:rsidRPr="006B5432">
        <w:rPr>
          <w:iCs/>
          <w:vertAlign w:val="superscript"/>
        </w:rPr>
        <w:t>th</w:t>
      </w:r>
      <w:r w:rsidR="006B5432">
        <w:rPr>
          <w:iCs/>
        </w:rPr>
        <w:t xml:space="preserve"> century in the form of a robe (</w:t>
      </w:r>
      <w:r w:rsidR="001B4179">
        <w:rPr>
          <w:iCs/>
        </w:rPr>
        <w:t>similar to a R</w:t>
      </w:r>
      <w:r w:rsidR="006B5432">
        <w:rPr>
          <w:iCs/>
        </w:rPr>
        <w:t xml:space="preserve">oman </w:t>
      </w:r>
      <w:r w:rsidR="006B5432">
        <w:rPr>
          <w:i/>
          <w:iCs/>
        </w:rPr>
        <w:t>trabea</w:t>
      </w:r>
      <w:r w:rsidR="006B5432">
        <w:rPr>
          <w:iCs/>
        </w:rPr>
        <w:t xml:space="preserve"> or </w:t>
      </w:r>
      <w:r w:rsidR="006B5432">
        <w:rPr>
          <w:i/>
          <w:iCs/>
        </w:rPr>
        <w:t>toga picta</w:t>
      </w:r>
      <w:r w:rsidR="006B5432">
        <w:rPr>
          <w:iCs/>
        </w:rPr>
        <w:t xml:space="preserve">), to which it eventually changed into a jewelled headscarf, as described by Constantine VII in the </w:t>
      </w:r>
      <w:r w:rsidR="006B5432">
        <w:rPr>
          <w:i/>
          <w:iCs/>
        </w:rPr>
        <w:t>Book of Ceremonies</w:t>
      </w:r>
      <w:r w:rsidR="006B5432">
        <w:rPr>
          <w:iCs/>
        </w:rPr>
        <w:t xml:space="preserve"> – where it was designed to signify the burial of Christ (wrapped in a shroud)</w:t>
      </w:r>
      <w:r w:rsidR="008C39D3">
        <w:rPr>
          <w:iCs/>
        </w:rPr>
        <w:t>.</w:t>
      </w:r>
      <w:r w:rsidR="008C39D3">
        <w:rPr>
          <w:rStyle w:val="FootnoteReference"/>
          <w:iCs/>
        </w:rPr>
        <w:footnoteReference w:id="12"/>
      </w:r>
      <w:r w:rsidR="00642FB1">
        <w:rPr>
          <w:iCs/>
        </w:rPr>
        <w:t xml:space="preserve"> The </w:t>
      </w:r>
      <w:r w:rsidR="00642FB1">
        <w:rPr>
          <w:i/>
          <w:iCs/>
        </w:rPr>
        <w:t xml:space="preserve">loros </w:t>
      </w:r>
      <w:r w:rsidR="00642FB1">
        <w:rPr>
          <w:iCs/>
        </w:rPr>
        <w:t xml:space="preserve">had then fallen out of style post-1100, and </w:t>
      </w:r>
      <w:proofErr w:type="gramStart"/>
      <w:r w:rsidR="00642FB1">
        <w:rPr>
          <w:iCs/>
        </w:rPr>
        <w:t>has been observed</w:t>
      </w:r>
      <w:proofErr w:type="gramEnd"/>
      <w:r w:rsidR="00642FB1">
        <w:rPr>
          <w:iCs/>
        </w:rPr>
        <w:t xml:space="preserve"> in few artistic depictions following this period. </w:t>
      </w:r>
      <w:r w:rsidR="00CB3497">
        <w:rPr>
          <w:iCs/>
        </w:rPr>
        <w:t xml:space="preserve"> This would suggest that the artists had some vague knowledge of Byzantine fashions, and therefore may have originated from (or had visited) Constantinople.</w:t>
      </w:r>
      <w:r w:rsidR="00CB3497">
        <w:rPr>
          <w:rStyle w:val="FootnoteReference"/>
          <w:iCs/>
        </w:rPr>
        <w:footnoteReference w:id="13"/>
      </w:r>
    </w:p>
    <w:p w:rsidR="00D716A5" w:rsidRDefault="00D716A5" w:rsidP="00232674">
      <w:pPr>
        <w:jc w:val="both"/>
        <w:rPr>
          <w:iCs/>
        </w:rPr>
      </w:pPr>
    </w:p>
    <w:p w:rsidR="00D716A5" w:rsidRDefault="00D716A5">
      <w:pPr>
        <w:rPr>
          <w:iCs/>
        </w:rPr>
      </w:pPr>
      <w:r>
        <w:rPr>
          <w:iCs/>
        </w:rPr>
        <w:lastRenderedPageBreak/>
        <w:br w:type="page"/>
      </w:r>
    </w:p>
    <w:p w:rsidR="007718D1" w:rsidRPr="00D716A5" w:rsidRDefault="00D716A5" w:rsidP="00232674">
      <w:pPr>
        <w:jc w:val="both"/>
        <w:rPr>
          <w:iCs/>
          <w:u w:val="single"/>
        </w:rPr>
      </w:pPr>
      <w:r w:rsidRPr="00D716A5">
        <w:rPr>
          <w:iCs/>
          <w:u w:val="single"/>
        </w:rPr>
        <w:lastRenderedPageBreak/>
        <w:t>Bibliography</w:t>
      </w:r>
    </w:p>
    <w:p w:rsidR="00D716A5" w:rsidRPr="00D716A5" w:rsidRDefault="00D716A5" w:rsidP="00D716A5">
      <w:pPr>
        <w:jc w:val="both"/>
      </w:pPr>
      <w:r>
        <w:t>Baker, D., and Bryer A.</w:t>
      </w:r>
      <w:r w:rsidRPr="00D716A5">
        <w:t xml:space="preserve"> 1973.</w:t>
      </w:r>
      <w:r w:rsidRPr="00D716A5">
        <w:rPr>
          <w:i/>
          <w:iCs/>
        </w:rPr>
        <w:t xml:space="preserve"> Relations between East and West in the </w:t>
      </w:r>
      <w:proofErr w:type="gramStart"/>
      <w:r w:rsidRPr="00D716A5">
        <w:rPr>
          <w:i/>
          <w:iCs/>
        </w:rPr>
        <w:t>Middle</w:t>
      </w:r>
      <w:proofErr w:type="gramEnd"/>
      <w:r w:rsidRPr="00D716A5">
        <w:rPr>
          <w:i/>
          <w:iCs/>
        </w:rPr>
        <w:t xml:space="preserve"> Ages</w:t>
      </w:r>
      <w:r w:rsidRPr="00D716A5">
        <w:t> (Edinburgh: Univ. Press)</w:t>
      </w:r>
      <w:bookmarkStart w:id="0" w:name="_GoBack"/>
      <w:bookmarkEnd w:id="0"/>
    </w:p>
    <w:p w:rsidR="00D716A5" w:rsidRPr="00D716A5" w:rsidRDefault="00D716A5" w:rsidP="00D716A5">
      <w:pPr>
        <w:jc w:val="both"/>
      </w:pPr>
      <w:r w:rsidRPr="00D716A5">
        <w:t>Hayes, D.M. 2013a.</w:t>
      </w:r>
      <w:r w:rsidRPr="00D716A5">
        <w:rPr>
          <w:i/>
          <w:iCs/>
        </w:rPr>
        <w:t> 'On the Significance of Roger II of Sicily's Antiquated Loros in the Santa Maria dell'Ammiraglio, Palermo'</w:t>
      </w:r>
      <w:r w:rsidRPr="00D716A5">
        <w:t xml:space="preserve">, Allegorica, </w:t>
      </w:r>
      <w:r>
        <w:t>v</w:t>
      </w:r>
      <w:r w:rsidRPr="00D716A5">
        <w:t>29</w:t>
      </w:r>
      <w:r>
        <w:t xml:space="preserve"> (1)</w:t>
      </w:r>
      <w:r w:rsidRPr="00D716A5">
        <w:t>: 52-69</w:t>
      </w:r>
    </w:p>
    <w:p w:rsidR="00D716A5" w:rsidRPr="00D716A5" w:rsidRDefault="00D716A5" w:rsidP="00D716A5">
      <w:pPr>
        <w:jc w:val="both"/>
      </w:pPr>
      <w:r w:rsidRPr="00D716A5">
        <w:t>Hayes, D.M. 2013b.</w:t>
      </w:r>
      <w:r w:rsidRPr="00D716A5">
        <w:rPr>
          <w:i/>
          <w:iCs/>
        </w:rPr>
        <w:t> 'French Connections: The Significance of the Fleurs-de-Lis in the Mosaic of King Roger II of Sicily in the Church of Santa Maria dell’Ammiraglio, Palermo'</w:t>
      </w:r>
      <w:r w:rsidRPr="00D716A5">
        <w:t xml:space="preserve">, </w:t>
      </w:r>
      <w:proofErr w:type="spellStart"/>
      <w:r w:rsidRPr="00D716A5">
        <w:t>Viator</w:t>
      </w:r>
      <w:proofErr w:type="spellEnd"/>
      <w:r w:rsidRPr="00D716A5">
        <w:t xml:space="preserve">, </w:t>
      </w:r>
      <w:r>
        <w:t>v</w:t>
      </w:r>
      <w:r w:rsidRPr="00D716A5">
        <w:t>44</w:t>
      </w:r>
      <w:r>
        <w:t xml:space="preserve"> (1)</w:t>
      </w:r>
      <w:r w:rsidRPr="00D716A5">
        <w:t>: 119-149</w:t>
      </w:r>
    </w:p>
    <w:p w:rsidR="007718D1" w:rsidRPr="00FE13B6" w:rsidRDefault="007718D1" w:rsidP="00232674">
      <w:pPr>
        <w:jc w:val="both"/>
      </w:pPr>
    </w:p>
    <w:sectPr w:rsidR="007718D1" w:rsidRPr="00FE13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917" w:rsidRDefault="009B0917" w:rsidP="009B0917">
      <w:pPr>
        <w:spacing w:after="0" w:line="240" w:lineRule="auto"/>
      </w:pPr>
      <w:r>
        <w:separator/>
      </w:r>
    </w:p>
  </w:endnote>
  <w:endnote w:type="continuationSeparator" w:id="0">
    <w:p w:rsidR="009B0917" w:rsidRDefault="009B0917" w:rsidP="009B0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917" w:rsidRDefault="009B0917" w:rsidP="009B0917">
      <w:pPr>
        <w:spacing w:after="0" w:line="240" w:lineRule="auto"/>
      </w:pPr>
      <w:r>
        <w:separator/>
      </w:r>
    </w:p>
  </w:footnote>
  <w:footnote w:type="continuationSeparator" w:id="0">
    <w:p w:rsidR="009B0917" w:rsidRDefault="009B0917" w:rsidP="009B0917">
      <w:pPr>
        <w:spacing w:after="0" w:line="240" w:lineRule="auto"/>
      </w:pPr>
      <w:r>
        <w:continuationSeparator/>
      </w:r>
    </w:p>
  </w:footnote>
  <w:footnote w:id="1">
    <w:p w:rsidR="009B0917" w:rsidRDefault="009B0917">
      <w:pPr>
        <w:pStyle w:val="FootnoteText"/>
      </w:pPr>
      <w:r>
        <w:rPr>
          <w:rStyle w:val="FootnoteReference"/>
        </w:rPr>
        <w:footnoteRef/>
      </w:r>
      <w:r>
        <w:t xml:space="preserve"> </w:t>
      </w:r>
      <w:r w:rsidRPr="009B0917">
        <w:t>Hayes, D.M. 2013.</w:t>
      </w:r>
      <w:r w:rsidRPr="009B0917">
        <w:rPr>
          <w:i/>
          <w:iCs/>
        </w:rPr>
        <w:t> 'French Connections: The Significance of the Fleurs-de-Lis in the Mosaic of King Roger II of Sicily in the Church of Santa Maria dell’Ammiraglio, Palermo'</w:t>
      </w:r>
      <w:r w:rsidRPr="009B0917">
        <w:t xml:space="preserve">, Viator, </w:t>
      </w:r>
      <w:r>
        <w:t>v</w:t>
      </w:r>
      <w:r w:rsidRPr="009B0917">
        <w:t>44</w:t>
      </w:r>
      <w:r>
        <w:t xml:space="preserve"> (1): pp119</w:t>
      </w:r>
    </w:p>
  </w:footnote>
  <w:footnote w:id="2">
    <w:p w:rsidR="00DE09B6" w:rsidRPr="00DE09B6" w:rsidRDefault="007C0DCC" w:rsidP="00DE09B6">
      <w:pPr>
        <w:pStyle w:val="FootnoteText"/>
      </w:pPr>
      <w:r>
        <w:rPr>
          <w:rStyle w:val="FootnoteReference"/>
        </w:rPr>
        <w:footnoteRef/>
      </w:r>
      <w:r>
        <w:t xml:space="preserve"> </w:t>
      </w:r>
      <w:r w:rsidR="004C3995">
        <w:t>Baker, D., and</w:t>
      </w:r>
      <w:r w:rsidR="00DE09B6" w:rsidRPr="00DE09B6">
        <w:t xml:space="preserve"> Bryer.</w:t>
      </w:r>
      <w:r w:rsidR="004C3995">
        <w:t xml:space="preserve"> A.</w:t>
      </w:r>
      <w:r w:rsidR="00DE09B6" w:rsidRPr="00DE09B6">
        <w:t xml:space="preserve"> 1973.</w:t>
      </w:r>
      <w:r w:rsidR="00DE09B6" w:rsidRPr="00DE09B6">
        <w:rPr>
          <w:i/>
          <w:iCs/>
        </w:rPr>
        <w:t> Relations between East and West in the Middle Ages</w:t>
      </w:r>
      <w:r w:rsidR="00DE09B6">
        <w:t> (Edinburgh: Univ. Press), pp85, Hayes, D.M. 2013, pp119</w:t>
      </w:r>
      <w:r w:rsidR="00DE09B6" w:rsidRPr="00DE09B6">
        <w:rPr>
          <w:vanish/>
        </w:rPr>
        <w:t>Top of FormBottom of Form</w:t>
      </w:r>
    </w:p>
    <w:p w:rsidR="007C0DCC" w:rsidRDefault="007C0DCC">
      <w:pPr>
        <w:pStyle w:val="FootnoteText"/>
      </w:pPr>
    </w:p>
  </w:footnote>
  <w:footnote w:id="3">
    <w:p w:rsidR="00DE09B6" w:rsidRDefault="00DE09B6">
      <w:pPr>
        <w:pStyle w:val="FootnoteText"/>
      </w:pPr>
      <w:r>
        <w:rPr>
          <w:rStyle w:val="FootnoteReference"/>
        </w:rPr>
        <w:footnoteRef/>
      </w:r>
      <w:r>
        <w:t xml:space="preserve"> Hayes, D.M. 2013, pp120 </w:t>
      </w:r>
    </w:p>
  </w:footnote>
  <w:footnote w:id="4">
    <w:p w:rsidR="0064748B" w:rsidRDefault="0064748B">
      <w:pPr>
        <w:pStyle w:val="FootnoteText"/>
      </w:pPr>
      <w:r>
        <w:rPr>
          <w:rStyle w:val="FootnoteReference"/>
        </w:rPr>
        <w:footnoteRef/>
      </w:r>
      <w:r>
        <w:t xml:space="preserve"> Hayes, D.M.,2013, pp121</w:t>
      </w:r>
    </w:p>
  </w:footnote>
  <w:footnote w:id="5">
    <w:p w:rsidR="003F02B5" w:rsidRDefault="003F02B5">
      <w:pPr>
        <w:pStyle w:val="FootnoteText"/>
      </w:pPr>
      <w:r>
        <w:rPr>
          <w:rStyle w:val="FootnoteReference"/>
        </w:rPr>
        <w:footnoteRef/>
      </w:r>
      <w:r>
        <w:t xml:space="preserve"> Baker, D., and Bryer, A., 1973, pp86</w:t>
      </w:r>
    </w:p>
  </w:footnote>
  <w:footnote w:id="6">
    <w:p w:rsidR="00C009AE" w:rsidRDefault="00C009AE">
      <w:pPr>
        <w:pStyle w:val="FootnoteText"/>
      </w:pPr>
      <w:r>
        <w:rPr>
          <w:rStyle w:val="FootnoteReference"/>
        </w:rPr>
        <w:footnoteRef/>
      </w:r>
      <w:r>
        <w:t xml:space="preserve"> Baker, D., and Bryer, A., 197</w:t>
      </w:r>
      <w:r w:rsidR="00817DC6">
        <w:t>3, pp87</w:t>
      </w:r>
    </w:p>
  </w:footnote>
  <w:footnote w:id="7">
    <w:p w:rsidR="00255CFB" w:rsidRDefault="00255CFB">
      <w:pPr>
        <w:pStyle w:val="FootnoteText"/>
      </w:pPr>
      <w:r>
        <w:rPr>
          <w:rStyle w:val="FootnoteReference"/>
        </w:rPr>
        <w:footnoteRef/>
      </w:r>
      <w:r>
        <w:t xml:space="preserve"> </w:t>
      </w:r>
      <w:r w:rsidRPr="00255CFB">
        <w:t>Hayes, D.M. 2013.</w:t>
      </w:r>
      <w:r w:rsidRPr="00255CFB">
        <w:rPr>
          <w:i/>
          <w:iCs/>
        </w:rPr>
        <w:t> 'On the Significance of Roger II of Sicily's Antiquated Loros in the Santa Maria dell'Ammiraglio, Palermo'</w:t>
      </w:r>
      <w:r w:rsidRPr="00255CFB">
        <w:t xml:space="preserve">, Allegorica, </w:t>
      </w:r>
      <w:r>
        <w:t>v</w:t>
      </w:r>
      <w:r w:rsidRPr="00255CFB">
        <w:t>29</w:t>
      </w:r>
      <w:r>
        <w:t xml:space="preserve"> (1): pp52</w:t>
      </w:r>
      <w:r w:rsidR="00C50AED">
        <w:t>, Hayes D.M 2013, pp121</w:t>
      </w:r>
    </w:p>
  </w:footnote>
  <w:footnote w:id="8">
    <w:p w:rsidR="005F5D03" w:rsidRDefault="005F5D03">
      <w:pPr>
        <w:pStyle w:val="FootnoteText"/>
      </w:pPr>
      <w:r>
        <w:rPr>
          <w:rStyle w:val="FootnoteReference"/>
        </w:rPr>
        <w:footnoteRef/>
      </w:r>
      <w:r>
        <w:t xml:space="preserve"> Hayes, D.M. 2013, pp121</w:t>
      </w:r>
    </w:p>
  </w:footnote>
  <w:footnote w:id="9">
    <w:p w:rsidR="00126B5E" w:rsidRDefault="00126B5E">
      <w:pPr>
        <w:pStyle w:val="FootnoteText"/>
      </w:pPr>
      <w:r>
        <w:rPr>
          <w:rStyle w:val="FootnoteReference"/>
        </w:rPr>
        <w:footnoteRef/>
      </w:r>
      <w:r>
        <w:t xml:space="preserve"> </w:t>
      </w:r>
      <w:r w:rsidR="009B70B8">
        <w:t>Hayes, D.M. 2013, pp122</w:t>
      </w:r>
    </w:p>
  </w:footnote>
  <w:footnote w:id="10">
    <w:p w:rsidR="009B64AC" w:rsidRDefault="009B64AC">
      <w:pPr>
        <w:pStyle w:val="FootnoteText"/>
      </w:pPr>
      <w:r>
        <w:rPr>
          <w:rStyle w:val="FootnoteReference"/>
        </w:rPr>
        <w:footnoteRef/>
      </w:r>
      <w:r>
        <w:t xml:space="preserve"> </w:t>
      </w:r>
      <w:r w:rsidR="00ED05E6">
        <w:t>Hayes, D.M. 2013, pp122</w:t>
      </w:r>
    </w:p>
  </w:footnote>
  <w:footnote w:id="11">
    <w:p w:rsidR="003D5131" w:rsidRDefault="003D5131">
      <w:pPr>
        <w:pStyle w:val="FootnoteText"/>
      </w:pPr>
      <w:r>
        <w:rPr>
          <w:rStyle w:val="FootnoteReference"/>
        </w:rPr>
        <w:footnoteRef/>
      </w:r>
      <w:r>
        <w:t xml:space="preserve"> Hayes, D.M. 2013, pp123</w:t>
      </w:r>
    </w:p>
  </w:footnote>
  <w:footnote w:id="12">
    <w:p w:rsidR="008C39D3" w:rsidRDefault="008C39D3">
      <w:pPr>
        <w:pStyle w:val="FootnoteText"/>
      </w:pPr>
      <w:r>
        <w:rPr>
          <w:rStyle w:val="FootnoteReference"/>
        </w:rPr>
        <w:footnoteRef/>
      </w:r>
      <w:r>
        <w:t xml:space="preserve"> Hayes, D.M. 2013, pp57</w:t>
      </w:r>
    </w:p>
  </w:footnote>
  <w:footnote w:id="13">
    <w:p w:rsidR="00CB3497" w:rsidRDefault="00CB3497">
      <w:pPr>
        <w:pStyle w:val="FootnoteText"/>
      </w:pPr>
      <w:r>
        <w:rPr>
          <w:rStyle w:val="FootnoteReference"/>
        </w:rPr>
        <w:footnoteRef/>
      </w:r>
      <w:r>
        <w:t xml:space="preserve"> Hayes, D.M. 2013, pp58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6A796D"/>
    <w:multiLevelType w:val="hybridMultilevel"/>
    <w:tmpl w:val="1466DD44"/>
    <w:lvl w:ilvl="0" w:tplc="2D6E4566">
      <w:start w:val="1"/>
      <w:numFmt w:val="bullet"/>
      <w:lvlText w:val="•"/>
      <w:lvlJc w:val="left"/>
      <w:pPr>
        <w:tabs>
          <w:tab w:val="num" w:pos="720"/>
        </w:tabs>
        <w:ind w:left="720" w:hanging="360"/>
      </w:pPr>
      <w:rPr>
        <w:rFonts w:ascii="Arial" w:hAnsi="Arial" w:hint="default"/>
      </w:rPr>
    </w:lvl>
    <w:lvl w:ilvl="1" w:tplc="E9F87ED0" w:tentative="1">
      <w:start w:val="1"/>
      <w:numFmt w:val="bullet"/>
      <w:lvlText w:val="•"/>
      <w:lvlJc w:val="left"/>
      <w:pPr>
        <w:tabs>
          <w:tab w:val="num" w:pos="1440"/>
        </w:tabs>
        <w:ind w:left="1440" w:hanging="360"/>
      </w:pPr>
      <w:rPr>
        <w:rFonts w:ascii="Arial" w:hAnsi="Arial" w:hint="default"/>
      </w:rPr>
    </w:lvl>
    <w:lvl w:ilvl="2" w:tplc="97A65334" w:tentative="1">
      <w:start w:val="1"/>
      <w:numFmt w:val="bullet"/>
      <w:lvlText w:val="•"/>
      <w:lvlJc w:val="left"/>
      <w:pPr>
        <w:tabs>
          <w:tab w:val="num" w:pos="2160"/>
        </w:tabs>
        <w:ind w:left="2160" w:hanging="360"/>
      </w:pPr>
      <w:rPr>
        <w:rFonts w:ascii="Arial" w:hAnsi="Arial" w:hint="default"/>
      </w:rPr>
    </w:lvl>
    <w:lvl w:ilvl="3" w:tplc="8792880A" w:tentative="1">
      <w:start w:val="1"/>
      <w:numFmt w:val="bullet"/>
      <w:lvlText w:val="•"/>
      <w:lvlJc w:val="left"/>
      <w:pPr>
        <w:tabs>
          <w:tab w:val="num" w:pos="2880"/>
        </w:tabs>
        <w:ind w:left="2880" w:hanging="360"/>
      </w:pPr>
      <w:rPr>
        <w:rFonts w:ascii="Arial" w:hAnsi="Arial" w:hint="default"/>
      </w:rPr>
    </w:lvl>
    <w:lvl w:ilvl="4" w:tplc="90548FEC" w:tentative="1">
      <w:start w:val="1"/>
      <w:numFmt w:val="bullet"/>
      <w:lvlText w:val="•"/>
      <w:lvlJc w:val="left"/>
      <w:pPr>
        <w:tabs>
          <w:tab w:val="num" w:pos="3600"/>
        </w:tabs>
        <w:ind w:left="3600" w:hanging="360"/>
      </w:pPr>
      <w:rPr>
        <w:rFonts w:ascii="Arial" w:hAnsi="Arial" w:hint="default"/>
      </w:rPr>
    </w:lvl>
    <w:lvl w:ilvl="5" w:tplc="C98CAABC" w:tentative="1">
      <w:start w:val="1"/>
      <w:numFmt w:val="bullet"/>
      <w:lvlText w:val="•"/>
      <w:lvlJc w:val="left"/>
      <w:pPr>
        <w:tabs>
          <w:tab w:val="num" w:pos="4320"/>
        </w:tabs>
        <w:ind w:left="4320" w:hanging="360"/>
      </w:pPr>
      <w:rPr>
        <w:rFonts w:ascii="Arial" w:hAnsi="Arial" w:hint="default"/>
      </w:rPr>
    </w:lvl>
    <w:lvl w:ilvl="6" w:tplc="815E84E0" w:tentative="1">
      <w:start w:val="1"/>
      <w:numFmt w:val="bullet"/>
      <w:lvlText w:val="•"/>
      <w:lvlJc w:val="left"/>
      <w:pPr>
        <w:tabs>
          <w:tab w:val="num" w:pos="5040"/>
        </w:tabs>
        <w:ind w:left="5040" w:hanging="360"/>
      </w:pPr>
      <w:rPr>
        <w:rFonts w:ascii="Arial" w:hAnsi="Arial" w:hint="default"/>
      </w:rPr>
    </w:lvl>
    <w:lvl w:ilvl="7" w:tplc="2B48C596" w:tentative="1">
      <w:start w:val="1"/>
      <w:numFmt w:val="bullet"/>
      <w:lvlText w:val="•"/>
      <w:lvlJc w:val="left"/>
      <w:pPr>
        <w:tabs>
          <w:tab w:val="num" w:pos="5760"/>
        </w:tabs>
        <w:ind w:left="5760" w:hanging="360"/>
      </w:pPr>
      <w:rPr>
        <w:rFonts w:ascii="Arial" w:hAnsi="Arial" w:hint="default"/>
      </w:rPr>
    </w:lvl>
    <w:lvl w:ilvl="8" w:tplc="90BCE9F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74D"/>
    <w:rsid w:val="00077597"/>
    <w:rsid w:val="00092256"/>
    <w:rsid w:val="000B0C04"/>
    <w:rsid w:val="00113EF6"/>
    <w:rsid w:val="00126B5E"/>
    <w:rsid w:val="0019769C"/>
    <w:rsid w:val="001B4179"/>
    <w:rsid w:val="001F1807"/>
    <w:rsid w:val="00232674"/>
    <w:rsid w:val="0024174D"/>
    <w:rsid w:val="00255CFB"/>
    <w:rsid w:val="002C394E"/>
    <w:rsid w:val="0036405F"/>
    <w:rsid w:val="003C5871"/>
    <w:rsid w:val="003D5131"/>
    <w:rsid w:val="003E3BC1"/>
    <w:rsid w:val="003F02B5"/>
    <w:rsid w:val="00414D6C"/>
    <w:rsid w:val="00433F0E"/>
    <w:rsid w:val="00442FC9"/>
    <w:rsid w:val="004B3F36"/>
    <w:rsid w:val="004C3995"/>
    <w:rsid w:val="00503C84"/>
    <w:rsid w:val="005A4E7D"/>
    <w:rsid w:val="005B08A4"/>
    <w:rsid w:val="005C7162"/>
    <w:rsid w:val="005F5D03"/>
    <w:rsid w:val="00642FB1"/>
    <w:rsid w:val="006469BF"/>
    <w:rsid w:val="0064748B"/>
    <w:rsid w:val="006B5432"/>
    <w:rsid w:val="0070239C"/>
    <w:rsid w:val="00725D8D"/>
    <w:rsid w:val="007471DD"/>
    <w:rsid w:val="007718D1"/>
    <w:rsid w:val="00794D01"/>
    <w:rsid w:val="007C0DCC"/>
    <w:rsid w:val="007F6180"/>
    <w:rsid w:val="00810004"/>
    <w:rsid w:val="00817DC6"/>
    <w:rsid w:val="008B79CD"/>
    <w:rsid w:val="008C39D3"/>
    <w:rsid w:val="0092524B"/>
    <w:rsid w:val="009848D3"/>
    <w:rsid w:val="009B0917"/>
    <w:rsid w:val="009B64AC"/>
    <w:rsid w:val="009B70B8"/>
    <w:rsid w:val="009C389F"/>
    <w:rsid w:val="009C5A3B"/>
    <w:rsid w:val="009E0896"/>
    <w:rsid w:val="009E318C"/>
    <w:rsid w:val="009F20A2"/>
    <w:rsid w:val="00A06DE8"/>
    <w:rsid w:val="00A22F02"/>
    <w:rsid w:val="00A4358D"/>
    <w:rsid w:val="00A45F50"/>
    <w:rsid w:val="00AE191E"/>
    <w:rsid w:val="00B26700"/>
    <w:rsid w:val="00B32B16"/>
    <w:rsid w:val="00B35C83"/>
    <w:rsid w:val="00B5646C"/>
    <w:rsid w:val="00B83416"/>
    <w:rsid w:val="00BD4363"/>
    <w:rsid w:val="00C009AE"/>
    <w:rsid w:val="00C16AB8"/>
    <w:rsid w:val="00C50AED"/>
    <w:rsid w:val="00C86D9D"/>
    <w:rsid w:val="00CB3497"/>
    <w:rsid w:val="00D176F3"/>
    <w:rsid w:val="00D34AD8"/>
    <w:rsid w:val="00D716A5"/>
    <w:rsid w:val="00D765A9"/>
    <w:rsid w:val="00DC06A7"/>
    <w:rsid w:val="00DE09B6"/>
    <w:rsid w:val="00E03187"/>
    <w:rsid w:val="00E454F0"/>
    <w:rsid w:val="00EA3AF4"/>
    <w:rsid w:val="00ED05E6"/>
    <w:rsid w:val="00F13169"/>
    <w:rsid w:val="00F24231"/>
    <w:rsid w:val="00F71023"/>
    <w:rsid w:val="00FC2FBD"/>
    <w:rsid w:val="00FE1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82EA5"/>
  <w15:docId w15:val="{61708D7F-E63A-42EF-B2C8-53032063C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B09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0917"/>
    <w:rPr>
      <w:sz w:val="20"/>
      <w:szCs w:val="20"/>
    </w:rPr>
  </w:style>
  <w:style w:type="character" w:styleId="FootnoteReference">
    <w:name w:val="footnote reference"/>
    <w:basedOn w:val="DefaultParagraphFont"/>
    <w:uiPriority w:val="99"/>
    <w:semiHidden/>
    <w:unhideWhenUsed/>
    <w:rsid w:val="009B0917"/>
    <w:rPr>
      <w:vertAlign w:val="superscript"/>
    </w:rPr>
  </w:style>
  <w:style w:type="paragraph" w:styleId="NormalWeb">
    <w:name w:val="Normal (Web)"/>
    <w:basedOn w:val="Normal"/>
    <w:uiPriority w:val="99"/>
    <w:semiHidden/>
    <w:unhideWhenUsed/>
    <w:rsid w:val="00DE09B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112814">
      <w:bodyDiv w:val="1"/>
      <w:marLeft w:val="0"/>
      <w:marRight w:val="0"/>
      <w:marTop w:val="0"/>
      <w:marBottom w:val="0"/>
      <w:divBdr>
        <w:top w:val="none" w:sz="0" w:space="0" w:color="auto"/>
        <w:left w:val="none" w:sz="0" w:space="0" w:color="auto"/>
        <w:bottom w:val="none" w:sz="0" w:space="0" w:color="auto"/>
        <w:right w:val="none" w:sz="0" w:space="0" w:color="auto"/>
      </w:divBdr>
    </w:div>
    <w:div w:id="1412195316">
      <w:bodyDiv w:val="1"/>
      <w:marLeft w:val="0"/>
      <w:marRight w:val="0"/>
      <w:marTop w:val="0"/>
      <w:marBottom w:val="0"/>
      <w:divBdr>
        <w:top w:val="none" w:sz="0" w:space="0" w:color="auto"/>
        <w:left w:val="none" w:sz="0" w:space="0" w:color="auto"/>
        <w:bottom w:val="none" w:sz="0" w:space="0" w:color="auto"/>
        <w:right w:val="none" w:sz="0" w:space="0" w:color="auto"/>
      </w:divBdr>
      <w:divsChild>
        <w:div w:id="600181257">
          <w:marLeft w:val="547"/>
          <w:marRight w:val="0"/>
          <w:marTop w:val="115"/>
          <w:marBottom w:val="0"/>
          <w:divBdr>
            <w:top w:val="none" w:sz="0" w:space="0" w:color="auto"/>
            <w:left w:val="none" w:sz="0" w:space="0" w:color="auto"/>
            <w:bottom w:val="none" w:sz="0" w:space="0" w:color="auto"/>
            <w:right w:val="none" w:sz="0" w:space="0" w:color="auto"/>
          </w:divBdr>
        </w:div>
        <w:div w:id="510603339">
          <w:marLeft w:val="547"/>
          <w:marRight w:val="0"/>
          <w:marTop w:val="115"/>
          <w:marBottom w:val="0"/>
          <w:divBdr>
            <w:top w:val="none" w:sz="0" w:space="0" w:color="auto"/>
            <w:left w:val="none" w:sz="0" w:space="0" w:color="auto"/>
            <w:bottom w:val="none" w:sz="0" w:space="0" w:color="auto"/>
            <w:right w:val="none" w:sz="0" w:space="0" w:color="auto"/>
          </w:divBdr>
        </w:div>
        <w:div w:id="1801848574">
          <w:marLeft w:val="547"/>
          <w:marRight w:val="0"/>
          <w:marTop w:val="115"/>
          <w:marBottom w:val="0"/>
          <w:divBdr>
            <w:top w:val="none" w:sz="0" w:space="0" w:color="auto"/>
            <w:left w:val="none" w:sz="0" w:space="0" w:color="auto"/>
            <w:bottom w:val="none" w:sz="0" w:space="0" w:color="auto"/>
            <w:right w:val="none" w:sz="0" w:space="0" w:color="auto"/>
          </w:divBdr>
        </w:div>
        <w:div w:id="392580335">
          <w:marLeft w:val="547"/>
          <w:marRight w:val="0"/>
          <w:marTop w:val="115"/>
          <w:marBottom w:val="0"/>
          <w:divBdr>
            <w:top w:val="none" w:sz="0" w:space="0" w:color="auto"/>
            <w:left w:val="none" w:sz="0" w:space="0" w:color="auto"/>
            <w:bottom w:val="none" w:sz="0" w:space="0" w:color="auto"/>
            <w:right w:val="none" w:sz="0" w:space="0" w:color="auto"/>
          </w:divBdr>
        </w:div>
        <w:div w:id="1830362057">
          <w:marLeft w:val="547"/>
          <w:marRight w:val="0"/>
          <w:marTop w:val="115"/>
          <w:marBottom w:val="0"/>
          <w:divBdr>
            <w:top w:val="none" w:sz="0" w:space="0" w:color="auto"/>
            <w:left w:val="none" w:sz="0" w:space="0" w:color="auto"/>
            <w:bottom w:val="none" w:sz="0" w:space="0" w:color="auto"/>
            <w:right w:val="none" w:sz="0" w:space="0" w:color="auto"/>
          </w:divBdr>
        </w:div>
        <w:div w:id="854343503">
          <w:marLeft w:val="547"/>
          <w:marRight w:val="0"/>
          <w:marTop w:val="115"/>
          <w:marBottom w:val="0"/>
          <w:divBdr>
            <w:top w:val="none" w:sz="0" w:space="0" w:color="auto"/>
            <w:left w:val="none" w:sz="0" w:space="0" w:color="auto"/>
            <w:bottom w:val="none" w:sz="0" w:space="0" w:color="auto"/>
            <w:right w:val="none" w:sz="0" w:space="0" w:color="auto"/>
          </w:divBdr>
        </w:div>
      </w:divsChild>
    </w:div>
    <w:div w:id="1436172516">
      <w:bodyDiv w:val="1"/>
      <w:marLeft w:val="0"/>
      <w:marRight w:val="0"/>
      <w:marTop w:val="0"/>
      <w:marBottom w:val="0"/>
      <w:divBdr>
        <w:top w:val="none" w:sz="0" w:space="0" w:color="auto"/>
        <w:left w:val="none" w:sz="0" w:space="0" w:color="auto"/>
        <w:bottom w:val="none" w:sz="0" w:space="0" w:color="auto"/>
        <w:right w:val="none" w:sz="0" w:space="0" w:color="auto"/>
      </w:divBdr>
      <w:divsChild>
        <w:div w:id="1653489397">
          <w:marLeft w:val="0"/>
          <w:marRight w:val="0"/>
          <w:marTop w:val="0"/>
          <w:marBottom w:val="0"/>
          <w:divBdr>
            <w:top w:val="none" w:sz="0" w:space="0" w:color="auto"/>
            <w:left w:val="none" w:sz="0" w:space="0" w:color="auto"/>
            <w:bottom w:val="none" w:sz="0" w:space="0" w:color="auto"/>
            <w:right w:val="none" w:sz="0" w:space="0" w:color="auto"/>
          </w:divBdr>
          <w:divsChild>
            <w:div w:id="1429154474">
              <w:marLeft w:val="0"/>
              <w:marRight w:val="0"/>
              <w:marTop w:val="0"/>
              <w:marBottom w:val="0"/>
              <w:divBdr>
                <w:top w:val="none" w:sz="0" w:space="0" w:color="auto"/>
                <w:left w:val="none" w:sz="0" w:space="0" w:color="auto"/>
                <w:bottom w:val="none" w:sz="0" w:space="0" w:color="auto"/>
                <w:right w:val="none" w:sz="0" w:space="0" w:color="auto"/>
              </w:divBdr>
              <w:divsChild>
                <w:div w:id="1166359238">
                  <w:marLeft w:val="0"/>
                  <w:marRight w:val="0"/>
                  <w:marTop w:val="0"/>
                  <w:marBottom w:val="0"/>
                  <w:divBdr>
                    <w:top w:val="none" w:sz="0" w:space="0" w:color="auto"/>
                    <w:left w:val="none" w:sz="0" w:space="0" w:color="auto"/>
                    <w:bottom w:val="none" w:sz="0" w:space="0" w:color="auto"/>
                    <w:right w:val="none" w:sz="0" w:space="0" w:color="auto"/>
                  </w:divBdr>
                  <w:divsChild>
                    <w:div w:id="1004360274">
                      <w:marLeft w:val="0"/>
                      <w:marRight w:val="0"/>
                      <w:marTop w:val="0"/>
                      <w:marBottom w:val="0"/>
                      <w:divBdr>
                        <w:top w:val="none" w:sz="0" w:space="0" w:color="auto"/>
                        <w:left w:val="none" w:sz="0" w:space="0" w:color="auto"/>
                        <w:bottom w:val="none" w:sz="0" w:space="0" w:color="auto"/>
                        <w:right w:val="none" w:sz="0" w:space="0" w:color="auto"/>
                      </w:divBdr>
                      <w:divsChild>
                        <w:div w:id="1299459367">
                          <w:marLeft w:val="0"/>
                          <w:marRight w:val="0"/>
                          <w:marTop w:val="0"/>
                          <w:marBottom w:val="0"/>
                          <w:divBdr>
                            <w:top w:val="none" w:sz="0" w:space="0" w:color="auto"/>
                            <w:left w:val="none" w:sz="0" w:space="0" w:color="auto"/>
                            <w:bottom w:val="none" w:sz="0" w:space="0" w:color="auto"/>
                            <w:right w:val="none" w:sz="0" w:space="0" w:color="auto"/>
                          </w:divBdr>
                          <w:divsChild>
                            <w:div w:id="1112242530">
                              <w:marLeft w:val="0"/>
                              <w:marRight w:val="0"/>
                              <w:marTop w:val="0"/>
                              <w:marBottom w:val="0"/>
                              <w:divBdr>
                                <w:top w:val="none" w:sz="0" w:space="0" w:color="auto"/>
                                <w:left w:val="none" w:sz="0" w:space="0" w:color="auto"/>
                                <w:bottom w:val="none" w:sz="0" w:space="0" w:color="auto"/>
                                <w:right w:val="none" w:sz="0" w:space="0" w:color="auto"/>
                              </w:divBdr>
                              <w:divsChild>
                                <w:div w:id="2587064">
                                  <w:marLeft w:val="-225"/>
                                  <w:marRight w:val="-225"/>
                                  <w:marTop w:val="0"/>
                                  <w:marBottom w:val="0"/>
                                  <w:divBdr>
                                    <w:top w:val="none" w:sz="0" w:space="0" w:color="auto"/>
                                    <w:left w:val="none" w:sz="0" w:space="0" w:color="auto"/>
                                    <w:bottom w:val="none" w:sz="0" w:space="0" w:color="auto"/>
                                    <w:right w:val="none" w:sz="0" w:space="0" w:color="auto"/>
                                  </w:divBdr>
                                  <w:divsChild>
                                    <w:div w:id="475608161">
                                      <w:marLeft w:val="3375"/>
                                      <w:marRight w:val="0"/>
                                      <w:marTop w:val="0"/>
                                      <w:marBottom w:val="0"/>
                                      <w:divBdr>
                                        <w:top w:val="none" w:sz="0" w:space="0" w:color="auto"/>
                                        <w:left w:val="none" w:sz="0" w:space="0" w:color="auto"/>
                                        <w:bottom w:val="none" w:sz="0" w:space="0" w:color="auto"/>
                                        <w:right w:val="none" w:sz="0" w:space="0" w:color="auto"/>
                                      </w:divBdr>
                                      <w:divsChild>
                                        <w:div w:id="165635133">
                                          <w:marLeft w:val="0"/>
                                          <w:marRight w:val="0"/>
                                          <w:marTop w:val="0"/>
                                          <w:marBottom w:val="0"/>
                                          <w:divBdr>
                                            <w:top w:val="single" w:sz="6" w:space="9" w:color="DAD9D6"/>
                                            <w:left w:val="single" w:sz="6" w:space="9" w:color="DAD9D6"/>
                                            <w:bottom w:val="single" w:sz="6" w:space="9" w:color="DAD9D6"/>
                                            <w:right w:val="single" w:sz="6" w:space="9" w:color="DAD9D6"/>
                                          </w:divBdr>
                                          <w:divsChild>
                                            <w:div w:id="1939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94A78-50A2-4127-AF96-62FDA81BE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4</Pages>
  <Words>942</Words>
  <Characters>5370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Vincent Hingley (1501141)</cp:lastModifiedBy>
  <cp:revision>33</cp:revision>
  <dcterms:created xsi:type="dcterms:W3CDTF">2017-12-08T10:06:00Z</dcterms:created>
  <dcterms:modified xsi:type="dcterms:W3CDTF">2017-12-08T18:49:00Z</dcterms:modified>
</cp:coreProperties>
</file>