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1A459" w14:textId="0E804E64" w:rsidR="00E71CCC" w:rsidRPr="00E71CCC" w:rsidRDefault="00E71CCC" w:rsidP="00E71CCC">
      <w:pPr>
        <w:pStyle w:val="Default"/>
        <w:jc w:val="both"/>
        <w:rPr>
          <w:sz w:val="20"/>
          <w:szCs w:val="20"/>
        </w:rPr>
      </w:pPr>
      <w:r w:rsidRPr="00E71CCC">
        <w:rPr>
          <w:sz w:val="20"/>
          <w:szCs w:val="20"/>
        </w:rPr>
        <w:t>Question:</w:t>
      </w:r>
    </w:p>
    <w:p w14:paraId="0DEA9F29" w14:textId="77777777" w:rsidR="00E71CCC" w:rsidRPr="00E71CCC" w:rsidRDefault="00E71CCC" w:rsidP="00E71CCC">
      <w:pPr>
        <w:pStyle w:val="Default"/>
        <w:jc w:val="both"/>
        <w:rPr>
          <w:b/>
          <w:bCs/>
          <w:sz w:val="20"/>
          <w:szCs w:val="20"/>
        </w:rPr>
      </w:pPr>
      <w:r w:rsidRPr="00E71CCC">
        <w:rPr>
          <w:b/>
          <w:bCs/>
          <w:sz w:val="20"/>
          <w:szCs w:val="20"/>
        </w:rPr>
        <w:t xml:space="preserve">What factors or circumstances affect the police’s role within joint emergency services operations? How has the police’s role changed to reflect best practice learned from previous high-profile major incidents? </w:t>
      </w:r>
    </w:p>
    <w:p w14:paraId="7CE89D8A" w14:textId="77777777" w:rsidR="00E71CCC" w:rsidRPr="00E71CCC" w:rsidRDefault="00E71CCC" w:rsidP="00E71CCC">
      <w:pPr>
        <w:pStyle w:val="PlainText"/>
        <w:jc w:val="both"/>
        <w:rPr>
          <w:rFonts w:ascii="Arial" w:hAnsi="Arial" w:cs="Arial"/>
          <w:b/>
          <w:bCs/>
          <w:sz w:val="20"/>
          <w:szCs w:val="20"/>
        </w:rPr>
      </w:pPr>
      <w:r w:rsidRPr="00E71CCC">
        <w:rPr>
          <w:rFonts w:ascii="Arial" w:hAnsi="Arial" w:cs="Arial"/>
          <w:b/>
          <w:bCs/>
          <w:sz w:val="20"/>
          <w:szCs w:val="20"/>
        </w:rPr>
        <w:t>Your answer must be based on academic research, but you may make reference to relevant high-profile incidents.</w:t>
      </w:r>
    </w:p>
    <w:p w14:paraId="02F0B970" w14:textId="77777777" w:rsidR="00E71CCC" w:rsidRPr="00E71CCC" w:rsidRDefault="00E71CCC" w:rsidP="00E71CCC">
      <w:pPr>
        <w:pStyle w:val="PlainText"/>
        <w:jc w:val="both"/>
        <w:rPr>
          <w:rFonts w:ascii="Arial" w:hAnsi="Arial" w:cs="Arial"/>
          <w:sz w:val="20"/>
          <w:szCs w:val="20"/>
        </w:rPr>
      </w:pPr>
    </w:p>
    <w:p w14:paraId="6806AC5E"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Answer:</w:t>
      </w:r>
    </w:p>
    <w:p w14:paraId="630F7235" w14:textId="77777777" w:rsidR="00E71CCC" w:rsidRPr="00E71CCC" w:rsidRDefault="00E71CCC" w:rsidP="00E71CCC">
      <w:pPr>
        <w:pStyle w:val="PlainText"/>
        <w:jc w:val="both"/>
        <w:rPr>
          <w:rFonts w:ascii="Arial" w:hAnsi="Arial" w:cs="Arial"/>
          <w:sz w:val="20"/>
          <w:szCs w:val="20"/>
        </w:rPr>
      </w:pPr>
    </w:p>
    <w:p w14:paraId="629D46D9"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E71CCC">
        <w:rPr>
          <w:rFonts w:ascii="Arial" w:hAnsi="Arial" w:cs="Arial"/>
          <w:sz w:val="20"/>
          <w:szCs w:val="20"/>
        </w:rPr>
        <w:t xml:space="preserve">The police’s role in any emergency operation will always be to protect life and property, Co-ordinate the multi-agency response in the absence of alternative co-ordination arrangements being agreed, protect, and preserve the scene and investigate the incident, and to prevent crime and disorder and collate and disseminate casualty information </w:t>
      </w:r>
      <w:r w:rsidRPr="00E71CCC">
        <w:rPr>
          <w:rFonts w:ascii="Arial" w:eastAsia="Times New Roman" w:hAnsi="Arial" w:cs="Arial"/>
          <w:kern w:val="0"/>
          <w:sz w:val="20"/>
          <w:szCs w:val="20"/>
          <w:lang w:eastAsia="en-GB"/>
          <w14:ligatures w14:val="none"/>
        </w:rPr>
        <w:t xml:space="preserve">(JESIP, 2022) </w:t>
      </w:r>
    </w:p>
    <w:p w14:paraId="46B3ECBE" w14:textId="77777777" w:rsidR="00E71CCC" w:rsidRPr="00E71CCC" w:rsidRDefault="00E71CCC" w:rsidP="00E71CCC">
      <w:pPr>
        <w:pStyle w:val="PlainText"/>
        <w:jc w:val="both"/>
        <w:rPr>
          <w:rFonts w:ascii="Arial" w:hAnsi="Arial" w:cs="Arial"/>
          <w:sz w:val="20"/>
          <w:szCs w:val="20"/>
        </w:rPr>
      </w:pPr>
    </w:p>
    <w:p w14:paraId="7F8DFCCD"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B1297D">
        <w:rPr>
          <w:rFonts w:ascii="Arial" w:eastAsia="Times New Roman" w:hAnsi="Arial" w:cs="Arial"/>
          <w:kern w:val="0"/>
          <w:sz w:val="20"/>
          <w:szCs w:val="20"/>
          <w:lang w:eastAsia="en-GB"/>
          <w14:ligatures w14:val="none"/>
        </w:rPr>
        <w:t>The UK police's role in a joint emergency services operation can be influenced by a number of events and conditions. Legal and policy frameworks are two examples of these; modifications to these can have an impact on how the police respond to emergencies. For instance, the Civil Contingencies Act of 2004 mandates coordination between several authorities, including the police, and establishes a legislative framework for emergency response (Cabinet Office, 2013).</w:t>
      </w:r>
      <w:r w:rsidRPr="00E71CCC">
        <w:rPr>
          <w:rFonts w:ascii="Arial" w:eastAsia="Times New Roman" w:hAnsi="Arial" w:cs="Arial"/>
          <w:kern w:val="0"/>
          <w:sz w:val="20"/>
          <w:szCs w:val="20"/>
          <w:lang w:eastAsia="en-GB"/>
          <w14:ligatures w14:val="none"/>
        </w:rPr>
        <w:t xml:space="preserve"> The availability of police resources, such as funds, staff, and equipment, can also have an impact on how much the police are able to participate to combined emergency services operations during an emergency. This aligns with their readiness and training as well. The effectiveness of the police force in responding to crises and working with other agencies can be influenced by their level of preparation and training. Without training, an organisation and its staff will be quickly overwhelmed by an emergency and unable to handle its effects and recover from them (Cabinet Office, 2016).</w:t>
      </w:r>
    </w:p>
    <w:p w14:paraId="05284521" w14:textId="77777777" w:rsidR="00E71CCC" w:rsidRPr="00E71CCC" w:rsidRDefault="00E71CCC" w:rsidP="00E71CCC">
      <w:pPr>
        <w:jc w:val="both"/>
        <w:rPr>
          <w:rFonts w:ascii="Arial" w:eastAsia="Times New Roman" w:hAnsi="Arial" w:cs="Arial"/>
          <w:kern w:val="0"/>
          <w:sz w:val="20"/>
          <w:szCs w:val="20"/>
          <w:lang w:eastAsia="en-GB"/>
          <w14:ligatures w14:val="none"/>
        </w:rPr>
      </w:pPr>
    </w:p>
    <w:p w14:paraId="74F0B1D1"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The police, following an emergency incident, will hold a debriefing to learn and improve their capability in readiness for when another emergency incident may occur this will normally be held by a Gold Commander. (Home Office, 2021).  The UK realised after the bombings in London in 2005 that better coordination and communication between emergency services and other agencies during large disasters was necessary. This was accomplished by putting in place a unified framework, the Common Operating Picture (COP), to enhance the general reaction to incidents. The COP is a single, consistent understanding of pertinent, up-to-date information that is exchanged by partner agencies and emergency services. Attaining this enables cooperative event planning and provides decision makers with the most relevant and current data (National Policing Improvement Agency, 2009).</w:t>
      </w:r>
    </w:p>
    <w:p w14:paraId="1E450617" w14:textId="77777777" w:rsidR="00E71CCC" w:rsidRPr="009D3B2F" w:rsidRDefault="00E71CCC" w:rsidP="00E71CCC">
      <w:pPr>
        <w:spacing w:after="0" w:line="240" w:lineRule="auto"/>
        <w:jc w:val="both"/>
        <w:rPr>
          <w:rFonts w:ascii="Arial" w:eastAsia="Times New Roman" w:hAnsi="Arial" w:cs="Arial"/>
          <w:kern w:val="0"/>
          <w:sz w:val="20"/>
          <w:szCs w:val="20"/>
          <w:lang w:eastAsia="en-GB"/>
          <w14:ligatures w14:val="none"/>
        </w:rPr>
      </w:pPr>
      <w:r w:rsidRPr="009D3B2F">
        <w:rPr>
          <w:rFonts w:ascii="Arial" w:eastAsia="Times New Roman" w:hAnsi="Arial" w:cs="Arial"/>
          <w:kern w:val="0"/>
          <w:sz w:val="20"/>
          <w:szCs w:val="20"/>
          <w:lang w:eastAsia="en-GB"/>
          <w14:ligatures w14:val="none"/>
        </w:rPr>
        <w:t>The police have introduced community policing efforts to address the underlying causes of crime and foster trust with marginalised communities in reaction to the 2011 English riots, which revealed underlying socioeconomic tensions and inequities. These initiatives include diversionary tactics, youth outreach, and neighbourhood engagement programmes. After the riots, a new comprehensive framework for handling public disorder was developed. Additionally, a "all source information hub" was established to gather, organise, and distribute intelligence and information about public order, improve the way police responded to disturbances, and review existing policing strategies (Department for Communities and Local Government, 2013).</w:t>
      </w:r>
    </w:p>
    <w:p w14:paraId="5907575A" w14:textId="77777777" w:rsidR="00E71CCC" w:rsidRPr="00E71CCC" w:rsidRDefault="00E71CCC" w:rsidP="00E71CCC">
      <w:pPr>
        <w:pStyle w:val="PlainText"/>
        <w:jc w:val="both"/>
        <w:rPr>
          <w:rFonts w:ascii="Arial" w:hAnsi="Arial" w:cs="Arial"/>
          <w:sz w:val="20"/>
          <w:szCs w:val="20"/>
        </w:rPr>
      </w:pPr>
    </w:p>
    <w:p w14:paraId="09AEFDFA" w14:textId="77777777" w:rsidR="00E71CCC" w:rsidRPr="00E71CCC" w:rsidRDefault="00E71CCC" w:rsidP="00E71CCC">
      <w:pPr>
        <w:pStyle w:val="PlainText"/>
        <w:jc w:val="both"/>
        <w:rPr>
          <w:rFonts w:ascii="Arial" w:hAnsi="Arial" w:cs="Arial"/>
          <w:sz w:val="20"/>
          <w:szCs w:val="20"/>
        </w:rPr>
      </w:pPr>
    </w:p>
    <w:p w14:paraId="434EB418" w14:textId="00E9E1F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By addressing these factors and incorporating lessons learned from past incidents, the police can continue to enhance their role within joint emergency services operations and effectively safeguard public safety in the face of evolving threats and challenges.</w:t>
      </w:r>
      <w:r w:rsidRPr="00E71CCC">
        <w:rPr>
          <w:rFonts w:ascii="Arial" w:hAnsi="Arial" w:cs="Arial"/>
          <w:sz w:val="20"/>
          <w:szCs w:val="20"/>
        </w:rPr>
        <w:t xml:space="preserve">  </w:t>
      </w:r>
      <w:r w:rsidRPr="00E71CCC">
        <w:rPr>
          <w:rFonts w:ascii="Arial" w:hAnsi="Arial" w:cs="Arial"/>
          <w:sz w:val="20"/>
          <w:szCs w:val="20"/>
        </w:rPr>
        <w:t>The role of the police in joint emergency services operations has evolved over time based on lessons learned from previous high-profile incidents. One example is the 7/7 London bombings in 2005, which highlighted the need for improved coordination and communication between emergency services. Subsequent inquiries and reviews led to changes in protocols and procedures to enhance interoperability and collaboration.</w:t>
      </w:r>
    </w:p>
    <w:p w14:paraId="4F90F6A2" w14:textId="77777777" w:rsidR="00E71CCC" w:rsidRPr="00E71CCC" w:rsidRDefault="00E71CCC" w:rsidP="00E71CCC">
      <w:pPr>
        <w:pStyle w:val="PlainText"/>
        <w:jc w:val="both"/>
        <w:rPr>
          <w:rFonts w:ascii="Arial" w:hAnsi="Arial" w:cs="Arial"/>
          <w:sz w:val="20"/>
          <w:szCs w:val="20"/>
        </w:rPr>
      </w:pPr>
    </w:p>
    <w:p w14:paraId="5E878182" w14:textId="50C924AE"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Word count - 534</w:t>
      </w:r>
    </w:p>
    <w:p w14:paraId="215FEC29" w14:textId="77777777" w:rsidR="00E71CCC" w:rsidRPr="00E71CCC" w:rsidRDefault="00E71CCC" w:rsidP="00E71CCC">
      <w:pPr>
        <w:pStyle w:val="Default"/>
        <w:jc w:val="both"/>
        <w:rPr>
          <w:sz w:val="20"/>
          <w:szCs w:val="20"/>
        </w:rPr>
      </w:pPr>
    </w:p>
    <w:p w14:paraId="56DBFEC1" w14:textId="77777777" w:rsidR="00E71CCC" w:rsidRPr="00E71CCC" w:rsidRDefault="00E71CCC" w:rsidP="00E71CCC">
      <w:pPr>
        <w:pStyle w:val="Default"/>
        <w:jc w:val="both"/>
        <w:rPr>
          <w:sz w:val="20"/>
          <w:szCs w:val="20"/>
        </w:rPr>
      </w:pPr>
    </w:p>
    <w:p w14:paraId="19B43A5C" w14:textId="77F3965A" w:rsidR="00E71CCC" w:rsidRPr="00E71CCC" w:rsidRDefault="00E71CCC" w:rsidP="00E71CCC">
      <w:pPr>
        <w:pStyle w:val="Default"/>
        <w:jc w:val="both"/>
        <w:rPr>
          <w:sz w:val="20"/>
          <w:szCs w:val="20"/>
        </w:rPr>
      </w:pPr>
      <w:r w:rsidRPr="00E71CCC">
        <w:rPr>
          <w:sz w:val="20"/>
          <w:szCs w:val="20"/>
        </w:rPr>
        <w:t>Question:</w:t>
      </w:r>
    </w:p>
    <w:p w14:paraId="54AF02C3" w14:textId="77777777" w:rsidR="00E71CCC" w:rsidRPr="00E71CCC" w:rsidRDefault="00E71CCC" w:rsidP="00E71CCC">
      <w:pPr>
        <w:pStyle w:val="Default"/>
        <w:jc w:val="both"/>
        <w:rPr>
          <w:sz w:val="20"/>
          <w:szCs w:val="20"/>
        </w:rPr>
      </w:pPr>
    </w:p>
    <w:p w14:paraId="322F91E5" w14:textId="77777777" w:rsidR="00E71CCC" w:rsidRPr="00E71CCC" w:rsidRDefault="00E71CCC" w:rsidP="00E71CCC">
      <w:pPr>
        <w:pStyle w:val="Default"/>
        <w:jc w:val="both"/>
        <w:rPr>
          <w:b/>
          <w:bCs/>
          <w:sz w:val="20"/>
          <w:szCs w:val="20"/>
        </w:rPr>
      </w:pPr>
      <w:r w:rsidRPr="00E71CCC">
        <w:rPr>
          <w:b/>
          <w:bCs/>
          <w:sz w:val="20"/>
          <w:szCs w:val="20"/>
        </w:rPr>
        <w:t xml:space="preserve">Why might terrorist organisations be involved in other types of criminality, and how might intelligence gained in the investigation of such criminality inform counter-terrorism policing? Your answer must be based on academic research, but you may make reference to relevant case studies. </w:t>
      </w:r>
    </w:p>
    <w:p w14:paraId="65FCDA0D" w14:textId="77777777" w:rsidR="00E71CCC" w:rsidRPr="00E71CCC" w:rsidRDefault="00E71CCC" w:rsidP="00E71CCC">
      <w:pPr>
        <w:jc w:val="both"/>
        <w:rPr>
          <w:rFonts w:ascii="Arial" w:hAnsi="Arial" w:cs="Arial"/>
          <w:sz w:val="20"/>
          <w:szCs w:val="20"/>
        </w:rPr>
      </w:pPr>
    </w:p>
    <w:p w14:paraId="30461916" w14:textId="77777777" w:rsidR="00E71CCC" w:rsidRPr="00E71CCC" w:rsidRDefault="00E71CCC" w:rsidP="00E71CCC">
      <w:pPr>
        <w:jc w:val="both"/>
        <w:rPr>
          <w:rFonts w:ascii="Arial" w:hAnsi="Arial" w:cs="Arial"/>
          <w:sz w:val="20"/>
          <w:szCs w:val="20"/>
        </w:rPr>
      </w:pPr>
      <w:r w:rsidRPr="00E71CCC">
        <w:rPr>
          <w:rFonts w:ascii="Arial" w:hAnsi="Arial" w:cs="Arial"/>
          <w:sz w:val="20"/>
          <w:szCs w:val="20"/>
        </w:rPr>
        <w:t>Answer:</w:t>
      </w:r>
    </w:p>
    <w:p w14:paraId="0C3D3E35" w14:textId="77777777" w:rsidR="00E71CCC" w:rsidRPr="00E71CCC" w:rsidRDefault="00E71CCC" w:rsidP="00E71CCC">
      <w:pPr>
        <w:spacing w:after="0" w:line="24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This essay will be looking at the variety of reasons, terrorist organisations frequently participate in different kinds of criminal activity. This has led to research into the connections between terrorism and criminality as well as the ways in which intelligence gleaned from looking into such crimes might improve counterterrorism efforts.</w:t>
      </w:r>
    </w:p>
    <w:p w14:paraId="2488293C" w14:textId="77777777" w:rsidR="00E71CCC" w:rsidRPr="00E71CCC" w:rsidRDefault="00E71CCC" w:rsidP="00E71CCC">
      <w:pPr>
        <w:jc w:val="both"/>
        <w:rPr>
          <w:rFonts w:ascii="Arial" w:hAnsi="Arial" w:cs="Arial"/>
          <w:sz w:val="20"/>
          <w:szCs w:val="20"/>
        </w:rPr>
      </w:pPr>
    </w:p>
    <w:p w14:paraId="16A29C32" w14:textId="77777777" w:rsidR="00E71CCC" w:rsidRPr="00E71CCC" w:rsidRDefault="00E71CCC" w:rsidP="00E71CCC">
      <w:pPr>
        <w:jc w:val="both"/>
        <w:rPr>
          <w:rFonts w:ascii="Arial" w:hAnsi="Arial" w:cs="Arial"/>
          <w:sz w:val="20"/>
          <w:szCs w:val="20"/>
        </w:rPr>
      </w:pPr>
      <w:r w:rsidRPr="00E71CCC">
        <w:rPr>
          <w:rFonts w:ascii="Arial" w:hAnsi="Arial" w:cs="Arial"/>
          <w:sz w:val="20"/>
          <w:szCs w:val="20"/>
        </w:rPr>
        <w:t>In the United Kingdom, counter-terrorism policing is carried through a vast organisational framework that integrates multiple agencies and units that collaborate closely, some of these are, according to, HMICFRS (2020):</w:t>
      </w:r>
    </w:p>
    <w:p w14:paraId="774EE2E2"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 xml:space="preserve">MI5 (Security Service): MI5 is the UK's domestic intelligence agency responsible for </w:t>
      </w:r>
      <w:proofErr w:type="gramStart"/>
      <w:r w:rsidRPr="00E71CCC">
        <w:rPr>
          <w:rFonts w:ascii="Arial" w:hAnsi="Arial" w:cs="Arial"/>
          <w:sz w:val="20"/>
          <w:szCs w:val="20"/>
        </w:rPr>
        <w:t>counter-terrorism</w:t>
      </w:r>
      <w:proofErr w:type="gramEnd"/>
      <w:r w:rsidRPr="00E71CCC">
        <w:rPr>
          <w:rFonts w:ascii="Arial" w:hAnsi="Arial" w:cs="Arial"/>
          <w:sz w:val="20"/>
          <w:szCs w:val="20"/>
        </w:rPr>
        <w:t xml:space="preserve">. </w:t>
      </w:r>
    </w:p>
    <w:p w14:paraId="2862E533" w14:textId="77777777" w:rsidR="00E71CCC" w:rsidRPr="00E71CCC" w:rsidRDefault="00E71CCC" w:rsidP="00E71CCC">
      <w:pPr>
        <w:pStyle w:val="PlainText"/>
        <w:jc w:val="both"/>
        <w:rPr>
          <w:rFonts w:ascii="Arial" w:hAnsi="Arial" w:cs="Arial"/>
          <w:sz w:val="20"/>
          <w:szCs w:val="20"/>
        </w:rPr>
      </w:pPr>
    </w:p>
    <w:p w14:paraId="74FF9AFC"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Counter Terrorism Policing (CTP): CTP is a national network of specialist police officers and staff who work alongside MI5 to prevent, investigate, and disrupt terrorist activity.</w:t>
      </w:r>
    </w:p>
    <w:p w14:paraId="0CE99E00" w14:textId="77777777" w:rsidR="00E71CCC" w:rsidRPr="00E71CCC" w:rsidRDefault="00E71CCC" w:rsidP="00E71CCC">
      <w:pPr>
        <w:pStyle w:val="PlainText"/>
        <w:jc w:val="both"/>
        <w:rPr>
          <w:rFonts w:ascii="Arial" w:hAnsi="Arial" w:cs="Arial"/>
          <w:sz w:val="20"/>
          <w:szCs w:val="20"/>
        </w:rPr>
      </w:pPr>
    </w:p>
    <w:p w14:paraId="795F2191"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 xml:space="preserve">Regional Counter Terrorism Units (CTUs): There are several regional CTUs across the UK, each responsible for addressing terrorism threats within its designated area. </w:t>
      </w:r>
    </w:p>
    <w:p w14:paraId="5197A106" w14:textId="77777777" w:rsidR="00E71CCC" w:rsidRPr="00E71CCC" w:rsidRDefault="00E71CCC" w:rsidP="00E71CCC">
      <w:pPr>
        <w:pStyle w:val="PlainText"/>
        <w:jc w:val="both"/>
        <w:rPr>
          <w:rFonts w:ascii="Arial" w:hAnsi="Arial" w:cs="Arial"/>
          <w:sz w:val="20"/>
          <w:szCs w:val="20"/>
        </w:rPr>
      </w:pPr>
    </w:p>
    <w:p w14:paraId="41094C01"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 xml:space="preserve">Specialist Counter Terrorism Units: Within police forces, there are specialized units dedicated to counter-terrorism operations. </w:t>
      </w:r>
    </w:p>
    <w:p w14:paraId="1CB5A0A0" w14:textId="77777777" w:rsidR="00E71CCC" w:rsidRPr="00E71CCC" w:rsidRDefault="00E71CCC" w:rsidP="00E71CCC">
      <w:pPr>
        <w:pStyle w:val="PlainText"/>
        <w:jc w:val="both"/>
        <w:rPr>
          <w:rFonts w:ascii="Arial" w:hAnsi="Arial" w:cs="Arial"/>
          <w:sz w:val="20"/>
          <w:szCs w:val="20"/>
        </w:rPr>
      </w:pPr>
    </w:p>
    <w:p w14:paraId="7EDFE0EE"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National Counter Terrorism Security Office (</w:t>
      </w:r>
      <w:proofErr w:type="spellStart"/>
      <w:r w:rsidRPr="00E71CCC">
        <w:rPr>
          <w:rFonts w:ascii="Arial" w:hAnsi="Arial" w:cs="Arial"/>
          <w:sz w:val="20"/>
          <w:szCs w:val="20"/>
        </w:rPr>
        <w:t>NaCTSO</w:t>
      </w:r>
      <w:proofErr w:type="spellEnd"/>
      <w:r w:rsidRPr="00E71CCC">
        <w:rPr>
          <w:rFonts w:ascii="Arial" w:hAnsi="Arial" w:cs="Arial"/>
          <w:sz w:val="20"/>
          <w:szCs w:val="20"/>
        </w:rPr>
        <w:t xml:space="preserve">): </w:t>
      </w:r>
      <w:proofErr w:type="spellStart"/>
      <w:r w:rsidRPr="00E71CCC">
        <w:rPr>
          <w:rFonts w:ascii="Arial" w:hAnsi="Arial" w:cs="Arial"/>
          <w:sz w:val="20"/>
          <w:szCs w:val="20"/>
        </w:rPr>
        <w:t>NaCTSO</w:t>
      </w:r>
      <w:proofErr w:type="spellEnd"/>
      <w:r w:rsidRPr="00E71CCC">
        <w:rPr>
          <w:rFonts w:ascii="Arial" w:hAnsi="Arial" w:cs="Arial"/>
          <w:sz w:val="20"/>
          <w:szCs w:val="20"/>
        </w:rPr>
        <w:t xml:space="preserve"> is a police unit that provides guidance, support, and training to businesses, organizations, and the public sector to enhance their resilience against terrorist threats. </w:t>
      </w:r>
    </w:p>
    <w:p w14:paraId="6DC4FD40" w14:textId="77777777" w:rsidR="00E71CCC" w:rsidRPr="00E71CCC" w:rsidRDefault="00E71CCC" w:rsidP="00E71CCC">
      <w:pPr>
        <w:pStyle w:val="PlainText"/>
        <w:jc w:val="both"/>
        <w:rPr>
          <w:rFonts w:ascii="Arial" w:hAnsi="Arial" w:cs="Arial"/>
          <w:sz w:val="20"/>
          <w:szCs w:val="20"/>
        </w:rPr>
      </w:pPr>
    </w:p>
    <w:p w14:paraId="39346494"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 xml:space="preserve">Security and Intelligence Agencies: In addition to MI5, other </w:t>
      </w:r>
      <w:proofErr w:type="gramStart"/>
      <w:r w:rsidRPr="00E71CCC">
        <w:rPr>
          <w:rFonts w:ascii="Arial" w:hAnsi="Arial" w:cs="Arial"/>
          <w:sz w:val="20"/>
          <w:szCs w:val="20"/>
        </w:rPr>
        <w:t>intelligence</w:t>
      </w:r>
      <w:proofErr w:type="gramEnd"/>
      <w:r w:rsidRPr="00E71CCC">
        <w:rPr>
          <w:rFonts w:ascii="Arial" w:hAnsi="Arial" w:cs="Arial"/>
          <w:sz w:val="20"/>
          <w:szCs w:val="20"/>
        </w:rPr>
        <w:t xml:space="preserve"> and security agencies such as MI6 (Secret Intelligence Service) and GCHQ (Government Communications Headquarters) play roles in counter-terrorism efforts by gathering intelligence, conducting surveillance, and providing technical support.</w:t>
      </w:r>
    </w:p>
    <w:p w14:paraId="2A036400" w14:textId="77777777" w:rsidR="00E71CCC" w:rsidRPr="00E71CCC" w:rsidRDefault="00E71CCC" w:rsidP="00E71CCC">
      <w:pPr>
        <w:pStyle w:val="PlainText"/>
        <w:jc w:val="both"/>
        <w:rPr>
          <w:rFonts w:ascii="Arial" w:hAnsi="Arial" w:cs="Arial"/>
          <w:sz w:val="20"/>
          <w:szCs w:val="20"/>
        </w:rPr>
      </w:pPr>
    </w:p>
    <w:p w14:paraId="5F200C7F"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E71CCC">
        <w:rPr>
          <w:rFonts w:ascii="Arial" w:hAnsi="Arial" w:cs="Arial"/>
          <w:sz w:val="20"/>
          <w:szCs w:val="20"/>
        </w:rPr>
        <w:t xml:space="preserve">International Cooperation: The UK collaborates closely with international partners, particularly through organisations like Interpol, Europol, and the Five Eyes alliance (comprising the UK, US, Canada, Australia, and New Zealand), to share intelligence, conduct joint operations, and address transnational terrorism threats </w:t>
      </w:r>
      <w:r w:rsidRPr="00E71CCC">
        <w:rPr>
          <w:rFonts w:ascii="Arial" w:eastAsia="Times New Roman" w:hAnsi="Arial" w:cs="Arial"/>
          <w:kern w:val="0"/>
          <w:sz w:val="20"/>
          <w:szCs w:val="20"/>
          <w:lang w:eastAsia="en-GB"/>
          <w14:ligatures w14:val="none"/>
        </w:rPr>
        <w:t>(Mi5 , 2023)</w:t>
      </w:r>
    </w:p>
    <w:p w14:paraId="6B8C3C53" w14:textId="77777777" w:rsidR="00E71CCC" w:rsidRPr="00E71CCC" w:rsidRDefault="00E71CCC" w:rsidP="00E71CCC">
      <w:pPr>
        <w:spacing w:after="0" w:line="24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In order to protect national security from terrorism, the organisational structure of counterterrorism policing in the UK is primarily intended to support cooperation, sharing of information, and efficient reaction capabilities between different agencies and governmental levels.</w:t>
      </w:r>
    </w:p>
    <w:p w14:paraId="7DF33455" w14:textId="77777777" w:rsidR="00E71CCC" w:rsidRPr="00E71CCC" w:rsidRDefault="00E71CCC" w:rsidP="00E71CCC">
      <w:pPr>
        <w:jc w:val="both"/>
        <w:rPr>
          <w:rFonts w:ascii="Arial" w:hAnsi="Arial" w:cs="Arial"/>
          <w:sz w:val="20"/>
          <w:szCs w:val="20"/>
        </w:rPr>
      </w:pPr>
    </w:p>
    <w:p w14:paraId="762BAE91" w14:textId="77777777" w:rsidR="00E71CCC" w:rsidRPr="00E71CCC" w:rsidRDefault="00E71CCC" w:rsidP="00E71CCC">
      <w:pPr>
        <w:spacing w:after="0" w:line="24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Terrorist groups are often involved in a variety of criminal activities, motivated by a variety of factors. According to research, these organisations frequently turn to illegal activities including money laundering, smuggling of weapons, and drug trafficking in order to fund their operations and maintain their networks (Jones, 2019). Furthermore, they can take advantage of already-existing networks and infrastructure, avoid detection by law enforcement, and obtain funding required for their terrorist operations by participating in criminal enterprises (Clarke &amp; Newman, 2020). For example, the proceeds from illegal activities fuel terrorist operations, as well as the recruitment of new members and the acquisition of explosives and weapons (Makarenko, 2017). In order to effectively combat terrorist threats, it is imperative to comprehend the symbiotic relationship that exists between terrorism and criminality.</w:t>
      </w:r>
    </w:p>
    <w:p w14:paraId="04D4DD1A" w14:textId="77777777" w:rsidR="00E71CCC" w:rsidRPr="00E71CCC" w:rsidRDefault="00E71CCC" w:rsidP="00E71CCC">
      <w:pPr>
        <w:pStyle w:val="PlainText"/>
        <w:jc w:val="both"/>
        <w:rPr>
          <w:rFonts w:ascii="Arial" w:hAnsi="Arial" w:cs="Arial"/>
          <w:sz w:val="20"/>
          <w:szCs w:val="20"/>
        </w:rPr>
      </w:pPr>
    </w:p>
    <w:p w14:paraId="7532DBA0" w14:textId="77777777" w:rsidR="00E71CCC" w:rsidRPr="00E71CCC" w:rsidRDefault="00E71CCC" w:rsidP="00E71CCC">
      <w:pPr>
        <w:spacing w:after="0" w:line="24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Additionally, information gleaned from looking into these illegal operations is crucial for developing and improving counterterrorism police tactics.  Law enforcement agencies can obtain valuable insights into terrorist groups' organisational structures, operational capabilities, and modus operandi by closely examining the financial transactions, communication networks, and logistical arrangements linked to these criminal enterprises (Lum et al., 2019). Authorities can identify important operatives, cut off financing sources, destroy support networks, and avert future terrorist acts thanks to this intelligence (Dunn, 2020). Additionally, cooperative efforts between intelligence services and law enforcement organisations on a national and international level enable information sharing and operational coordination to successfully tackle transnational crime and terrorism (Williams &amp; Levi, 2020). Thus, it is critical to develop proactive and focused counterterrorism measures by using intelligence obtained from the examination of criminal activity linked to terrorist groups.</w:t>
      </w:r>
    </w:p>
    <w:p w14:paraId="3B207745" w14:textId="77777777" w:rsidR="00E71CCC" w:rsidRPr="00E71CCC" w:rsidRDefault="00E71CCC" w:rsidP="00E71CCC">
      <w:pPr>
        <w:pStyle w:val="PlainText"/>
        <w:jc w:val="both"/>
        <w:rPr>
          <w:rFonts w:ascii="Arial" w:hAnsi="Arial" w:cs="Arial"/>
          <w:sz w:val="20"/>
          <w:szCs w:val="20"/>
        </w:rPr>
      </w:pPr>
    </w:p>
    <w:p w14:paraId="678C6C81" w14:textId="77777777" w:rsidR="00E71CCC" w:rsidRPr="00E71CCC" w:rsidRDefault="00E71CCC" w:rsidP="00E71CCC">
      <w:pPr>
        <w:spacing w:after="0" w:line="24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Terrorist groups commit crimes in addition to making money in order to further their ideological goals and increase their power. Studies show that these organisations frequently take advantage of holes in the laws and regulations of different nations to commit crimes like cybercrime, extortion, and human trafficking (Nesser, 2017).</w:t>
      </w:r>
    </w:p>
    <w:p w14:paraId="112B73EC"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Terrorist groups can increase their income and forge connections with other criminal syndicates to broaden their reach and improve their operational capabilities by broadening their criminal portfolio (McCoy &amp; Hoffman, 2020). Moreover, the engagement of terrorist organisations in illicit activities presents noteworthy obstacles to law enforcement agencies, as it obscures the differentiation between terrorism and traditional criminal activity, thereby complicating the detection, deterrence, and prosecution of these endeavours (</w:t>
      </w:r>
      <w:proofErr w:type="spellStart"/>
      <w:r w:rsidRPr="00E71CCC">
        <w:rPr>
          <w:rFonts w:ascii="Arial" w:eastAsia="Times New Roman" w:hAnsi="Arial" w:cs="Arial"/>
          <w:kern w:val="0"/>
          <w:sz w:val="20"/>
          <w:szCs w:val="20"/>
          <w:lang w:eastAsia="en-GB"/>
          <w14:ligatures w14:val="none"/>
        </w:rPr>
        <w:t>Reinares</w:t>
      </w:r>
      <w:proofErr w:type="spellEnd"/>
      <w:r w:rsidRPr="00E71CCC">
        <w:rPr>
          <w:rFonts w:ascii="Arial" w:eastAsia="Times New Roman" w:hAnsi="Arial" w:cs="Arial"/>
          <w:kern w:val="0"/>
          <w:sz w:val="20"/>
          <w:szCs w:val="20"/>
          <w:lang w:eastAsia="en-GB"/>
          <w14:ligatures w14:val="none"/>
        </w:rPr>
        <w:t xml:space="preserve"> &amp; García-Calvo, 2019). Therefore, comprehending the intricate relationship between criminality and terrorism is crucial to creating an all-encompassing counter-terrorism policies that deal with the pragmatic as well as the ideological dimensions of terrorist activity.</w:t>
      </w:r>
    </w:p>
    <w:p w14:paraId="4B0ADD28" w14:textId="77777777" w:rsidR="00E71CCC" w:rsidRPr="00E71CCC" w:rsidRDefault="00E71CCC" w:rsidP="00E71CCC">
      <w:pPr>
        <w:jc w:val="both"/>
        <w:rPr>
          <w:rFonts w:ascii="Arial" w:eastAsia="Times New Roman" w:hAnsi="Arial" w:cs="Arial"/>
          <w:kern w:val="0"/>
          <w:sz w:val="20"/>
          <w:szCs w:val="20"/>
          <w:lang w:eastAsia="en-GB"/>
          <w14:ligatures w14:val="none"/>
        </w:rPr>
      </w:pPr>
    </w:p>
    <w:p w14:paraId="7AD318C0"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Furthermore, the emergence of criminal activity and terrorism creates a dynamic and ever-changing danger landscape that necessitates ongoing innovation and adaptability in counter-terrorism activities. According to recent studies, there is a rise in hybrid organisations that combine criminal techniques with terrorist beliefs. These groups use globalisation and technology to operate internationally and take advantage of gaps in governance frameworks (Bergen et al., 2019). The amalgamation of organised crime and terrorism presents noteworthy obstacles to conventional law enforcement frameworks, hence demanding a multifaceted strategy that incorporates intelligence collection, law enforcement collaboration, and community involvement (Sullivan &amp; Ganor, 2018). Furthermore, the spread of encrypted communication channels and internet platforms has made it easier for people to become radicalised and join terrorist organisations, increasing the threat presented by lone actors and extremists who have converted to their own cause (Schuurman &amp; Bakker, 2021). Thus, proactive efforts to foil terrorist schemes as well as preventative programmes that deal with underlying issues, refute extremist narratives, and create communities that are resistant to recruitment and radicalization efforts must all be included in effective counterterrorism policing strategies.</w:t>
      </w:r>
    </w:p>
    <w:p w14:paraId="0F697A0F" w14:textId="77777777" w:rsidR="00E71CCC" w:rsidRPr="00E71CCC" w:rsidRDefault="00E71CCC" w:rsidP="00E71CCC">
      <w:pPr>
        <w:pStyle w:val="PlainText"/>
        <w:jc w:val="both"/>
        <w:rPr>
          <w:rFonts w:ascii="Arial" w:hAnsi="Arial" w:cs="Arial"/>
          <w:sz w:val="20"/>
          <w:szCs w:val="20"/>
        </w:rPr>
      </w:pPr>
    </w:p>
    <w:p w14:paraId="5C7C521C"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E71CCC">
        <w:rPr>
          <w:rFonts w:ascii="Arial" w:hAnsi="Arial" w:cs="Arial"/>
          <w:sz w:val="20"/>
          <w:szCs w:val="20"/>
        </w:rPr>
        <w:t xml:space="preserve">The United Kingdom strategy for countering terrorism is called “CONTEST” (Home Office, 2023) </w:t>
      </w:r>
      <w:r w:rsidRPr="00E71CCC">
        <w:rPr>
          <w:rFonts w:ascii="Arial" w:eastAsia="Times New Roman" w:hAnsi="Arial" w:cs="Arial"/>
          <w:kern w:val="0"/>
          <w:sz w:val="20"/>
          <w:szCs w:val="20"/>
          <w:lang w:eastAsia="en-GB"/>
          <w14:ligatures w14:val="none"/>
        </w:rPr>
        <w:t xml:space="preserve">The objective of CONTEST is to lessen the threat of terrorism to the United Kingdom, its nationals, and its interests abroad so that people can live freely and confidently. CONTEST assists in striking a balance between the need to respond to other threats to national security and the obligation to safeguard the UK and its interests from terrorism. Terrorism poses a persistent and changing threat. Acting independently of established terrorist networks, individuals or small groups pose the greatest threat to national security in the United Kingdom today. This is a pattern observed in many terrorist ideologies, such as the extreme right-wing and the prevalent Islamist threat. This tendency makes terrorists more elusive and challenging to track, investigate, and prevent.  The UK has adopted the “4 P’s” as part of this approach, which </w:t>
      </w:r>
      <w:proofErr w:type="gramStart"/>
      <w:r w:rsidRPr="00E71CCC">
        <w:rPr>
          <w:rFonts w:ascii="Arial" w:eastAsia="Times New Roman" w:hAnsi="Arial" w:cs="Arial"/>
          <w:kern w:val="0"/>
          <w:sz w:val="20"/>
          <w:szCs w:val="20"/>
          <w:lang w:eastAsia="en-GB"/>
          <w14:ligatures w14:val="none"/>
        </w:rPr>
        <w:t>are;</w:t>
      </w:r>
      <w:proofErr w:type="gramEnd"/>
      <w:r w:rsidRPr="00E71CCC">
        <w:rPr>
          <w:rFonts w:ascii="Arial" w:eastAsia="Times New Roman" w:hAnsi="Arial" w:cs="Arial"/>
          <w:kern w:val="0"/>
          <w:sz w:val="20"/>
          <w:szCs w:val="20"/>
          <w:lang w:eastAsia="en-GB"/>
          <w14:ligatures w14:val="none"/>
        </w:rPr>
        <w:t xml:space="preserve"> </w:t>
      </w:r>
      <w:r w:rsidRPr="00E71CCC">
        <w:rPr>
          <w:rFonts w:ascii="Arial" w:hAnsi="Arial" w:cs="Arial"/>
          <w:sz w:val="20"/>
          <w:szCs w:val="20"/>
        </w:rPr>
        <w:t xml:space="preserve">Prevent: stop people from becoming terrorists or supporting terrorism. Pursue: stop terrorist attacks happening in this country or against UK interests overseas. Protect: strengthen our protection against a terrorist attack. Prepare: minimise the impact of an attack and reduce the likelihood of further attacks.  </w:t>
      </w:r>
      <w:r w:rsidRPr="00E71CCC">
        <w:rPr>
          <w:rFonts w:ascii="Arial" w:eastAsia="Times New Roman" w:hAnsi="Arial" w:cs="Arial"/>
          <w:kern w:val="0"/>
          <w:sz w:val="20"/>
          <w:szCs w:val="20"/>
          <w:lang w:eastAsia="en-GB"/>
          <w14:ligatures w14:val="none"/>
        </w:rPr>
        <w:t xml:space="preserve">Counter Terrorism Policing (2022) explains that Police play a crucial role in the government-led, multi-agency ‘Prevent’ initiative, which tries to prevent people from becoming </w:t>
      </w:r>
      <w:r w:rsidRPr="00E71CCC">
        <w:rPr>
          <w:rFonts w:ascii="Arial" w:eastAsia="Times New Roman" w:hAnsi="Arial" w:cs="Arial"/>
          <w:kern w:val="0"/>
          <w:sz w:val="20"/>
          <w:szCs w:val="20"/>
          <w:lang w:eastAsia="en-GB"/>
          <w14:ligatures w14:val="none"/>
        </w:rPr>
        <w:lastRenderedPageBreak/>
        <w:t>terrorists. It causes collaboration with other community organisations and local government partners to identify answers and to support and safeguard those who are most in need.</w:t>
      </w:r>
    </w:p>
    <w:p w14:paraId="2866F303" w14:textId="77777777" w:rsidR="00E71CCC" w:rsidRPr="00E71CCC" w:rsidRDefault="00E71CCC" w:rsidP="00E71CCC">
      <w:pPr>
        <w:pStyle w:val="PlainText"/>
        <w:jc w:val="both"/>
        <w:rPr>
          <w:rFonts w:ascii="Arial" w:hAnsi="Arial" w:cs="Arial"/>
          <w:sz w:val="20"/>
          <w:szCs w:val="20"/>
        </w:rPr>
      </w:pPr>
    </w:p>
    <w:p w14:paraId="108570B7"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Insider threats are something that the police service has to be aware of. They can occur for a number of reasons, such as the fact that officers have access to sensitive information that could be used against them or be exploited; people can also be motivated to betray their colleagues' trust and engage in criminal or unethical behaviour by personal grievances, ideological convictions, or outside influences (National Protective Security Authority, 2023).  According to the NPSA (2023), putting effective strategies into place is the greatest method to mitigate the risk of insider threats. This will require a holistic approach that includes frequent audits and reviews, encouraging reporting, and personnel vetting.  However, the HMICFRS (2022) found that the National Police Chiefs Council ‘Prevent’ lead needed to created national guidance for the police service on applying ‘prevent’ to staff which are vulnerable to radicalisation or extremism.</w:t>
      </w:r>
    </w:p>
    <w:p w14:paraId="6A41DFEA" w14:textId="77777777" w:rsidR="00E71CCC" w:rsidRPr="00E71CCC" w:rsidRDefault="00E71CCC" w:rsidP="00E71CCC">
      <w:pPr>
        <w:jc w:val="both"/>
        <w:rPr>
          <w:rFonts w:ascii="Arial" w:eastAsia="Times New Roman" w:hAnsi="Arial" w:cs="Arial"/>
          <w:kern w:val="0"/>
          <w:sz w:val="20"/>
          <w:szCs w:val="20"/>
          <w:lang w:eastAsia="en-GB"/>
          <w14:ligatures w14:val="none"/>
        </w:rPr>
      </w:pPr>
    </w:p>
    <w:p w14:paraId="7C380020" w14:textId="77777777" w:rsidR="00E71CCC" w:rsidRPr="00E71CCC" w:rsidRDefault="00E71CCC" w:rsidP="00E71CCC">
      <w:pPr>
        <w:spacing w:after="0" w:line="24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 xml:space="preserve">in conclusion, countering the possibility of insider threats within the police force necessitates a multifaceted approach that includes proactive steps to reduce weak points and encourage moral behaviour. Law enforcement organisations can put into practice efficient procedures to stop and identify misconduct from within their ranks by having a thorough grasp of the several elements that contribute to insider threats, such as access to confidential information and personal motivations. Police forces can enhance their defences against insider threats by implementing stringent staff vetting procedures, providing extensive training, and promoting transparency and accountability. Sufficient research and cooperation among academic institutions, law enforcement agencies, and legislators are necessary in order to enhance these tactics and adjust to changing circumstances while preserving the credibility and efficiency of law enforcement in protecting communities from criminal activity and acts of terrorism. </w:t>
      </w:r>
    </w:p>
    <w:p w14:paraId="0B69CFF4" w14:textId="77777777" w:rsidR="00E71CCC" w:rsidRPr="00E71CCC" w:rsidRDefault="00E71CCC" w:rsidP="00E71CCC">
      <w:pPr>
        <w:jc w:val="both"/>
        <w:rPr>
          <w:rFonts w:ascii="Arial" w:eastAsia="Times New Roman" w:hAnsi="Arial" w:cs="Arial"/>
          <w:kern w:val="0"/>
          <w:sz w:val="20"/>
          <w:szCs w:val="20"/>
          <w:lang w:eastAsia="en-GB"/>
          <w14:ligatures w14:val="none"/>
        </w:rPr>
      </w:pPr>
    </w:p>
    <w:p w14:paraId="755B6EB9" w14:textId="77777777" w:rsidR="00E71CCC" w:rsidRPr="00E71CCC" w:rsidRDefault="00E71CCC" w:rsidP="00E71CCC">
      <w:pPr>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Word count - 1420</w:t>
      </w:r>
    </w:p>
    <w:p w14:paraId="4FB39A0E" w14:textId="77777777" w:rsidR="00E71CCC" w:rsidRPr="00E71CCC" w:rsidRDefault="00E71CCC" w:rsidP="00E71CCC">
      <w:pPr>
        <w:pStyle w:val="PlainText"/>
        <w:jc w:val="both"/>
        <w:rPr>
          <w:rFonts w:ascii="Arial" w:hAnsi="Arial" w:cs="Arial"/>
          <w:sz w:val="20"/>
          <w:szCs w:val="20"/>
        </w:rPr>
      </w:pPr>
    </w:p>
    <w:p w14:paraId="3829E5D3" w14:textId="77777777" w:rsidR="00E71CCC" w:rsidRPr="00E71CCC" w:rsidRDefault="00E71CCC" w:rsidP="00E71CCC">
      <w:pPr>
        <w:pStyle w:val="PlainText"/>
        <w:jc w:val="both"/>
        <w:rPr>
          <w:rFonts w:ascii="Arial" w:hAnsi="Arial" w:cs="Arial"/>
          <w:sz w:val="20"/>
          <w:szCs w:val="20"/>
        </w:rPr>
      </w:pPr>
      <w:r w:rsidRPr="00E71CCC">
        <w:rPr>
          <w:rFonts w:ascii="Arial" w:hAnsi="Arial" w:cs="Arial"/>
          <w:sz w:val="20"/>
          <w:szCs w:val="20"/>
        </w:rPr>
        <w:t>References:</w:t>
      </w:r>
    </w:p>
    <w:p w14:paraId="3A62A838" w14:textId="77777777" w:rsidR="00E71CCC" w:rsidRPr="00E71CCC" w:rsidRDefault="00E71CCC" w:rsidP="00E71CCC">
      <w:pPr>
        <w:pStyle w:val="PlainText"/>
        <w:jc w:val="both"/>
        <w:rPr>
          <w:rFonts w:ascii="Arial" w:hAnsi="Arial" w:cs="Arial"/>
          <w:sz w:val="20"/>
          <w:szCs w:val="20"/>
        </w:rPr>
      </w:pPr>
    </w:p>
    <w:p w14:paraId="27EEB58F" w14:textId="77777777" w:rsidR="00E71CCC" w:rsidRPr="00E71CCC" w:rsidRDefault="00E71CCC" w:rsidP="00E71CCC">
      <w:pPr>
        <w:pStyle w:val="PlainText"/>
        <w:ind w:left="720"/>
        <w:jc w:val="both"/>
        <w:rPr>
          <w:rFonts w:ascii="Arial" w:hAnsi="Arial" w:cs="Arial"/>
          <w:sz w:val="20"/>
          <w:szCs w:val="20"/>
        </w:rPr>
      </w:pPr>
    </w:p>
    <w:p w14:paraId="0BB7FE87" w14:textId="77777777" w:rsidR="00E71CCC" w:rsidRPr="00E71CCC" w:rsidRDefault="00E71CCC" w:rsidP="00E71CCC">
      <w:pPr>
        <w:pStyle w:val="NormalWeb"/>
        <w:spacing w:before="0" w:beforeAutospacing="0" w:after="240" w:afterAutospacing="0" w:line="360" w:lineRule="auto"/>
        <w:ind w:left="720"/>
        <w:jc w:val="both"/>
        <w:rPr>
          <w:rFonts w:ascii="Arial" w:hAnsi="Arial" w:cs="Arial"/>
          <w:sz w:val="20"/>
          <w:szCs w:val="20"/>
        </w:rPr>
      </w:pPr>
    </w:p>
    <w:p w14:paraId="2CAC30C6"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Bergen, P., et al. (2019). The future of terrorism: ISIS, Al-Qaeda, and the Alt-Right. Brookings Institution Press.</w:t>
      </w:r>
    </w:p>
    <w:p w14:paraId="64D7EA74" w14:textId="77777777" w:rsidR="00E71CCC" w:rsidRPr="00E71CCC" w:rsidRDefault="00E71CCC" w:rsidP="00E71CCC">
      <w:pPr>
        <w:pStyle w:val="ListParagraph"/>
        <w:numPr>
          <w:ilvl w:val="0"/>
          <w:numId w:val="1"/>
        </w:numPr>
        <w:spacing w:after="240" w:line="36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 xml:space="preserve">Cabinet Office (2013). </w:t>
      </w:r>
      <w:r w:rsidRPr="00E71CCC">
        <w:rPr>
          <w:rFonts w:ascii="Arial" w:eastAsia="Times New Roman" w:hAnsi="Arial" w:cs="Arial"/>
          <w:i/>
          <w:iCs/>
          <w:kern w:val="0"/>
          <w:sz w:val="20"/>
          <w:szCs w:val="20"/>
          <w:lang w:eastAsia="en-GB"/>
          <w14:ligatures w14:val="none"/>
        </w:rPr>
        <w:t>Preparation and planning for emergencies: responsibilities of responder agencies and others</w:t>
      </w:r>
      <w:r w:rsidRPr="00E71CCC">
        <w:rPr>
          <w:rFonts w:ascii="Arial" w:eastAsia="Times New Roman" w:hAnsi="Arial" w:cs="Arial"/>
          <w:kern w:val="0"/>
          <w:sz w:val="20"/>
          <w:szCs w:val="20"/>
          <w:lang w:eastAsia="en-GB"/>
          <w14:ligatures w14:val="none"/>
        </w:rPr>
        <w:t>. [online] GOV.UK. Available at: https://www.gov.uk/guidance/preparation-and-planning-for-emergencies-responsibilities-of-responder-agencies-and-others [Accessed 4 Mar. 2024].</w:t>
      </w:r>
    </w:p>
    <w:p w14:paraId="4A4A4BC4" w14:textId="77777777" w:rsidR="00E71CCC" w:rsidRPr="00E71CCC" w:rsidRDefault="00E71CCC" w:rsidP="00E71CCC">
      <w:pPr>
        <w:pStyle w:val="ListParagraph"/>
        <w:numPr>
          <w:ilvl w:val="0"/>
          <w:numId w:val="1"/>
        </w:numPr>
        <w:spacing w:after="240" w:line="36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 xml:space="preserve">Cabinet Office (2016). </w:t>
      </w:r>
      <w:r w:rsidRPr="00E71CCC">
        <w:rPr>
          <w:rFonts w:ascii="Arial" w:eastAsia="Times New Roman" w:hAnsi="Arial" w:cs="Arial"/>
          <w:i/>
          <w:iCs/>
          <w:kern w:val="0"/>
          <w:sz w:val="20"/>
          <w:szCs w:val="20"/>
          <w:lang w:eastAsia="en-GB"/>
          <w14:ligatures w14:val="none"/>
        </w:rPr>
        <w:t>Emergency planning and preparedness: exercises and training</w:t>
      </w:r>
      <w:r w:rsidRPr="00E71CCC">
        <w:rPr>
          <w:rFonts w:ascii="Arial" w:eastAsia="Times New Roman" w:hAnsi="Arial" w:cs="Arial"/>
          <w:kern w:val="0"/>
          <w:sz w:val="20"/>
          <w:szCs w:val="20"/>
          <w:lang w:eastAsia="en-GB"/>
          <w14:ligatures w14:val="none"/>
        </w:rPr>
        <w:t>. [online] GOV.UK. Available at: https://www.gov.uk/guidance/emergency-planning-and-preparedness-exercises-and-training [Accessed 4 Mar. 2024].</w:t>
      </w:r>
    </w:p>
    <w:p w14:paraId="1F498010"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Clarke, C., &amp; Newman, G. R. (2020). Criminal enterprise and terrorism: The business model in context. Routledge.</w:t>
      </w:r>
    </w:p>
    <w:p w14:paraId="61C2A1D4" w14:textId="77777777" w:rsidR="00E71CCC" w:rsidRPr="00E71CCC" w:rsidRDefault="00E71CCC" w:rsidP="00E71CCC">
      <w:pPr>
        <w:pStyle w:val="NormalWeb"/>
        <w:numPr>
          <w:ilvl w:val="0"/>
          <w:numId w:val="1"/>
        </w:numPr>
        <w:spacing w:before="0" w:beforeAutospacing="0" w:after="240" w:afterAutospacing="0" w:line="360" w:lineRule="auto"/>
        <w:jc w:val="both"/>
        <w:rPr>
          <w:rFonts w:ascii="Arial" w:hAnsi="Arial" w:cs="Arial"/>
          <w:sz w:val="20"/>
          <w:szCs w:val="20"/>
        </w:rPr>
      </w:pPr>
      <w:r w:rsidRPr="00E71CCC">
        <w:rPr>
          <w:rFonts w:ascii="Arial" w:hAnsi="Arial" w:cs="Arial"/>
          <w:sz w:val="20"/>
          <w:szCs w:val="20"/>
        </w:rPr>
        <w:t xml:space="preserve">Counter Terrorism Policing (2022). </w:t>
      </w:r>
      <w:r w:rsidRPr="00E71CCC">
        <w:rPr>
          <w:rFonts w:ascii="Arial" w:hAnsi="Arial" w:cs="Arial"/>
          <w:i/>
          <w:iCs/>
          <w:sz w:val="20"/>
          <w:szCs w:val="20"/>
        </w:rPr>
        <w:t>Prevent</w:t>
      </w:r>
      <w:r w:rsidRPr="00E71CCC">
        <w:rPr>
          <w:rFonts w:ascii="Arial" w:hAnsi="Arial" w:cs="Arial"/>
          <w:sz w:val="20"/>
          <w:szCs w:val="20"/>
        </w:rPr>
        <w:t>. [online] Counter Terrorism Policing. Available at: https://www.counterterrorism.police.uk/what-we-do/prevent/ [Accessed 4 Mar. 2024].</w:t>
      </w:r>
    </w:p>
    <w:p w14:paraId="02C72ED1" w14:textId="77777777" w:rsidR="00E71CCC" w:rsidRPr="00E71CCC" w:rsidRDefault="00E71CCC" w:rsidP="00E71CCC">
      <w:pPr>
        <w:pStyle w:val="ListParagraph"/>
        <w:numPr>
          <w:ilvl w:val="0"/>
          <w:numId w:val="1"/>
        </w:numPr>
        <w:spacing w:after="240" w:line="36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 xml:space="preserve">Department for Communities and Local Government (2013). </w:t>
      </w:r>
      <w:r w:rsidRPr="00E71CCC">
        <w:rPr>
          <w:rFonts w:ascii="Arial" w:eastAsia="Times New Roman" w:hAnsi="Arial" w:cs="Arial"/>
          <w:i/>
          <w:iCs/>
          <w:kern w:val="0"/>
          <w:sz w:val="20"/>
          <w:szCs w:val="20"/>
          <w:lang w:eastAsia="en-GB"/>
          <w14:ligatures w14:val="none"/>
        </w:rPr>
        <w:t>Government Response to the Riots, Communities and Victims Panel’s final report</w:t>
      </w:r>
      <w:r w:rsidRPr="00E71CCC">
        <w:rPr>
          <w:rFonts w:ascii="Arial" w:eastAsia="Times New Roman" w:hAnsi="Arial" w:cs="Arial"/>
          <w:kern w:val="0"/>
          <w:sz w:val="20"/>
          <w:szCs w:val="20"/>
          <w:lang w:eastAsia="en-GB"/>
          <w14:ligatures w14:val="none"/>
        </w:rPr>
        <w:t xml:space="preserve">. [online] Available at: </w:t>
      </w:r>
      <w:r w:rsidRPr="00E71CCC">
        <w:rPr>
          <w:rFonts w:ascii="Arial" w:eastAsia="Times New Roman" w:hAnsi="Arial" w:cs="Arial"/>
          <w:kern w:val="0"/>
          <w:sz w:val="20"/>
          <w:szCs w:val="20"/>
          <w:lang w:eastAsia="en-GB"/>
          <w14:ligatures w14:val="none"/>
        </w:rPr>
        <w:lastRenderedPageBreak/>
        <w:t>https://assets.publishing.service.gov.uk/media/5a7cc9d9e5274a34d8d32f31/Govt_Response_to_the_Riots_-_Final_Report.pdf [Accessed 4 Mar. 2024].</w:t>
      </w:r>
    </w:p>
    <w:p w14:paraId="2E5BB183"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Dunn, M. (2020). Combating terrorism: Strategies and approaches. ABC-CLIO.</w:t>
      </w:r>
    </w:p>
    <w:p w14:paraId="0EB5C12B" w14:textId="77777777" w:rsidR="00E71CCC" w:rsidRPr="00E71CCC" w:rsidRDefault="00E71CCC" w:rsidP="00E71CCC">
      <w:pPr>
        <w:pStyle w:val="NormalWeb"/>
        <w:numPr>
          <w:ilvl w:val="0"/>
          <w:numId w:val="1"/>
        </w:numPr>
        <w:spacing w:before="0" w:beforeAutospacing="0" w:after="240" w:afterAutospacing="0" w:line="360" w:lineRule="auto"/>
        <w:jc w:val="both"/>
        <w:rPr>
          <w:rFonts w:ascii="Arial" w:hAnsi="Arial" w:cs="Arial"/>
          <w:sz w:val="20"/>
          <w:szCs w:val="20"/>
        </w:rPr>
      </w:pPr>
      <w:r w:rsidRPr="00E71CCC">
        <w:rPr>
          <w:rFonts w:ascii="Arial" w:hAnsi="Arial" w:cs="Arial"/>
          <w:sz w:val="20"/>
          <w:szCs w:val="20"/>
        </w:rPr>
        <w:t xml:space="preserve">HMICFRS (2020). </w:t>
      </w:r>
      <w:r w:rsidRPr="00E71CCC">
        <w:rPr>
          <w:rFonts w:ascii="Arial" w:hAnsi="Arial" w:cs="Arial"/>
          <w:i/>
          <w:iCs/>
          <w:sz w:val="20"/>
          <w:szCs w:val="20"/>
        </w:rPr>
        <w:t>Counter-terrorism policing</w:t>
      </w:r>
      <w:r w:rsidRPr="00E71CCC">
        <w:rPr>
          <w:rFonts w:ascii="Arial" w:hAnsi="Arial" w:cs="Arial"/>
          <w:sz w:val="20"/>
          <w:szCs w:val="20"/>
        </w:rPr>
        <w:t>. [online] Available at: https://assets-hmicfrs.justiceinspectorates.gov.uk/uploads/redacted-counter-terrorism-policing-inspection-police-contribution-government-prevent-programme.pdf [Accessed 4 Mar. 2024].</w:t>
      </w:r>
    </w:p>
    <w:p w14:paraId="6DC0392E" w14:textId="77777777" w:rsidR="00E71CCC" w:rsidRPr="00E71CCC" w:rsidRDefault="00E71CCC" w:rsidP="00E71CCC">
      <w:pPr>
        <w:pStyle w:val="NormalWeb"/>
        <w:numPr>
          <w:ilvl w:val="0"/>
          <w:numId w:val="1"/>
        </w:numPr>
        <w:spacing w:before="0" w:beforeAutospacing="0" w:after="240" w:afterAutospacing="0" w:line="360" w:lineRule="auto"/>
        <w:jc w:val="both"/>
        <w:rPr>
          <w:rFonts w:ascii="Arial" w:hAnsi="Arial" w:cs="Arial"/>
          <w:sz w:val="20"/>
          <w:szCs w:val="20"/>
        </w:rPr>
      </w:pPr>
      <w:r w:rsidRPr="00E71CCC">
        <w:rPr>
          <w:rFonts w:ascii="Arial" w:hAnsi="Arial" w:cs="Arial"/>
          <w:sz w:val="20"/>
          <w:szCs w:val="20"/>
        </w:rPr>
        <w:t xml:space="preserve">HMICFRS (2022). </w:t>
      </w:r>
      <w:r w:rsidRPr="00E71CCC">
        <w:rPr>
          <w:rFonts w:ascii="Arial" w:hAnsi="Arial" w:cs="Arial"/>
          <w:i/>
          <w:iCs/>
          <w:sz w:val="20"/>
          <w:szCs w:val="20"/>
        </w:rPr>
        <w:t>Counter-terrorism policing: An inspection of the police’s contribution to the government’s Prevent programme</w:t>
      </w:r>
      <w:r w:rsidRPr="00E71CCC">
        <w:rPr>
          <w:rFonts w:ascii="Arial" w:hAnsi="Arial" w:cs="Arial"/>
          <w:sz w:val="20"/>
          <w:szCs w:val="20"/>
        </w:rPr>
        <w:t>. [online] His Majesty’s Inspectorate of Constabulary and Fire &amp; Rescue Services. Available at: https://hmicfrs.justiceinspectorates.gov.uk/publication-html/counter-terrorism-policing-an-inspection-of-the-polices-contribution-to-the-governments-prevent-programme/ [Accessed 4 Mar. 2024].</w:t>
      </w:r>
    </w:p>
    <w:p w14:paraId="025E7A26" w14:textId="77777777" w:rsidR="00E71CCC" w:rsidRPr="00E71CCC" w:rsidRDefault="00E71CCC" w:rsidP="00E71CCC">
      <w:pPr>
        <w:pStyle w:val="ListParagraph"/>
        <w:numPr>
          <w:ilvl w:val="0"/>
          <w:numId w:val="1"/>
        </w:numPr>
        <w:spacing w:after="240" w:line="36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 xml:space="preserve">Home Office (2021). </w:t>
      </w:r>
      <w:r w:rsidRPr="00E71CCC">
        <w:rPr>
          <w:rFonts w:ascii="Arial" w:eastAsia="Times New Roman" w:hAnsi="Arial" w:cs="Arial"/>
          <w:i/>
          <w:iCs/>
          <w:kern w:val="0"/>
          <w:sz w:val="20"/>
          <w:szCs w:val="20"/>
          <w:lang w:eastAsia="en-GB"/>
          <w14:ligatures w14:val="none"/>
        </w:rPr>
        <w:t>Critical incident management</w:t>
      </w:r>
      <w:r w:rsidRPr="00E71CCC">
        <w:rPr>
          <w:rFonts w:ascii="Arial" w:eastAsia="Times New Roman" w:hAnsi="Arial" w:cs="Arial"/>
          <w:kern w:val="0"/>
          <w:sz w:val="20"/>
          <w:szCs w:val="20"/>
          <w:lang w:eastAsia="en-GB"/>
          <w14:ligatures w14:val="none"/>
        </w:rPr>
        <w:t>. [online] Available at: https://assets.publishing.service.gov.uk/media/6128beece90e07054a62c5d8/national-critical-incident-management-guidance-v13.0-ext.pdf [Accessed 4 Mar. 2024].</w:t>
      </w:r>
    </w:p>
    <w:p w14:paraId="7D80AE96" w14:textId="77777777" w:rsidR="00E71CCC" w:rsidRPr="00E71CCC" w:rsidRDefault="00E71CCC" w:rsidP="00E71CCC">
      <w:pPr>
        <w:pStyle w:val="NormalWeb"/>
        <w:numPr>
          <w:ilvl w:val="0"/>
          <w:numId w:val="1"/>
        </w:numPr>
        <w:spacing w:before="0" w:beforeAutospacing="0" w:after="240" w:afterAutospacing="0" w:line="360" w:lineRule="auto"/>
        <w:jc w:val="both"/>
        <w:rPr>
          <w:rFonts w:ascii="Arial" w:hAnsi="Arial" w:cs="Arial"/>
          <w:sz w:val="20"/>
          <w:szCs w:val="20"/>
        </w:rPr>
      </w:pPr>
      <w:r w:rsidRPr="00E71CCC">
        <w:rPr>
          <w:rFonts w:ascii="Arial" w:hAnsi="Arial" w:cs="Arial"/>
          <w:sz w:val="20"/>
          <w:szCs w:val="20"/>
        </w:rPr>
        <w:t xml:space="preserve">Home Office (2023). </w:t>
      </w:r>
      <w:r w:rsidRPr="00E71CCC">
        <w:rPr>
          <w:rFonts w:ascii="Arial" w:hAnsi="Arial" w:cs="Arial"/>
          <w:i/>
          <w:iCs/>
          <w:sz w:val="20"/>
          <w:szCs w:val="20"/>
        </w:rPr>
        <w:t>Counter-terrorism strategy (CONTEST) 2023</w:t>
      </w:r>
      <w:r w:rsidRPr="00E71CCC">
        <w:rPr>
          <w:rFonts w:ascii="Arial" w:hAnsi="Arial" w:cs="Arial"/>
          <w:sz w:val="20"/>
          <w:szCs w:val="20"/>
        </w:rPr>
        <w:t>. [online] GOV.UK. Available at: https://www.gov.uk/government/publications/counter-terrorism-strategy-contest-2023#:~:text=prevent%3A%20to%20stop%20people%20becoming [Accessed 4 Mar. 2024].</w:t>
      </w:r>
    </w:p>
    <w:p w14:paraId="4CB6A5D5" w14:textId="77777777" w:rsidR="00E71CCC" w:rsidRPr="00E71CCC" w:rsidRDefault="00E71CCC" w:rsidP="00E71CCC">
      <w:pPr>
        <w:pStyle w:val="ListParagraph"/>
        <w:numPr>
          <w:ilvl w:val="0"/>
          <w:numId w:val="1"/>
        </w:numPr>
        <w:spacing w:after="240" w:line="36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 xml:space="preserve">JESIP (2022). </w:t>
      </w:r>
      <w:r w:rsidRPr="00E71CCC">
        <w:rPr>
          <w:rFonts w:ascii="Arial" w:eastAsia="Times New Roman" w:hAnsi="Arial" w:cs="Arial"/>
          <w:i/>
          <w:iCs/>
          <w:kern w:val="0"/>
          <w:sz w:val="20"/>
          <w:szCs w:val="20"/>
          <w:lang w:eastAsia="en-GB"/>
          <w14:ligatures w14:val="none"/>
        </w:rPr>
        <w:t>Emergency Responder Organisations Roles, Responsibilities and Capabilities</w:t>
      </w:r>
      <w:r w:rsidRPr="00E71CCC">
        <w:rPr>
          <w:rFonts w:ascii="Arial" w:eastAsia="Times New Roman" w:hAnsi="Arial" w:cs="Arial"/>
          <w:kern w:val="0"/>
          <w:sz w:val="20"/>
          <w:szCs w:val="20"/>
          <w:lang w:eastAsia="en-GB"/>
          <w14:ligatures w14:val="none"/>
        </w:rPr>
        <w:t>. [online] Available at: https://www.jesip.org.uk/wp-content/uploads/2022/08/Emergency-Responder-Organisations-Roles-and-Responsibilities-v1.1-Aug-2022-1.pdf [Accessed 4 Mar. 2024].</w:t>
      </w:r>
    </w:p>
    <w:p w14:paraId="1604B82B"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Jones, S. G. (2019). Terrorism, crime, and criminal justice. Routledge.</w:t>
      </w:r>
    </w:p>
    <w:p w14:paraId="4E1A10A7"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 xml:space="preserve">Lum, C., et al. (2019). A companion to crime, </w:t>
      </w:r>
      <w:proofErr w:type="gramStart"/>
      <w:r w:rsidRPr="00E71CCC">
        <w:rPr>
          <w:rFonts w:ascii="Arial" w:hAnsi="Arial" w:cs="Arial"/>
          <w:sz w:val="20"/>
          <w:szCs w:val="20"/>
        </w:rPr>
        <w:t>harm</w:t>
      </w:r>
      <w:proofErr w:type="gramEnd"/>
      <w:r w:rsidRPr="00E71CCC">
        <w:rPr>
          <w:rFonts w:ascii="Arial" w:hAnsi="Arial" w:cs="Arial"/>
          <w:sz w:val="20"/>
          <w:szCs w:val="20"/>
        </w:rPr>
        <w:t xml:space="preserve"> and victimisation. Policy Press.</w:t>
      </w:r>
    </w:p>
    <w:p w14:paraId="58FDB800"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Makarenko, T. (2017). Crime-terror nexus in the EU. In M. S. McGlinchey et al. (Eds.), Routledge handbook of terrorism and counterterrorism (pp. 295-310). Routledge.</w:t>
      </w:r>
    </w:p>
    <w:p w14:paraId="1888AFF8"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McCoy, J. F., &amp; Hoffman, M. (2020). Dark networks in the Atlantic Basin: Emerging trends and implications for international security. Stanford University Press.</w:t>
      </w:r>
    </w:p>
    <w:p w14:paraId="4ED37A03" w14:textId="77777777" w:rsidR="00E71CCC" w:rsidRPr="00E71CCC" w:rsidRDefault="00E71CCC" w:rsidP="00E71CCC">
      <w:pPr>
        <w:pStyle w:val="NormalWeb"/>
        <w:numPr>
          <w:ilvl w:val="0"/>
          <w:numId w:val="1"/>
        </w:numPr>
        <w:spacing w:before="0" w:beforeAutospacing="0" w:after="240" w:afterAutospacing="0" w:line="360" w:lineRule="auto"/>
        <w:jc w:val="both"/>
        <w:rPr>
          <w:rFonts w:ascii="Arial" w:hAnsi="Arial" w:cs="Arial"/>
          <w:sz w:val="20"/>
          <w:szCs w:val="20"/>
        </w:rPr>
      </w:pPr>
      <w:r w:rsidRPr="00E71CCC">
        <w:rPr>
          <w:rFonts w:ascii="Arial" w:hAnsi="Arial" w:cs="Arial"/>
          <w:sz w:val="20"/>
          <w:szCs w:val="20"/>
        </w:rPr>
        <w:t xml:space="preserve">Mi5 (2023). </w:t>
      </w:r>
      <w:r w:rsidRPr="00E71CCC">
        <w:rPr>
          <w:rFonts w:ascii="Arial" w:hAnsi="Arial" w:cs="Arial"/>
          <w:i/>
          <w:iCs/>
          <w:sz w:val="20"/>
          <w:szCs w:val="20"/>
        </w:rPr>
        <w:t>Five Eyes launch drive to secure innovation</w:t>
      </w:r>
      <w:r w:rsidRPr="00E71CCC">
        <w:rPr>
          <w:rFonts w:ascii="Arial" w:hAnsi="Arial" w:cs="Arial"/>
          <w:sz w:val="20"/>
          <w:szCs w:val="20"/>
        </w:rPr>
        <w:t>. [online] www.mi5.gov.uk. Available at: https://www.mi5.gov.uk/news/five-eyes-launch-drive-to-secure-innovation [Accessed 4 Mar. 2024].</w:t>
      </w:r>
    </w:p>
    <w:p w14:paraId="21FC926B" w14:textId="77777777" w:rsidR="00E71CCC" w:rsidRPr="00E71CCC" w:rsidRDefault="00E71CCC" w:rsidP="00E71CCC">
      <w:pPr>
        <w:pStyle w:val="ListParagraph"/>
        <w:numPr>
          <w:ilvl w:val="0"/>
          <w:numId w:val="1"/>
        </w:numPr>
        <w:spacing w:after="240" w:line="360" w:lineRule="auto"/>
        <w:jc w:val="both"/>
        <w:rPr>
          <w:rFonts w:ascii="Arial" w:eastAsia="Times New Roman" w:hAnsi="Arial" w:cs="Arial"/>
          <w:kern w:val="0"/>
          <w:sz w:val="20"/>
          <w:szCs w:val="20"/>
          <w:lang w:eastAsia="en-GB"/>
          <w14:ligatures w14:val="none"/>
        </w:rPr>
      </w:pPr>
      <w:r w:rsidRPr="00E71CCC">
        <w:rPr>
          <w:rFonts w:ascii="Arial" w:eastAsia="Times New Roman" w:hAnsi="Arial" w:cs="Arial"/>
          <w:kern w:val="0"/>
          <w:sz w:val="20"/>
          <w:szCs w:val="20"/>
          <w:lang w:eastAsia="en-GB"/>
          <w14:ligatures w14:val="none"/>
        </w:rPr>
        <w:t xml:space="preserve">National Policing Improvement Agency (2009). </w:t>
      </w:r>
      <w:r w:rsidRPr="00E71CCC">
        <w:rPr>
          <w:rFonts w:ascii="Arial" w:eastAsia="Times New Roman" w:hAnsi="Arial" w:cs="Arial"/>
          <w:i/>
          <w:iCs/>
          <w:kern w:val="0"/>
          <w:sz w:val="20"/>
          <w:szCs w:val="20"/>
          <w:lang w:eastAsia="en-GB"/>
          <w14:ligatures w14:val="none"/>
        </w:rPr>
        <w:t>Multi-Agency Interoperability</w:t>
      </w:r>
      <w:r w:rsidRPr="00E71CCC">
        <w:rPr>
          <w:rFonts w:ascii="Arial" w:eastAsia="Times New Roman" w:hAnsi="Arial" w:cs="Arial"/>
          <w:kern w:val="0"/>
          <w:sz w:val="20"/>
          <w:szCs w:val="20"/>
          <w:lang w:eastAsia="en-GB"/>
          <w14:ligatures w14:val="none"/>
        </w:rPr>
        <w:t>. [online] Available at: https://library.college.police.uk/docs/acpo/Multi-agency-Interoperability-130609.pdf [Accessed 4 Mar. 2024].</w:t>
      </w:r>
    </w:p>
    <w:p w14:paraId="7189D7BA" w14:textId="77777777" w:rsidR="00E71CCC" w:rsidRPr="00E71CCC" w:rsidRDefault="00E71CCC" w:rsidP="00E71CCC">
      <w:pPr>
        <w:pStyle w:val="NormalWeb"/>
        <w:numPr>
          <w:ilvl w:val="0"/>
          <w:numId w:val="1"/>
        </w:numPr>
        <w:spacing w:before="0" w:beforeAutospacing="0" w:after="240" w:afterAutospacing="0" w:line="360" w:lineRule="auto"/>
        <w:jc w:val="both"/>
        <w:rPr>
          <w:rFonts w:ascii="Arial" w:hAnsi="Arial" w:cs="Arial"/>
          <w:sz w:val="20"/>
          <w:szCs w:val="20"/>
        </w:rPr>
      </w:pPr>
      <w:r w:rsidRPr="00E71CCC">
        <w:rPr>
          <w:rFonts w:ascii="Arial" w:hAnsi="Arial" w:cs="Arial"/>
          <w:sz w:val="20"/>
          <w:szCs w:val="20"/>
        </w:rPr>
        <w:t xml:space="preserve">National Protective Security Authority (2023). </w:t>
      </w:r>
      <w:r w:rsidRPr="00E71CCC">
        <w:rPr>
          <w:rFonts w:ascii="Arial" w:hAnsi="Arial" w:cs="Arial"/>
          <w:i/>
          <w:iCs/>
          <w:sz w:val="20"/>
          <w:szCs w:val="20"/>
        </w:rPr>
        <w:t>Reducing Insider Risk | NPSA</w:t>
      </w:r>
      <w:r w:rsidRPr="00E71CCC">
        <w:rPr>
          <w:rFonts w:ascii="Arial" w:hAnsi="Arial" w:cs="Arial"/>
          <w:sz w:val="20"/>
          <w:szCs w:val="20"/>
        </w:rPr>
        <w:t>. [online] www.npsa.gov.uk. Available at: https://www.npsa.gov.uk/reducing-insider-risk [Accessed 4 Mar. 2024].</w:t>
      </w:r>
    </w:p>
    <w:p w14:paraId="5025F800"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lastRenderedPageBreak/>
        <w:t>Nesser, P. (2017). Islamist terrorism in Europe: A history. Oxford University Press.</w:t>
      </w:r>
    </w:p>
    <w:p w14:paraId="5BA7F489" w14:textId="77777777" w:rsidR="00E71CCC" w:rsidRPr="00E71CCC" w:rsidRDefault="00E71CCC" w:rsidP="00E71CCC">
      <w:pPr>
        <w:pStyle w:val="PlainText"/>
        <w:numPr>
          <w:ilvl w:val="0"/>
          <w:numId w:val="1"/>
        </w:numPr>
        <w:jc w:val="both"/>
        <w:rPr>
          <w:rFonts w:ascii="Arial" w:hAnsi="Arial" w:cs="Arial"/>
          <w:sz w:val="20"/>
          <w:szCs w:val="20"/>
        </w:rPr>
      </w:pPr>
      <w:proofErr w:type="spellStart"/>
      <w:r w:rsidRPr="00E71CCC">
        <w:rPr>
          <w:rFonts w:ascii="Arial" w:hAnsi="Arial" w:cs="Arial"/>
          <w:sz w:val="20"/>
          <w:szCs w:val="20"/>
        </w:rPr>
        <w:t>Reinares</w:t>
      </w:r>
      <w:proofErr w:type="spellEnd"/>
      <w:r w:rsidRPr="00E71CCC">
        <w:rPr>
          <w:rFonts w:ascii="Arial" w:hAnsi="Arial" w:cs="Arial"/>
          <w:sz w:val="20"/>
          <w:szCs w:val="20"/>
        </w:rPr>
        <w:t>, F., &amp; García-Calvo, C. (2019). The evolution of terrorism in Spain: The effects of 9/11 on Jihadism. Palgrave Macmillan.</w:t>
      </w:r>
    </w:p>
    <w:p w14:paraId="555D121F"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Schuurman, B., &amp; Bakker, E. (2021). Lone-Actor Terrorist Radicalization and the Role of the Internet. Oxford University Press.</w:t>
      </w:r>
    </w:p>
    <w:p w14:paraId="6E8D0DBE"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Sullivan, B., &amp; Ganor, B. (2018). Countering terrorism: Dimensions of preparedness. Routledge.</w:t>
      </w:r>
    </w:p>
    <w:p w14:paraId="3455341A" w14:textId="77777777" w:rsidR="00E71CCC" w:rsidRPr="00E71CCC" w:rsidRDefault="00E71CCC" w:rsidP="00E71CCC">
      <w:pPr>
        <w:pStyle w:val="PlainText"/>
        <w:numPr>
          <w:ilvl w:val="0"/>
          <w:numId w:val="1"/>
        </w:numPr>
        <w:jc w:val="both"/>
        <w:rPr>
          <w:rFonts w:ascii="Arial" w:hAnsi="Arial" w:cs="Arial"/>
          <w:sz w:val="20"/>
          <w:szCs w:val="20"/>
        </w:rPr>
      </w:pPr>
      <w:r w:rsidRPr="00E71CCC">
        <w:rPr>
          <w:rFonts w:ascii="Arial" w:hAnsi="Arial" w:cs="Arial"/>
          <w:sz w:val="20"/>
          <w:szCs w:val="20"/>
        </w:rPr>
        <w:t xml:space="preserve">Williams, M. J., &amp; Levi, M. (2020). Networks, </w:t>
      </w:r>
      <w:proofErr w:type="gramStart"/>
      <w:r w:rsidRPr="00E71CCC">
        <w:rPr>
          <w:rFonts w:ascii="Arial" w:hAnsi="Arial" w:cs="Arial"/>
          <w:sz w:val="20"/>
          <w:szCs w:val="20"/>
        </w:rPr>
        <w:t>terrorism</w:t>
      </w:r>
      <w:proofErr w:type="gramEnd"/>
      <w:r w:rsidRPr="00E71CCC">
        <w:rPr>
          <w:rFonts w:ascii="Arial" w:hAnsi="Arial" w:cs="Arial"/>
          <w:sz w:val="20"/>
          <w:szCs w:val="20"/>
        </w:rPr>
        <w:t xml:space="preserve"> and global insurgency. Routledge.</w:t>
      </w:r>
    </w:p>
    <w:p w14:paraId="205E33EC" w14:textId="77777777" w:rsidR="00E71CCC" w:rsidRPr="00E71CCC" w:rsidRDefault="00E71CCC" w:rsidP="00E71CCC">
      <w:pPr>
        <w:pStyle w:val="PlainText"/>
        <w:ind w:left="720"/>
        <w:jc w:val="both"/>
        <w:rPr>
          <w:rFonts w:ascii="Arial" w:hAnsi="Arial" w:cs="Arial"/>
          <w:sz w:val="20"/>
          <w:szCs w:val="20"/>
        </w:rPr>
      </w:pPr>
    </w:p>
    <w:p w14:paraId="3C38AD78" w14:textId="77777777" w:rsidR="00E71CCC" w:rsidRPr="00E71CCC" w:rsidRDefault="00E71CCC" w:rsidP="00E71CCC">
      <w:pPr>
        <w:jc w:val="both"/>
        <w:rPr>
          <w:rFonts w:ascii="Arial" w:hAnsi="Arial" w:cs="Arial"/>
          <w:sz w:val="20"/>
          <w:szCs w:val="20"/>
        </w:rPr>
      </w:pPr>
    </w:p>
    <w:sectPr w:rsidR="00E71CCC" w:rsidRPr="00E71CCC" w:rsidSect="00E71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731CB1"/>
    <w:multiLevelType w:val="hybridMultilevel"/>
    <w:tmpl w:val="F0B61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3908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CCC"/>
    <w:rsid w:val="00E71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28C47"/>
  <w15:chartTrackingRefBased/>
  <w15:docId w15:val="{8685066F-2A38-4E78-A658-FDBE0AD11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C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E71CCC"/>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E71CCC"/>
    <w:rPr>
      <w:rFonts w:ascii="Calibri" w:hAnsi="Calibri"/>
      <w:szCs w:val="21"/>
    </w:rPr>
  </w:style>
  <w:style w:type="paragraph" w:customStyle="1" w:styleId="Default">
    <w:name w:val="Default"/>
    <w:rsid w:val="00E71CCC"/>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E71C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E71C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2857</Words>
  <Characters>16286</Characters>
  <Application>Microsoft Office Word</Application>
  <DocSecurity>0</DocSecurity>
  <Lines>135</Lines>
  <Paragraphs>38</Paragraphs>
  <ScaleCrop>false</ScaleCrop>
  <Company>South Wales Police</Company>
  <LinksUpToDate>false</LinksUpToDate>
  <CharactersWithSpaces>19105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1</cp:revision>
  <dcterms:created xsi:type="dcterms:W3CDTF">2024-03-04T23:07:00Z</dcterms:created>
  <dcterms:modified xsi:type="dcterms:W3CDTF">2024-03-04T23:11:00Z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2024-03-04T23:11:23Z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f75ce4a5-2b7e-499a-b81a-c126461c12d6</vt:lpwstr>
  </property>
  <property fmtid="{D5CDD505-2E9C-101B-9397-08002B2CF9AE}" pid="8" name="MSIP_Label_66cf8fe5-b7b7-4df7-b38d-1c61ac2f6639_ContentBits">
    <vt:lpwstr>0</vt:lpwstr>
  </property>
</Properties>
</file>