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2F6A1" w14:textId="1392C178" w:rsidR="000632E5" w:rsidRDefault="3428A2BE">
      <w:r>
        <w:t xml:space="preserve">Corentine Byrd </w:t>
      </w:r>
      <w:r w:rsidR="00000000">
        <w:br/>
      </w:r>
      <w:r>
        <w:t xml:space="preserve">HPHI5009 </w:t>
      </w:r>
    </w:p>
    <w:p w14:paraId="5E5787A5" w14:textId="6101BC9C" w:rsidR="000632E5" w:rsidRDefault="3428A2BE" w:rsidP="1E72C03D">
      <w:r>
        <w:t>Providing a commentary on excerpts of the Bayeux Tapestry.</w:t>
      </w:r>
      <w:r w:rsidR="00000000">
        <w:br/>
      </w:r>
      <w:r>
        <w:t xml:space="preserve"> </w:t>
      </w:r>
      <w:r w:rsidR="00000000">
        <w:br/>
      </w:r>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1D68A00" w14:textId="7CF85A96" w:rsidR="1E72C03D" w:rsidRDefault="1E72C03D" w:rsidP="1E72C03D"/>
    <w:p w14:paraId="54A0A4C8" w14:textId="2C399282" w:rsidR="1E72C03D" w:rsidRDefault="1E72C03D" w:rsidP="1E72C03D"/>
    <w:p w14:paraId="5C2223DD" w14:textId="6635CB42" w:rsidR="1E72C03D" w:rsidRDefault="1E72C03D" w:rsidP="1E72C03D"/>
    <w:p w14:paraId="24271F34" w14:textId="1BE1EEDD" w:rsidR="1E72C03D" w:rsidRDefault="1E72C03D" w:rsidP="1E72C03D"/>
    <w:p w14:paraId="00FBE137" w14:textId="4CE16FAB" w:rsidR="1E72C03D" w:rsidRDefault="1E72C03D" w:rsidP="1E72C03D"/>
    <w:p w14:paraId="3C0D2BA6" w14:textId="34F070D8" w:rsidR="1E72C03D" w:rsidRDefault="1E72C03D" w:rsidP="1E72C03D"/>
    <w:p w14:paraId="6A2CF390" w14:textId="6703042E" w:rsidR="1E72C03D" w:rsidRDefault="1E72C03D" w:rsidP="1E72C03D"/>
    <w:p w14:paraId="2113D820" w14:textId="77D94423" w:rsidR="1E72C03D" w:rsidRDefault="1E72C03D" w:rsidP="1E72C03D"/>
    <w:p w14:paraId="34A47018" w14:textId="42725C0D" w:rsidR="1E72C03D" w:rsidRDefault="1E72C03D" w:rsidP="1E72C03D"/>
    <w:p w14:paraId="3B64C5D7" w14:textId="09563382" w:rsidR="1E72C03D" w:rsidRDefault="1E72C03D" w:rsidP="1E72C03D"/>
    <w:p w14:paraId="44434BD8" w14:textId="09CD5B10" w:rsidR="1E72C03D" w:rsidRDefault="1E72C03D" w:rsidP="1E72C03D"/>
    <w:p w14:paraId="519A1C23" w14:textId="4FD0C67D" w:rsidR="1E72C03D" w:rsidRDefault="1E72C03D" w:rsidP="1E72C03D"/>
    <w:p w14:paraId="781A7F88" w14:textId="1AE395ED" w:rsidR="1E72C03D" w:rsidRDefault="1E72C03D" w:rsidP="1E72C03D"/>
    <w:p w14:paraId="5F7A7F74" w14:textId="1B7BFF8A" w:rsidR="1E72C03D" w:rsidRDefault="1E72C03D" w:rsidP="1E72C03D"/>
    <w:p w14:paraId="00082166" w14:textId="3C4F9A0B" w:rsidR="1E72C03D" w:rsidRDefault="1E72C03D" w:rsidP="1E72C03D"/>
    <w:p w14:paraId="62910814" w14:textId="2241305E" w:rsidR="1E72C03D" w:rsidRDefault="1E72C03D" w:rsidP="1E72C03D"/>
    <w:p w14:paraId="54B64D55" w14:textId="158E473C" w:rsidR="1E72C03D" w:rsidRDefault="1E72C03D" w:rsidP="1E72C03D"/>
    <w:p w14:paraId="2FB24DC6" w14:textId="389F6B95" w:rsidR="1E72C03D" w:rsidRDefault="1E72C03D" w:rsidP="1E72C03D"/>
    <w:p w14:paraId="64C99F6A" w14:textId="51C6B014" w:rsidR="1E72C03D" w:rsidRDefault="1E72C03D" w:rsidP="1E72C03D"/>
    <w:p w14:paraId="23F5E383" w14:textId="5035D88C" w:rsidR="1E72C03D" w:rsidRDefault="1E72C03D" w:rsidP="1E72C03D"/>
    <w:p w14:paraId="0F1B1FA9" w14:textId="77777777" w:rsidR="003E3579" w:rsidRDefault="003E3579" w:rsidP="48FCA840"/>
    <w:p w14:paraId="134788AD" w14:textId="77F50DB0" w:rsidR="17C6AA48" w:rsidRDefault="7296980C" w:rsidP="48FCA840">
      <w:r>
        <w:lastRenderedPageBreak/>
        <w:t>The Bayeux Tapestry is one of the most important pieces of prese</w:t>
      </w:r>
      <w:r w:rsidR="74FF1634">
        <w:t>rved visual Anglo-Norman history. Pr</w:t>
      </w:r>
      <w:r w:rsidR="5A626183">
        <w:t>esumed to have been pr</w:t>
      </w:r>
      <w:r w:rsidR="74FF1634">
        <w:t>oduced</w:t>
      </w:r>
      <w:r w:rsidR="543B35B3">
        <w:t xml:space="preserve"> in England</w:t>
      </w:r>
      <w:r w:rsidR="74FF1634">
        <w:t xml:space="preserve"> at an unknown point</w:t>
      </w:r>
      <w:r w:rsidR="2F384384">
        <w:t xml:space="preserve"> shortly</w:t>
      </w:r>
      <w:r w:rsidR="74FF1634">
        <w:t xml:space="preserve"> after the</w:t>
      </w:r>
      <w:r w:rsidR="16532320">
        <w:t xml:space="preserve"> successful invasion and conquering by the Norman people, it recounts</w:t>
      </w:r>
      <w:r w:rsidR="40973339">
        <w:t xml:space="preserve"> the events before and during the titular invasion and the Battle of Hastings, where King Harold Godwinson was killed.</w:t>
      </w:r>
      <w:r w:rsidR="433B732A">
        <w:t xml:space="preserve"> Scenes 27 to 34 of the embroidery </w:t>
      </w:r>
      <w:r w:rsidR="6A2EF70E">
        <w:t>first show the death of Edward, King of England, then the coronation and beginning of rule of King Harold.</w:t>
      </w:r>
      <w:r w:rsidR="6EB865D8">
        <w:t xml:space="preserve"> Through these scenes, the intended propagandized messaging of the Normans who commissioned the Bayeux Tapestry</w:t>
      </w:r>
      <w:r w:rsidR="316CF7DB">
        <w:t xml:space="preserve"> obviously</w:t>
      </w:r>
      <w:r w:rsidR="39ECB9BE">
        <w:t xml:space="preserve"> in the images and </w:t>
      </w:r>
      <w:r w:rsidR="39ECB9BE" w:rsidRPr="48FCA840">
        <w:rPr>
          <w:i/>
          <w:iCs/>
        </w:rPr>
        <w:t>tituli</w:t>
      </w:r>
      <w:r w:rsidR="39ECB9BE" w:rsidRPr="48FCA840">
        <w:t xml:space="preserve"> in the foreground</w:t>
      </w:r>
      <w:r w:rsidR="118ABDF1" w:rsidRPr="48FCA840">
        <w:t>. More subtly, these panels also create an ahistorical depiction of the presence of Halley's Comet; this has been the subject of great interpretation since scholarly work began to be published on the tapestry.</w:t>
      </w:r>
      <w:r w:rsidR="6E9F0413">
        <w:t xml:space="preserve"> </w:t>
      </w:r>
      <w:r>
        <w:t xml:space="preserve">The selected </w:t>
      </w:r>
      <w:r w:rsidR="4B06C429">
        <w:t xml:space="preserve">scenes </w:t>
      </w:r>
      <w:r>
        <w:t>of the Bayeux Tapestry</w:t>
      </w:r>
      <w:r w:rsidR="48B1B56C">
        <w:t xml:space="preserve"> represent the </w:t>
      </w:r>
      <w:r w:rsidR="64962A12">
        <w:t xml:space="preserve">moral justifications </w:t>
      </w:r>
      <w:r w:rsidR="48B1B56C">
        <w:t>of the Norman invasion</w:t>
      </w:r>
      <w:r w:rsidR="5B206640">
        <w:t xml:space="preserve"> and the </w:t>
      </w:r>
      <w:r w:rsidR="3623CBC1">
        <w:t xml:space="preserve">further </w:t>
      </w:r>
      <w:r w:rsidR="5B206640">
        <w:t>implications of Halley's Comet being visible over England shortly prior.</w:t>
      </w:r>
    </w:p>
    <w:p w14:paraId="2AE2F833" w14:textId="1C500FD9" w:rsidR="1E72C03D" w:rsidRDefault="1E72C03D" w:rsidP="1E72C03D"/>
    <w:p w14:paraId="396AEB01" w14:textId="5486600F" w:rsidR="7C4263F7" w:rsidRDefault="3E558725" w:rsidP="1E72C03D">
      <w:r>
        <w:t>In scene 3</w:t>
      </w:r>
      <w:r w:rsidR="35E47860">
        <w:t>1</w:t>
      </w:r>
      <w:r>
        <w:t xml:space="preserve"> of the Bayeux Tapestry</w:t>
      </w:r>
      <w:r w:rsidR="467C4A9A">
        <w:t xml:space="preserve">, </w:t>
      </w:r>
      <w:r w:rsidR="3BD37DED">
        <w:t>Harold Godwinson is crowned King of England</w:t>
      </w:r>
      <w:r w:rsidR="33E7A66A">
        <w:t>.</w:t>
      </w:r>
      <w:r w:rsidR="453EDF5B">
        <w:t xml:space="preserve"> The scene shows Harold seated in a throne beside two advisors and </w:t>
      </w:r>
      <w:r w:rsidR="1AD1BA04">
        <w:t>A</w:t>
      </w:r>
      <w:r w:rsidR="24D5EF79">
        <w:t>rchbishop Stigan</w:t>
      </w:r>
      <w:r w:rsidR="2A4CB0BA">
        <w:t xml:space="preserve">d, then Archbishop of Canterbury. </w:t>
      </w:r>
      <w:r w:rsidR="3C09B3A2">
        <w:t>On the surface, this appears to be a normal coronation ceremony overseen by the traditional representatives of the church. However, w</w:t>
      </w:r>
      <w:r w:rsidR="0AFAF6DA">
        <w:t xml:space="preserve">hile Stigand was the Archbishop of Canterbury, he </w:t>
      </w:r>
      <w:r w:rsidR="442254AF">
        <w:t xml:space="preserve">may have </w:t>
      </w:r>
      <w:r w:rsidR="0AFAF6DA">
        <w:t>served as such outside the auspices of the Roman Catholic church, from which he had</w:t>
      </w:r>
      <w:r w:rsidR="0FE2BE20">
        <w:t>, according to contemporary Norman histories,</w:t>
      </w:r>
      <w:r w:rsidR="0AFAF6DA">
        <w:t xml:space="preserve"> been excommunicated</w:t>
      </w:r>
      <w:r w:rsidR="6A89952E">
        <w:t xml:space="preserve"> due to holding the bishoprics of Winchester and Canterbury.</w:t>
      </w:r>
      <w:r w:rsidR="59AB3AB9">
        <w:t xml:space="preserve"> While the historical legitimacy of the claim against Stigand is contentious, that he was considered at the time to be a symbol of the excesses and corruption of the English church is undeniable.</w:t>
      </w:r>
      <w:r w:rsidR="7C1A3B90">
        <w:t xml:space="preserve"> His presence at the coronation of Harold was used by historian William of Poitiers </w:t>
      </w:r>
      <w:r w:rsidR="7372955F">
        <w:t>to declare the process ‘non sancta consecratione</w:t>
      </w:r>
      <w:r w:rsidR="0E903EAA">
        <w:t xml:space="preserve">’ — literally meaning ‘without holy consecration’, </w:t>
      </w:r>
      <w:r w:rsidR="74C1EE99">
        <w:t xml:space="preserve">but more greatly meaning that </w:t>
      </w:r>
      <w:r w:rsidR="7550014D">
        <w:t>it was illegitimate without the approval of the Roman church.</w:t>
      </w:r>
      <w:r w:rsidR="7C4263F7" w:rsidRPr="48FCA840">
        <w:rPr>
          <w:rStyle w:val="FootnoteReference"/>
        </w:rPr>
        <w:footnoteReference w:id="1"/>
      </w:r>
      <w:r w:rsidR="531FD012">
        <w:t xml:space="preserve"> As such, the presence of the Normans was one that, the tapestry thus implies, was counter to the corrupt institutions of the English church and nobility. </w:t>
      </w:r>
    </w:p>
    <w:p w14:paraId="3BEF6518" w14:textId="35335EE5" w:rsidR="1E72C03D" w:rsidRDefault="1E72C03D" w:rsidP="1E72C03D"/>
    <w:p w14:paraId="7B6B5F50" w14:textId="18C4907E" w:rsidR="344FB947" w:rsidRDefault="33E7A66A" w:rsidP="1E72C03D">
      <w:r>
        <w:t xml:space="preserve">The subsequent scene shows </w:t>
      </w:r>
      <w:r w:rsidR="3E558725">
        <w:t xml:space="preserve">six men </w:t>
      </w:r>
      <w:r w:rsidR="26214D81">
        <w:t xml:space="preserve">who </w:t>
      </w:r>
      <w:r w:rsidR="3E558725">
        <w:t>stand</w:t>
      </w:r>
      <w:r w:rsidR="5D0CE0DF">
        <w:t xml:space="preserve"> inside a building, all staring at a star flying over their location. This image is accompanied with the caption ‘</w:t>
      </w:r>
      <w:r w:rsidR="636FF849">
        <w:t>ISTI MIRANT STELLA’, which can be translated to</w:t>
      </w:r>
      <w:r w:rsidR="27AA9F98">
        <w:t xml:space="preserve"> ‘these men marvel at the star</w:t>
      </w:r>
      <w:r w:rsidR="51AE8A7F">
        <w:t>’. The star seen flying past has been identified by modern scholars as Halley’s Comet, which passed over England in the spring of 1066, the same period where English and Norman forces were fighting a war of conquest</w:t>
      </w:r>
      <w:r w:rsidR="6D27AC17">
        <w:t xml:space="preserve"> from</w:t>
      </w:r>
      <w:r w:rsidR="51AE8A7F">
        <w:t xml:space="preserve"> which the Norman forces would ultimately </w:t>
      </w:r>
      <w:r w:rsidR="66159744">
        <w:t xml:space="preserve">leave as the </w:t>
      </w:r>
      <w:r w:rsidR="66159744">
        <w:lastRenderedPageBreak/>
        <w:t>victors.</w:t>
      </w:r>
      <w:r w:rsidR="1AADBD9A">
        <w:t xml:space="preserve"> When the comet passed</w:t>
      </w:r>
      <w:r w:rsidR="0DE97189">
        <w:t>, what it was taken to mean at the time and what it was taken to mean by the embroiderers of the Bayeux Tapestry</w:t>
      </w:r>
      <w:r w:rsidR="36253D6F">
        <w:t xml:space="preserve"> require closer analysis. The most important note to take is that Halley's Comet did not appear over Britain concurrently with the coronation of Harold Godwinson</w:t>
      </w:r>
      <w:r w:rsidR="50984931">
        <w:t xml:space="preserve"> — rather, Halley's Comet appeared in the spring of 1066, while Harold was crowned King of England in January.</w:t>
      </w:r>
      <w:r w:rsidR="0B24712F">
        <w:t xml:space="preserve"> Manuscript C of the Anglo-Saxon Chronicle describes its pas</w:t>
      </w:r>
      <w:r w:rsidR="4445548D">
        <w:t>sing:</w:t>
      </w:r>
    </w:p>
    <w:p w14:paraId="3A532299" w14:textId="77777777" w:rsidR="003E3579" w:rsidRDefault="003E3579" w:rsidP="48FCA840">
      <w:pPr>
        <w:ind w:left="720"/>
      </w:pPr>
    </w:p>
    <w:p w14:paraId="5FF68C4B" w14:textId="3180EEBA" w:rsidR="1E72C03D" w:rsidRDefault="5BD537A0" w:rsidP="48FCA840">
      <w:pPr>
        <w:ind w:left="720"/>
      </w:pPr>
      <w:r>
        <w:t xml:space="preserve">Easter was then on the sixteenth day before the calends of May. Then was over all England such a token seen as no man ever saw before. Some men said that it was the comet-star, which others denominate the long-hair'd star. It appeared first on the eve called "Litania major", that is, on the eighth before the calends off May; and </w:t>
      </w:r>
      <w:proofErr w:type="gramStart"/>
      <w:r>
        <w:t>so</w:t>
      </w:r>
      <w:proofErr w:type="gramEnd"/>
      <w:r>
        <w:t xml:space="preserve"> shone all the week.</w:t>
      </w:r>
      <w:r w:rsidR="1E72C03D" w:rsidRPr="48FCA840">
        <w:rPr>
          <w:rStyle w:val="FootnoteReference"/>
        </w:rPr>
        <w:footnoteReference w:id="2"/>
      </w:r>
    </w:p>
    <w:p w14:paraId="237A9A5F" w14:textId="77777777" w:rsidR="003E3579" w:rsidRDefault="003E3579" w:rsidP="48FCA840"/>
    <w:p w14:paraId="407C9CB8" w14:textId="1E9A60A7" w:rsidR="1E72C03D" w:rsidRDefault="69EC121C" w:rsidP="48FCA840">
      <w:r>
        <w:t xml:space="preserve">From this point, despite the great prominence put upon Halley's Comet by most sources, </w:t>
      </w:r>
      <w:r w:rsidR="2D01FBAF">
        <w:t>the Anglo-Saxon Chronicle</w:t>
      </w:r>
      <w:r>
        <w:t xml:space="preserve"> does not continue to </w:t>
      </w:r>
      <w:r w:rsidR="52C6DE1C">
        <w:t xml:space="preserve">discuss the comet, instead moving to discussions of Tostig Godwinson summoning a fleet to assault the </w:t>
      </w:r>
      <w:r w:rsidR="5D74655A">
        <w:t>coast of England.</w:t>
      </w:r>
      <w:r w:rsidR="1E72C03D" w:rsidRPr="48FCA840">
        <w:rPr>
          <w:rStyle w:val="FootnoteReference"/>
        </w:rPr>
        <w:footnoteReference w:id="3"/>
      </w:r>
      <w:r w:rsidR="0D8DB7FF">
        <w:t xml:space="preserve"> It, therefore, offers no interpretation of its theological significance, instead only providing </w:t>
      </w:r>
      <w:r w:rsidR="2E344E92">
        <w:t>a brief description of how it appeared and that some men cared to describe it.</w:t>
      </w:r>
      <w:r w:rsidR="61EDBE62">
        <w:t xml:space="preserve"> As summarized by Michael Lewis and Simon Portegies Zwart, neither</w:t>
      </w:r>
      <w:r w:rsidR="3C175195">
        <w:t xml:space="preserve"> the </w:t>
      </w:r>
      <w:r w:rsidR="3C175195" w:rsidRPr="48FCA840">
        <w:rPr>
          <w:i/>
          <w:iCs/>
        </w:rPr>
        <w:t xml:space="preserve">Vita Ædwardi Regis </w:t>
      </w:r>
      <w:r w:rsidR="3C175195" w:rsidRPr="48FCA840">
        <w:t>(written c. 1067) nor Eadmer of Canterbury</w:t>
      </w:r>
      <w:r w:rsidR="47A29835" w:rsidRPr="48FCA840">
        <w:t xml:space="preserve">’s </w:t>
      </w:r>
      <w:r w:rsidR="47A29835" w:rsidRPr="48FCA840">
        <w:rPr>
          <w:i/>
          <w:iCs/>
        </w:rPr>
        <w:t>Historia Novorum in Anglia</w:t>
      </w:r>
      <w:r w:rsidR="47A29835" w:rsidRPr="48FCA840">
        <w:t xml:space="preserve"> (believed to have been written between 1093 and 1119) mention the presence of Halley’s Comet.</w:t>
      </w:r>
      <w:r w:rsidR="1E72C03D" w:rsidRPr="48FCA840">
        <w:rPr>
          <w:rStyle w:val="FootnoteReference"/>
        </w:rPr>
        <w:footnoteReference w:id="4"/>
      </w:r>
    </w:p>
    <w:p w14:paraId="49D70695" w14:textId="0D47B313" w:rsidR="1E72C03D" w:rsidRDefault="1E72C03D" w:rsidP="1E72C03D"/>
    <w:p w14:paraId="1DDDFC88" w14:textId="0E7C43B6" w:rsidR="1E72C03D" w:rsidRDefault="413D8122" w:rsidP="1E72C03D">
      <w:r>
        <w:t>The exact meaning ascribed to Halley's Comet contemporaneously and when this meaning was given to it is not the only complex issue regarding reading and analyzing this section of the Bayeux Tapestry.</w:t>
      </w:r>
      <w:r w:rsidR="090EB8CC">
        <w:t xml:space="preserve"> The modern interpretation of the Normans as a widely feared occupying force applying the oppressive 'Norman yoke' has led to motivated interpretations of the selected panel</w:t>
      </w:r>
      <w:r w:rsidR="66CCF1ED">
        <w:t xml:space="preserve">s of the tapestry. In contemporary writing, </w:t>
      </w:r>
      <w:r w:rsidR="619590FC">
        <w:t>a Financial Times article celebrating the return of the Bayeux Tapestry wrote, describing this section, that:</w:t>
      </w:r>
    </w:p>
    <w:p w14:paraId="090D3247" w14:textId="3DFEB8BC" w:rsidR="1E72C03D" w:rsidRDefault="1E72C03D" w:rsidP="1E72C03D"/>
    <w:p w14:paraId="2288A03F" w14:textId="6350F3F1" w:rsidR="1E72C03D" w:rsidRDefault="7EB8C19C" w:rsidP="48FCA840">
      <w:pPr>
        <w:ind w:left="720"/>
      </w:pPr>
      <w:r>
        <w:lastRenderedPageBreak/>
        <w:t>In the Bayeux Tapestry, noblemen applaud, then suddenly turn away, horrified, cowering, pointing: a golden comet’s blazing head and streaming tail cross the sky, portent of great change. Harold, enthroned, is seized by dread of the celestial symbol — Halley’s comet really did appear in 1066 — and of ghostly boats, sewn in black outline, moving without sails: his fearful phantom imaginings of France.</w:t>
      </w:r>
      <w:r w:rsidR="1E72C03D" w:rsidRPr="48FCA840">
        <w:rPr>
          <w:rStyle w:val="FootnoteReference"/>
        </w:rPr>
        <w:footnoteReference w:id="5"/>
      </w:r>
    </w:p>
    <w:p w14:paraId="4E739003" w14:textId="77777777" w:rsidR="003E3579" w:rsidRDefault="003E3579" w:rsidP="48FCA840"/>
    <w:p w14:paraId="29B290F3" w14:textId="226316EF" w:rsidR="1E72C03D" w:rsidRDefault="010B3DB9" w:rsidP="48FCA840">
      <w:r>
        <w:t>To ascribe such intent to this panel requires an interpretation of the events depicted wh</w:t>
      </w:r>
      <w:r w:rsidR="689AD92E">
        <w:t xml:space="preserve">ich belies </w:t>
      </w:r>
      <w:r w:rsidR="1685F1D8">
        <w:t>a bias toward the dramatic. While the events depicted on the panels described are simple —</w:t>
      </w:r>
      <w:r w:rsidR="187E8A5F">
        <w:t xml:space="preserve"> first, six men gather under a roof to gaze at Halley's Comet passing over them, then Harold takes counsel from an unidentified male figure while seated in his throne </w:t>
      </w:r>
      <w:r w:rsidR="187E8A5F" w:rsidRPr="48FCA840">
        <w:rPr>
          <w:rFonts w:ascii="Aptos" w:eastAsia="Aptos" w:hAnsi="Aptos" w:cs="Aptos"/>
        </w:rPr>
        <w:t xml:space="preserve">— </w:t>
      </w:r>
      <w:r w:rsidR="18245E99" w:rsidRPr="48FCA840">
        <w:rPr>
          <w:rFonts w:ascii="Aptos" w:eastAsia="Aptos" w:hAnsi="Aptos" w:cs="Aptos"/>
        </w:rPr>
        <w:t>there is no clear emotional reaction from any of the people depicted. Harold's expression belies little, as he looks much the same as he does in</w:t>
      </w:r>
      <w:r w:rsidR="7B668859" w:rsidRPr="48FCA840">
        <w:rPr>
          <w:rFonts w:ascii="Aptos" w:eastAsia="Aptos" w:hAnsi="Aptos" w:cs="Aptos"/>
        </w:rPr>
        <w:t xml:space="preserve"> panel 30, his coronation</w:t>
      </w:r>
      <w:r w:rsidR="21C97A69" w:rsidRPr="48FCA840">
        <w:rPr>
          <w:rFonts w:ascii="Aptos" w:eastAsia="Aptos" w:hAnsi="Aptos" w:cs="Aptos"/>
        </w:rPr>
        <w:t xml:space="preserve">. The </w:t>
      </w:r>
      <w:r w:rsidR="21C97A69" w:rsidRPr="48FCA840">
        <w:rPr>
          <w:rFonts w:ascii="Aptos" w:eastAsia="Aptos" w:hAnsi="Aptos" w:cs="Aptos"/>
          <w:i/>
          <w:iCs/>
        </w:rPr>
        <w:t xml:space="preserve">tituli </w:t>
      </w:r>
      <w:r w:rsidR="21C97A69" w:rsidRPr="48FCA840">
        <w:rPr>
          <w:rFonts w:ascii="Aptos" w:eastAsia="Aptos" w:hAnsi="Aptos" w:cs="Aptos"/>
        </w:rPr>
        <w:t xml:space="preserve">of the tapestry give similarly minimal concrete information on the emotions of the spectators of the comet, but the </w:t>
      </w:r>
      <w:r w:rsidR="7130AD2E" w:rsidRPr="48FCA840">
        <w:rPr>
          <w:rFonts w:ascii="Aptos" w:eastAsia="Aptos" w:hAnsi="Aptos" w:cs="Aptos"/>
        </w:rPr>
        <w:t xml:space="preserve">phrasing from prior, </w:t>
      </w:r>
      <w:r w:rsidR="7130AD2E">
        <w:t xml:space="preserve">‘ISTI MIRANT STELLA’, describes the men as marvelling, </w:t>
      </w:r>
      <w:r w:rsidR="7130AD2E" w:rsidRPr="48FCA840">
        <w:rPr>
          <w:i/>
          <w:iCs/>
        </w:rPr>
        <w:t>mirant</w:t>
      </w:r>
      <w:r w:rsidR="7130AD2E" w:rsidRPr="48FCA840">
        <w:t>, at the star, not fearing, which would be more apt</w:t>
      </w:r>
      <w:r w:rsidR="1F48FE00" w:rsidRPr="48FCA840">
        <w:t xml:space="preserve">ly described by the use of </w:t>
      </w:r>
      <w:r w:rsidR="1F48FE00" w:rsidRPr="48FCA840">
        <w:rPr>
          <w:i/>
          <w:iCs/>
        </w:rPr>
        <w:t>timent</w:t>
      </w:r>
      <w:r w:rsidR="1F48FE00" w:rsidRPr="48FCA840">
        <w:t>.</w:t>
      </w:r>
      <w:r w:rsidR="617DA32A" w:rsidRPr="48FCA840">
        <w:t xml:space="preserve"> As such, any interpretation that relies on certainty there was fear at the presence of Halley's Comet is problematic and requires a subjective view on the picture shown.</w:t>
      </w:r>
    </w:p>
    <w:p w14:paraId="28BB160B" w14:textId="51EBD6B8" w:rsidR="1E72C03D" w:rsidRDefault="1E72C03D" w:rsidP="1E72C03D"/>
    <w:p w14:paraId="523A96D2" w14:textId="15920A92" w:rsidR="1E72C03D" w:rsidRDefault="617DA32A" w:rsidP="48FCA840">
      <w:r>
        <w:t xml:space="preserve">It is, therefore, difficult to ascribe a certain meaning to the presence of Halley's Comet. While it being portrayed </w:t>
      </w:r>
      <w:r w:rsidR="146E1B9F">
        <w:t xml:space="preserve">at an ahistorical time </w:t>
      </w:r>
      <w:r>
        <w:t>is certai</w:t>
      </w:r>
      <w:r w:rsidR="2F2FF0A0">
        <w:t>nly relevant as a potential miraculous sign of the Normans subsequent arrival, especially when paired with the previous panels accentuating the corruption of the English church</w:t>
      </w:r>
      <w:r w:rsidR="57362713">
        <w:t>, it is conjecture to say with authority how either the British or Norman forces felt about its presence, and to be certain it is fear or any other emotion is not certain. However, it is easier to interpret the presence of Stigand at the coronation of Harold Godwins</w:t>
      </w:r>
      <w:r w:rsidR="7EB468A5">
        <w:t xml:space="preserve">on. His presence is the opposite of legitimacy, as he was seen and portrayed at the time as anathema to the Roman Catholic Church. To emphasise with his name in the </w:t>
      </w:r>
      <w:r w:rsidR="7EB468A5" w:rsidRPr="48FCA840">
        <w:rPr>
          <w:i/>
          <w:iCs/>
        </w:rPr>
        <w:t>tituli</w:t>
      </w:r>
      <w:r w:rsidR="7EB468A5" w:rsidRPr="48FCA840">
        <w:t xml:space="preserve"> that he was present at the ceremony ma</w:t>
      </w:r>
      <w:r w:rsidR="619BD310" w:rsidRPr="48FCA840">
        <w:t>de</w:t>
      </w:r>
      <w:r w:rsidR="7EB468A5" w:rsidRPr="48FCA840">
        <w:t xml:space="preserve"> certain</w:t>
      </w:r>
      <w:r w:rsidR="187D96EF" w:rsidRPr="48FCA840">
        <w:t xml:space="preserve"> that</w:t>
      </w:r>
      <w:r w:rsidR="7EB468A5" w:rsidRPr="48FCA840">
        <w:t xml:space="preserve"> any literate individual who was to study t</w:t>
      </w:r>
      <w:r w:rsidR="63BD4BA2" w:rsidRPr="48FCA840">
        <w:t xml:space="preserve">he Bayeux Tapestry at the time </w:t>
      </w:r>
      <w:r w:rsidR="64C05D12" w:rsidRPr="48FCA840">
        <w:t>would have understood this was an illegitimate coronation, and thus further legitimizing the Norman invasion.</w:t>
      </w:r>
    </w:p>
    <w:p w14:paraId="604AA822" w14:textId="40A3BAE2" w:rsidR="1E72C03D" w:rsidRDefault="1E72C03D" w:rsidP="1E72C03D"/>
    <w:p w14:paraId="42816653" w14:textId="77777777" w:rsidR="003E3579" w:rsidRDefault="003E3579" w:rsidP="1E72C03D"/>
    <w:p w14:paraId="7225A937" w14:textId="42689DFA" w:rsidR="3428A2BE" w:rsidRDefault="1880DD7F" w:rsidP="1E72C03D">
      <w:r>
        <w:lastRenderedPageBreak/>
        <w:t>Bibliography</w:t>
      </w:r>
      <w:r w:rsidR="3428A2BE">
        <w:br/>
      </w:r>
      <w:r w:rsidR="3428A2BE">
        <w:br/>
      </w:r>
      <w:r w:rsidR="37E20EDB">
        <w:t>Primary sources</w:t>
      </w:r>
      <w:r w:rsidR="3428A2BE">
        <w:br/>
      </w:r>
      <w:r w:rsidR="3428A2BE">
        <w:br/>
      </w:r>
      <w:r w:rsidR="04FDCFEC" w:rsidRPr="48FCA840">
        <w:rPr>
          <w:i/>
          <w:iCs/>
        </w:rPr>
        <w:t>The Bayeux Tapestry</w:t>
      </w:r>
      <w:r w:rsidR="04FDCFEC" w:rsidRPr="48FCA840">
        <w:t>, digital image/archive, Wikipedia &lt;</w:t>
      </w:r>
      <w:r w:rsidR="04FDCFEC" w:rsidRPr="48FCA840">
        <w:rPr>
          <w:rFonts w:ascii="Aptos" w:eastAsia="Aptos" w:hAnsi="Aptos" w:cs="Aptos"/>
        </w:rPr>
        <w:t>https://en.wikipedia.org/wiki/Bayeux_Tapestry_tituli&gt; [accessed 25 October 2026]</w:t>
      </w:r>
    </w:p>
    <w:p w14:paraId="0928D4CD" w14:textId="5553B245" w:rsidR="3428A2BE" w:rsidRDefault="3428A2BE" w:rsidP="1E72C03D">
      <w:r>
        <w:br/>
      </w:r>
      <w:r w:rsidR="7688D28A">
        <w:t xml:space="preserve">Unknown author, </w:t>
      </w:r>
      <w:r w:rsidR="7688D28A" w:rsidRPr="48FCA840">
        <w:rPr>
          <w:i/>
          <w:iCs/>
        </w:rPr>
        <w:t>Anglo-Saxon Chronicle</w:t>
      </w:r>
      <w:r w:rsidR="7688D28A">
        <w:t xml:space="preserve">, 11th century, unknown translator, unknown year of authorship. &lt;https://avalon.law.yale.edu/medieval/ang11.asp&gt; [accessed 25 October 2026.]  </w:t>
      </w:r>
    </w:p>
    <w:p w14:paraId="6990226F" w14:textId="7D65F543" w:rsidR="48FCA840" w:rsidRDefault="48FCA840" w:rsidP="48FCA840"/>
    <w:p w14:paraId="5FB2A4DD" w14:textId="005106C8" w:rsidR="234C0956" w:rsidRDefault="234C0956" w:rsidP="48FCA840">
      <w:r w:rsidRPr="48FCA840">
        <w:t xml:space="preserve">William of Poitiers, </w:t>
      </w:r>
      <w:r w:rsidRPr="48FCA840">
        <w:rPr>
          <w:i/>
          <w:iCs/>
        </w:rPr>
        <w:t>Gesta Guillelm</w:t>
      </w:r>
      <w:r w:rsidRPr="48FCA840">
        <w:t xml:space="preserve">i, ed. by R.H.C. Davis and Marjorie Chibnall. (Oxford: Oxford University Press, 1998). &lt;https://www.scribd.com/document/616152197/The-Gesta-Guillelmi-of-William-of-Poitiers&gt; [accessed 25 October 2026].  </w:t>
      </w:r>
    </w:p>
    <w:p w14:paraId="43436C26" w14:textId="1CB54B70" w:rsidR="48FCA840" w:rsidRDefault="48FCA840" w:rsidP="48FCA840"/>
    <w:p w14:paraId="40F9800F" w14:textId="793F4435" w:rsidR="48FCA840" w:rsidRDefault="234C0956" w:rsidP="48FCA840">
      <w:r w:rsidRPr="48FCA840">
        <w:t>Secondary sources</w:t>
      </w:r>
    </w:p>
    <w:p w14:paraId="306BF652" w14:textId="77777777" w:rsidR="003E3579" w:rsidRDefault="003E3579" w:rsidP="48FCA840"/>
    <w:p w14:paraId="14777B2E" w14:textId="360138F5" w:rsidR="2C95D0F1" w:rsidRDefault="2C95D0F1" w:rsidP="48FCA840">
      <w:r w:rsidRPr="48FCA840">
        <w:t>Lewis, Michael and Zwart, Simon Portegies, 'The significance of Halley's Comet in the Bayeux Tapestry'</w:t>
      </w:r>
      <w:r w:rsidR="0DFD8739" w:rsidRPr="48FCA840">
        <w:rPr>
          <w:i/>
          <w:iCs/>
        </w:rPr>
        <w:t xml:space="preserve">, </w:t>
      </w:r>
      <w:r w:rsidR="121A0B73" w:rsidRPr="48FCA840">
        <w:t>i</w:t>
      </w:r>
      <w:r w:rsidR="0DFD8739" w:rsidRPr="48FCA840">
        <w:t>n</w:t>
      </w:r>
      <w:r w:rsidR="0DFD8739" w:rsidRPr="48FCA840">
        <w:rPr>
          <w:i/>
          <w:iCs/>
        </w:rPr>
        <w:t xml:space="preserve"> Dorestad and Everything After. Ports, townscapes &amp; travellers in Europe, 800-1100, </w:t>
      </w:r>
      <w:r w:rsidR="0DFD8739" w:rsidRPr="48FCA840">
        <w:t>ed. by Annemarieke Willemsen and Hanneke Kik</w:t>
      </w:r>
      <w:r w:rsidR="66D89576" w:rsidRPr="48FCA840">
        <w:t xml:space="preserve"> (Leiden: Sidestone Press), pp. 123-138. &lt;</w:t>
      </w:r>
      <w:r w:rsidR="6FD9C9E4" w:rsidRPr="48FCA840">
        <w:t>https://arxiv.org/abs/2511.1480</w:t>
      </w:r>
      <w:r w:rsidR="1D467BCC" w:rsidRPr="48FCA840">
        <w:t>9</w:t>
      </w:r>
      <w:r w:rsidR="66D89576" w:rsidRPr="48FCA840">
        <w:t>&gt; [accessed 25 October 2026].</w:t>
      </w:r>
    </w:p>
    <w:p w14:paraId="17F79217" w14:textId="6ADBE394" w:rsidR="48FCA840" w:rsidRDefault="48FCA840" w:rsidP="48FCA840"/>
    <w:p w14:paraId="31CF5F28" w14:textId="1B5BF24D" w:rsidR="1CB3BBCE" w:rsidRDefault="1CB3BBCE" w:rsidP="48FCA840">
      <w:r w:rsidRPr="48FCA840">
        <w:t xml:space="preserve">Wullschläger, Jackie, ‘The Bayeux Tapestry is a thrilling depiction of war and political transformation’, </w:t>
      </w:r>
      <w:r w:rsidRPr="48FCA840">
        <w:rPr>
          <w:i/>
          <w:iCs/>
        </w:rPr>
        <w:t>Financial Times</w:t>
      </w:r>
      <w:r w:rsidRPr="48FCA840">
        <w:t xml:space="preserve">, 2 January 2026. &lt;https://www.ft.com/content/c6573e75-5c0c-4050-853d-ddf9e5d85c47?syn-25a6b1a6=1&gt; [accessed 25 October 2026].  </w:t>
      </w:r>
    </w:p>
    <w:sectPr w:rsidR="1CB3BBC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B937C" w14:textId="77777777" w:rsidR="007F387C" w:rsidRDefault="007F387C">
      <w:pPr>
        <w:spacing w:after="0" w:line="240" w:lineRule="auto"/>
      </w:pPr>
      <w:r>
        <w:separator/>
      </w:r>
    </w:p>
  </w:endnote>
  <w:endnote w:type="continuationSeparator" w:id="0">
    <w:p w14:paraId="6664AB18" w14:textId="77777777" w:rsidR="007F387C" w:rsidRDefault="007F3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89023" w14:textId="77777777" w:rsidR="007F387C" w:rsidRDefault="007F387C">
      <w:pPr>
        <w:spacing w:after="0" w:line="240" w:lineRule="auto"/>
      </w:pPr>
      <w:r>
        <w:separator/>
      </w:r>
    </w:p>
  </w:footnote>
  <w:footnote w:type="continuationSeparator" w:id="0">
    <w:p w14:paraId="00EC61B9" w14:textId="77777777" w:rsidR="007F387C" w:rsidRDefault="007F387C">
      <w:pPr>
        <w:spacing w:after="0" w:line="240" w:lineRule="auto"/>
      </w:pPr>
      <w:r>
        <w:continuationSeparator/>
      </w:r>
    </w:p>
  </w:footnote>
  <w:footnote w:id="1">
    <w:p w14:paraId="0BE1EF4F" w14:textId="7CF91E1C" w:rsidR="48FCA840" w:rsidRDefault="48FCA840" w:rsidP="48FCA840">
      <w:pPr>
        <w:pStyle w:val="FootnoteText"/>
      </w:pPr>
      <w:r w:rsidRPr="48FCA840">
        <w:rPr>
          <w:rStyle w:val="FootnoteReference"/>
        </w:rPr>
        <w:footnoteRef/>
      </w:r>
      <w:r>
        <w:t xml:space="preserve"> William of Poitiers, </w:t>
      </w:r>
      <w:proofErr w:type="spellStart"/>
      <w:r w:rsidRPr="48FCA840">
        <w:rPr>
          <w:i/>
          <w:iCs/>
        </w:rPr>
        <w:t>Gesta</w:t>
      </w:r>
      <w:proofErr w:type="spellEnd"/>
      <w:r w:rsidRPr="48FCA840">
        <w:rPr>
          <w:i/>
          <w:iCs/>
        </w:rPr>
        <w:t xml:space="preserve"> </w:t>
      </w:r>
      <w:proofErr w:type="spellStart"/>
      <w:r w:rsidRPr="48FCA840">
        <w:rPr>
          <w:i/>
          <w:iCs/>
        </w:rPr>
        <w:t>Guillelmi</w:t>
      </w:r>
      <w:proofErr w:type="spellEnd"/>
      <w:r>
        <w:t xml:space="preserve">, ed. by R.H.C. Davis and Marjorie Chibnall. (Oxford: Oxford University Press, 1998). &lt;https://www.scribd.com/document/616152197/The-Gesta-Guillelmi-of-William-of-Poitiers&gt; [accessed 25 October 2026].  </w:t>
      </w:r>
    </w:p>
  </w:footnote>
  <w:footnote w:id="2">
    <w:p w14:paraId="3B630350" w14:textId="2D9FD5BE" w:rsidR="48FCA840" w:rsidRDefault="48FCA840" w:rsidP="48FCA840">
      <w:pPr>
        <w:pStyle w:val="FootnoteText"/>
      </w:pPr>
      <w:r w:rsidRPr="48FCA840">
        <w:rPr>
          <w:rStyle w:val="FootnoteReference"/>
        </w:rPr>
        <w:footnoteRef/>
      </w:r>
      <w:r>
        <w:t xml:space="preserve"> Unknown author, </w:t>
      </w:r>
      <w:r w:rsidRPr="48FCA840">
        <w:rPr>
          <w:i/>
          <w:iCs/>
        </w:rPr>
        <w:t>Anglo-Saxon Chronicle</w:t>
      </w:r>
      <w:r w:rsidRPr="48FCA840">
        <w:t>, 11</w:t>
      </w:r>
      <w:r w:rsidRPr="48FCA840">
        <w:rPr>
          <w:vertAlign w:val="superscript"/>
        </w:rPr>
        <w:t>th</w:t>
      </w:r>
      <w:r w:rsidRPr="48FCA840">
        <w:t xml:space="preserve"> century, unknown translator, unknown year of authorship. &lt;https://avalon.law.yale.edu/medieval/ang11.asp&gt; [accessed 25 October 2026.]</w:t>
      </w:r>
    </w:p>
  </w:footnote>
  <w:footnote w:id="3">
    <w:p w14:paraId="2AC400E2" w14:textId="4708228F" w:rsidR="48FCA840" w:rsidRDefault="48FCA840" w:rsidP="48FCA840">
      <w:pPr>
        <w:pStyle w:val="FootnoteText"/>
      </w:pPr>
      <w:r w:rsidRPr="48FCA840">
        <w:rPr>
          <w:rStyle w:val="FootnoteReference"/>
        </w:rPr>
        <w:footnoteRef/>
      </w:r>
      <w:r>
        <w:t xml:space="preserve"> ibid.</w:t>
      </w:r>
    </w:p>
  </w:footnote>
  <w:footnote w:id="4">
    <w:p w14:paraId="314D01F2" w14:textId="3C16CDE7" w:rsidR="48FCA840" w:rsidRDefault="48FCA840" w:rsidP="48FCA840">
      <w:pPr>
        <w:pStyle w:val="FootnoteText"/>
      </w:pPr>
      <w:r w:rsidRPr="48FCA840">
        <w:rPr>
          <w:rStyle w:val="FootnoteReference"/>
        </w:rPr>
        <w:footnoteRef/>
      </w:r>
      <w:r>
        <w:t xml:space="preserve"> Michael Lewis and Simon </w:t>
      </w:r>
      <w:proofErr w:type="spellStart"/>
      <w:r>
        <w:t>Portegies</w:t>
      </w:r>
      <w:proofErr w:type="spellEnd"/>
      <w:r>
        <w:t xml:space="preserve"> Zwart, 'The significance of Halley's Comet in the Bayeux Tapestry', in </w:t>
      </w:r>
      <w:proofErr w:type="spellStart"/>
      <w:r w:rsidRPr="48FCA840">
        <w:rPr>
          <w:i/>
          <w:iCs/>
        </w:rPr>
        <w:t>Dorestad</w:t>
      </w:r>
      <w:proofErr w:type="spellEnd"/>
      <w:r w:rsidRPr="48FCA840">
        <w:rPr>
          <w:i/>
          <w:iCs/>
        </w:rPr>
        <w:t xml:space="preserve"> and Everything After. Ports, townscapes &amp; travellers in Europe</w:t>
      </w:r>
      <w:r>
        <w:t xml:space="preserve">, 800-1100, ed. by Annemarieke Willemsen and Hanneke Kik (Leiden: </w:t>
      </w:r>
      <w:proofErr w:type="spellStart"/>
      <w:r>
        <w:t>Sidestone</w:t>
      </w:r>
      <w:proofErr w:type="spellEnd"/>
      <w:r>
        <w:t xml:space="preserve"> Press), pp. 123-138 (pp. 131-133). &lt;https://arxiv.org/abs/2511.14809&gt; [accessed 25 October 2026].    </w:t>
      </w:r>
    </w:p>
  </w:footnote>
  <w:footnote w:id="5">
    <w:p w14:paraId="67E15340" w14:textId="2D8273CC" w:rsidR="48FCA840" w:rsidRDefault="48FCA840" w:rsidP="48FCA840">
      <w:pPr>
        <w:pStyle w:val="FootnoteText"/>
      </w:pPr>
      <w:r w:rsidRPr="48FCA840">
        <w:rPr>
          <w:rStyle w:val="FootnoteReference"/>
        </w:rPr>
        <w:footnoteRef/>
      </w:r>
      <w:r>
        <w:t xml:space="preserve"> Jackie Wullschläger, ‘The Bayeux Tapestry is a thrilling depiction of war and political transformation’, </w:t>
      </w:r>
      <w:r w:rsidRPr="48FCA840">
        <w:rPr>
          <w:i/>
          <w:iCs/>
        </w:rPr>
        <w:t>Financial Times</w:t>
      </w:r>
      <w:r w:rsidRPr="48FCA840">
        <w:t>, 2 January 2026. &lt;https://www.ft.com/content/c6573e75-5c0c-4050-853d-ddf9e5d85c47?syn-25a6b1a6=1&gt; [accessed 25 October 2026].</w:t>
      </w:r>
    </w:p>
  </w:footnote>
</w:footnotes>
</file>

<file path=word/intelligence2.xml><?xml version="1.0" encoding="utf-8"?>
<int2:intelligence xmlns:int2="http://schemas.microsoft.com/office/intelligence/2020/intelligence" xmlns:oel="http://schemas.microsoft.com/office/2019/extlst">
  <int2:observations>
    <int2:textHash int2:hashCode="UeGa5bDQl3Zo0l" int2:id="CjyGJAFV">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9FF909"/>
    <w:rsid w:val="000632E5"/>
    <w:rsid w:val="003E3579"/>
    <w:rsid w:val="007F387C"/>
    <w:rsid w:val="00EF05E4"/>
    <w:rsid w:val="00EF73E2"/>
    <w:rsid w:val="010B3DB9"/>
    <w:rsid w:val="016EA39D"/>
    <w:rsid w:val="017FA26D"/>
    <w:rsid w:val="01F8EFE0"/>
    <w:rsid w:val="021D902D"/>
    <w:rsid w:val="039AA786"/>
    <w:rsid w:val="04D2FB96"/>
    <w:rsid w:val="04E4FD53"/>
    <w:rsid w:val="04FDCFEC"/>
    <w:rsid w:val="07D03B84"/>
    <w:rsid w:val="08D7E474"/>
    <w:rsid w:val="090EB8CC"/>
    <w:rsid w:val="0AFAF6DA"/>
    <w:rsid w:val="0B24712F"/>
    <w:rsid w:val="0B8D69AD"/>
    <w:rsid w:val="0C0AA9F1"/>
    <w:rsid w:val="0D0CE62F"/>
    <w:rsid w:val="0D305D7C"/>
    <w:rsid w:val="0D8DB7FF"/>
    <w:rsid w:val="0DE5B690"/>
    <w:rsid w:val="0DE97189"/>
    <w:rsid w:val="0DFD8739"/>
    <w:rsid w:val="0E903EAA"/>
    <w:rsid w:val="0EE8DE24"/>
    <w:rsid w:val="0EEEFA02"/>
    <w:rsid w:val="0F74FC00"/>
    <w:rsid w:val="0FB54392"/>
    <w:rsid w:val="0FC69385"/>
    <w:rsid w:val="0FE2BE20"/>
    <w:rsid w:val="0FF0C28A"/>
    <w:rsid w:val="105E567B"/>
    <w:rsid w:val="10DDB9B5"/>
    <w:rsid w:val="118ABDF1"/>
    <w:rsid w:val="12172E37"/>
    <w:rsid w:val="121A0B73"/>
    <w:rsid w:val="123274B6"/>
    <w:rsid w:val="12C0A241"/>
    <w:rsid w:val="13224C67"/>
    <w:rsid w:val="146ADD83"/>
    <w:rsid w:val="146E1B9F"/>
    <w:rsid w:val="1553F612"/>
    <w:rsid w:val="15B09EB8"/>
    <w:rsid w:val="16532320"/>
    <w:rsid w:val="168465C9"/>
    <w:rsid w:val="1685F1D8"/>
    <w:rsid w:val="16C8294A"/>
    <w:rsid w:val="176EC275"/>
    <w:rsid w:val="17C6AA48"/>
    <w:rsid w:val="18245E99"/>
    <w:rsid w:val="187343C4"/>
    <w:rsid w:val="187D96EF"/>
    <w:rsid w:val="187E8A5F"/>
    <w:rsid w:val="1880DD7F"/>
    <w:rsid w:val="18CA62F5"/>
    <w:rsid w:val="192A059F"/>
    <w:rsid w:val="1A0EDBC6"/>
    <w:rsid w:val="1A4DE0C4"/>
    <w:rsid w:val="1AADBD9A"/>
    <w:rsid w:val="1AD1BA04"/>
    <w:rsid w:val="1BEABFEA"/>
    <w:rsid w:val="1C370424"/>
    <w:rsid w:val="1C730562"/>
    <w:rsid w:val="1C8B8455"/>
    <w:rsid w:val="1C9932CD"/>
    <w:rsid w:val="1CB3BBCE"/>
    <w:rsid w:val="1D31DE5A"/>
    <w:rsid w:val="1D467BCC"/>
    <w:rsid w:val="1D7D3F32"/>
    <w:rsid w:val="1DC5AEEA"/>
    <w:rsid w:val="1E299E99"/>
    <w:rsid w:val="1E72C03D"/>
    <w:rsid w:val="1ED37441"/>
    <w:rsid w:val="1F43717F"/>
    <w:rsid w:val="1F48FE00"/>
    <w:rsid w:val="1F4EA438"/>
    <w:rsid w:val="20BA68A3"/>
    <w:rsid w:val="2107ACAB"/>
    <w:rsid w:val="21C97A69"/>
    <w:rsid w:val="233EB070"/>
    <w:rsid w:val="234C0956"/>
    <w:rsid w:val="23D1A242"/>
    <w:rsid w:val="243D9DB4"/>
    <w:rsid w:val="2441A832"/>
    <w:rsid w:val="2492FA72"/>
    <w:rsid w:val="24A34B29"/>
    <w:rsid w:val="24D5EF79"/>
    <w:rsid w:val="254B7EED"/>
    <w:rsid w:val="2586629E"/>
    <w:rsid w:val="259A9971"/>
    <w:rsid w:val="25EC202C"/>
    <w:rsid w:val="26214D81"/>
    <w:rsid w:val="271CB844"/>
    <w:rsid w:val="2758DF3E"/>
    <w:rsid w:val="27AA9F98"/>
    <w:rsid w:val="28B81A2A"/>
    <w:rsid w:val="29EA3950"/>
    <w:rsid w:val="29EF3BB6"/>
    <w:rsid w:val="29FD44D9"/>
    <w:rsid w:val="2A4CB0BA"/>
    <w:rsid w:val="2A53A98F"/>
    <w:rsid w:val="2AEF302F"/>
    <w:rsid w:val="2C95D0F1"/>
    <w:rsid w:val="2D01FBAF"/>
    <w:rsid w:val="2D0A214C"/>
    <w:rsid w:val="2DBA61A9"/>
    <w:rsid w:val="2E344E92"/>
    <w:rsid w:val="2E8C2E0A"/>
    <w:rsid w:val="2EDF62A4"/>
    <w:rsid w:val="2F2FF0A0"/>
    <w:rsid w:val="2F384384"/>
    <w:rsid w:val="30768888"/>
    <w:rsid w:val="30CBF760"/>
    <w:rsid w:val="316CF7DB"/>
    <w:rsid w:val="31F2BAA2"/>
    <w:rsid w:val="33E7A66A"/>
    <w:rsid w:val="3428A2BE"/>
    <w:rsid w:val="344FB947"/>
    <w:rsid w:val="350FEBB2"/>
    <w:rsid w:val="357D995D"/>
    <w:rsid w:val="3595CE93"/>
    <w:rsid w:val="35A1E559"/>
    <w:rsid w:val="35A3BDE2"/>
    <w:rsid w:val="35A9FD8E"/>
    <w:rsid w:val="35E47860"/>
    <w:rsid w:val="3623CBC1"/>
    <w:rsid w:val="36253D6F"/>
    <w:rsid w:val="36A0F001"/>
    <w:rsid w:val="36E5BB25"/>
    <w:rsid w:val="37E20EDB"/>
    <w:rsid w:val="38081A98"/>
    <w:rsid w:val="3848F58D"/>
    <w:rsid w:val="389CF8D6"/>
    <w:rsid w:val="397BB7EF"/>
    <w:rsid w:val="39B36713"/>
    <w:rsid w:val="39BA3492"/>
    <w:rsid w:val="39ECB9BE"/>
    <w:rsid w:val="39F000FE"/>
    <w:rsid w:val="3A28B60A"/>
    <w:rsid w:val="3B7D4319"/>
    <w:rsid w:val="3B996153"/>
    <w:rsid w:val="3BD37DED"/>
    <w:rsid w:val="3C09B3A2"/>
    <w:rsid w:val="3C175195"/>
    <w:rsid w:val="3D11EEBF"/>
    <w:rsid w:val="3E0E0E4B"/>
    <w:rsid w:val="3E1ACBEB"/>
    <w:rsid w:val="3E558725"/>
    <w:rsid w:val="3E7BAEBD"/>
    <w:rsid w:val="3EE1A1FB"/>
    <w:rsid w:val="406DCF4A"/>
    <w:rsid w:val="40973339"/>
    <w:rsid w:val="413D8122"/>
    <w:rsid w:val="433B732A"/>
    <w:rsid w:val="43EA2ED6"/>
    <w:rsid w:val="442254AF"/>
    <w:rsid w:val="443588B0"/>
    <w:rsid w:val="4445548D"/>
    <w:rsid w:val="453C0205"/>
    <w:rsid w:val="453EDF5B"/>
    <w:rsid w:val="4642E134"/>
    <w:rsid w:val="4648637E"/>
    <w:rsid w:val="46635EA7"/>
    <w:rsid w:val="467C4A9A"/>
    <w:rsid w:val="47954C1B"/>
    <w:rsid w:val="47A29835"/>
    <w:rsid w:val="47A59633"/>
    <w:rsid w:val="482F2F55"/>
    <w:rsid w:val="487E2507"/>
    <w:rsid w:val="48B1B56C"/>
    <w:rsid w:val="48FCA840"/>
    <w:rsid w:val="49C4362C"/>
    <w:rsid w:val="4AD727DD"/>
    <w:rsid w:val="4AFFFCE1"/>
    <w:rsid w:val="4B06C429"/>
    <w:rsid w:val="4BBADFAD"/>
    <w:rsid w:val="4C4FF7D1"/>
    <w:rsid w:val="4CA4D2C3"/>
    <w:rsid w:val="4D233199"/>
    <w:rsid w:val="4E8085D4"/>
    <w:rsid w:val="4F2DBB85"/>
    <w:rsid w:val="50984931"/>
    <w:rsid w:val="50C781C9"/>
    <w:rsid w:val="51AE8A7F"/>
    <w:rsid w:val="51E6DC0E"/>
    <w:rsid w:val="524C3234"/>
    <w:rsid w:val="52C6DE1C"/>
    <w:rsid w:val="531FD012"/>
    <w:rsid w:val="5346FD99"/>
    <w:rsid w:val="543B35B3"/>
    <w:rsid w:val="54779123"/>
    <w:rsid w:val="54931230"/>
    <w:rsid w:val="54E651BF"/>
    <w:rsid w:val="55A41E4F"/>
    <w:rsid w:val="564AE000"/>
    <w:rsid w:val="567E2A60"/>
    <w:rsid w:val="57362713"/>
    <w:rsid w:val="576F8860"/>
    <w:rsid w:val="57BE79C5"/>
    <w:rsid w:val="57C0E1B2"/>
    <w:rsid w:val="580DE00C"/>
    <w:rsid w:val="585FB35A"/>
    <w:rsid w:val="58DC89BB"/>
    <w:rsid w:val="59241A30"/>
    <w:rsid w:val="59A27E80"/>
    <w:rsid w:val="59AB3AB9"/>
    <w:rsid w:val="59BDD83A"/>
    <w:rsid w:val="5A0C839C"/>
    <w:rsid w:val="5A37F820"/>
    <w:rsid w:val="5A626183"/>
    <w:rsid w:val="5B206640"/>
    <w:rsid w:val="5BABEE6E"/>
    <w:rsid w:val="5BD537A0"/>
    <w:rsid w:val="5C50C462"/>
    <w:rsid w:val="5C9280FA"/>
    <w:rsid w:val="5CF3F6D4"/>
    <w:rsid w:val="5D0CE0DF"/>
    <w:rsid w:val="5D1D10EC"/>
    <w:rsid w:val="5D74655A"/>
    <w:rsid w:val="5D894793"/>
    <w:rsid w:val="5F426F47"/>
    <w:rsid w:val="5F49CCEC"/>
    <w:rsid w:val="5FD4F46F"/>
    <w:rsid w:val="5FFAB4F3"/>
    <w:rsid w:val="60D19E3D"/>
    <w:rsid w:val="61242361"/>
    <w:rsid w:val="615DCBEB"/>
    <w:rsid w:val="617DA32A"/>
    <w:rsid w:val="61810933"/>
    <w:rsid w:val="619590FC"/>
    <w:rsid w:val="619BD310"/>
    <w:rsid w:val="61A3AABF"/>
    <w:rsid w:val="61A5A771"/>
    <w:rsid w:val="61EDBE62"/>
    <w:rsid w:val="6297B8BE"/>
    <w:rsid w:val="62BBC121"/>
    <w:rsid w:val="62C15F21"/>
    <w:rsid w:val="6367C80E"/>
    <w:rsid w:val="636C9FBD"/>
    <w:rsid w:val="636FF849"/>
    <w:rsid w:val="63BD4BA2"/>
    <w:rsid w:val="63D17246"/>
    <w:rsid w:val="648DC6E6"/>
    <w:rsid w:val="64962A12"/>
    <w:rsid w:val="64C05D12"/>
    <w:rsid w:val="64CF52BC"/>
    <w:rsid w:val="64E88DBA"/>
    <w:rsid w:val="652661A6"/>
    <w:rsid w:val="6542A5FC"/>
    <w:rsid w:val="65F166D7"/>
    <w:rsid w:val="66159744"/>
    <w:rsid w:val="663F4848"/>
    <w:rsid w:val="66878205"/>
    <w:rsid w:val="66CCF1ED"/>
    <w:rsid w:val="66D7C291"/>
    <w:rsid w:val="66D89576"/>
    <w:rsid w:val="670F6DBB"/>
    <w:rsid w:val="67BB6564"/>
    <w:rsid w:val="689AD92E"/>
    <w:rsid w:val="68FBB599"/>
    <w:rsid w:val="690EE1E0"/>
    <w:rsid w:val="694D01F3"/>
    <w:rsid w:val="69EC121C"/>
    <w:rsid w:val="6A2EF70E"/>
    <w:rsid w:val="6A89952E"/>
    <w:rsid w:val="6ACC0C80"/>
    <w:rsid w:val="6B3F170F"/>
    <w:rsid w:val="6B62E901"/>
    <w:rsid w:val="6D0BF130"/>
    <w:rsid w:val="6D27AC17"/>
    <w:rsid w:val="6D4F2D67"/>
    <w:rsid w:val="6D8F1F3C"/>
    <w:rsid w:val="6DF41AFC"/>
    <w:rsid w:val="6E94225A"/>
    <w:rsid w:val="6E9F0413"/>
    <w:rsid w:val="6EB865D8"/>
    <w:rsid w:val="6F40F11F"/>
    <w:rsid w:val="6FA33528"/>
    <w:rsid w:val="6FC38054"/>
    <w:rsid w:val="6FD1B70E"/>
    <w:rsid w:val="6FD9C9E4"/>
    <w:rsid w:val="706085D9"/>
    <w:rsid w:val="70C50856"/>
    <w:rsid w:val="70E6D680"/>
    <w:rsid w:val="7130AD2E"/>
    <w:rsid w:val="718DE8EC"/>
    <w:rsid w:val="719D035B"/>
    <w:rsid w:val="7296980C"/>
    <w:rsid w:val="7372955F"/>
    <w:rsid w:val="7375913F"/>
    <w:rsid w:val="739FF909"/>
    <w:rsid w:val="73F36CEC"/>
    <w:rsid w:val="74C1EE99"/>
    <w:rsid w:val="74FF1634"/>
    <w:rsid w:val="7550014D"/>
    <w:rsid w:val="7688D28A"/>
    <w:rsid w:val="770CF09E"/>
    <w:rsid w:val="77293ACE"/>
    <w:rsid w:val="7781B540"/>
    <w:rsid w:val="779AD15E"/>
    <w:rsid w:val="77AF392F"/>
    <w:rsid w:val="77DF5D2E"/>
    <w:rsid w:val="78D8E140"/>
    <w:rsid w:val="78F9734F"/>
    <w:rsid w:val="7959B9E1"/>
    <w:rsid w:val="797B0225"/>
    <w:rsid w:val="79FFC6F5"/>
    <w:rsid w:val="7A9290E7"/>
    <w:rsid w:val="7AF25B3F"/>
    <w:rsid w:val="7B12C9B7"/>
    <w:rsid w:val="7B161FEA"/>
    <w:rsid w:val="7B416A7C"/>
    <w:rsid w:val="7B668859"/>
    <w:rsid w:val="7B90C6DB"/>
    <w:rsid w:val="7C1A3B90"/>
    <w:rsid w:val="7C4263F7"/>
    <w:rsid w:val="7D051044"/>
    <w:rsid w:val="7D09712C"/>
    <w:rsid w:val="7DAE7551"/>
    <w:rsid w:val="7E3B5476"/>
    <w:rsid w:val="7EB14FAE"/>
    <w:rsid w:val="7EB468A5"/>
    <w:rsid w:val="7EB8C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BEDB9"/>
  <w15:chartTrackingRefBased/>
  <w15:docId w15:val="{D3F850E0-B4A0-4CB2-9285-CE66CE62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48FCA840"/>
    <w:pPr>
      <w:spacing w:after="0" w:line="240" w:lineRule="auto"/>
    </w:pPr>
    <w:rPr>
      <w:sz w:val="20"/>
      <w:szCs w:val="20"/>
    </w:rPr>
  </w:style>
  <w:style w:type="character" w:styleId="FootnoteReference">
    <w:name w:val="footnote reference"/>
    <w:basedOn w:val="DefaultParagraphFont"/>
    <w:uiPriority w:val="99"/>
    <w:semiHidden/>
    <w:unhideWhenUsed/>
    <w:rsid w:val="48FCA84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1321</Words>
  <Characters>7535</Characters>
  <Application>Microsoft Office Word</Application>
  <DocSecurity>0</DocSecurity>
  <Lines>62</Lines>
  <Paragraphs>17</Paragraphs>
  <ScaleCrop>false</ScaleCrop>
  <Company/>
  <LinksUpToDate>false</LinksUpToDate>
  <CharactersWithSpaces>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Corentine Byrd (2404309)</cp:lastModifiedBy>
  <cp:revision>4</cp:revision>
  <dcterms:created xsi:type="dcterms:W3CDTF">2026-10-18T16:22:00Z</dcterms:created>
  <dcterms:modified xsi:type="dcterms:W3CDTF">2026-10-25T23:45:00Z</dcterms:modified>
</cp:coreProperties>
</file>