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214D5" w14:textId="763FE36C" w:rsidR="00D83F2E" w:rsidRDefault="00594F42">
      <w:r>
        <w:t>Specialist Employment Law</w:t>
      </w:r>
    </w:p>
    <w:p w14:paraId="27022493" w14:textId="3378D392" w:rsidR="00594F42" w:rsidRDefault="00594F42"/>
    <w:p w14:paraId="25086D91" w14:textId="2E77CA94" w:rsidR="00594F42" w:rsidRDefault="00594F42" w:rsidP="00594F42">
      <w:pPr>
        <w:spacing w:line="240" w:lineRule="auto"/>
        <w:rPr>
          <w:rFonts w:ascii="Trebuchet MS" w:hAnsi="Trebuchet MS" w:cstheme="minorHAnsi"/>
          <w:b/>
          <w:bCs/>
          <w:sz w:val="24"/>
        </w:rPr>
      </w:pPr>
      <w:r w:rsidRPr="004C24EB">
        <w:rPr>
          <w:rFonts w:ascii="Trebuchet MS" w:hAnsi="Trebuchet MS" w:cstheme="minorHAnsi"/>
          <w:b/>
          <w:bCs/>
          <w:sz w:val="24"/>
        </w:rPr>
        <w:t xml:space="preserve"> </w:t>
      </w:r>
      <w:r w:rsidRPr="004C24EB">
        <w:rPr>
          <w:rFonts w:ascii="Trebuchet MS" w:hAnsi="Trebuchet MS" w:cstheme="minorHAnsi"/>
          <w:b/>
          <w:bCs/>
          <w:sz w:val="24"/>
          <w:highlight w:val="red"/>
        </w:rPr>
        <w:t>(AC 1.1)</w:t>
      </w:r>
    </w:p>
    <w:p w14:paraId="3C30B26A" w14:textId="5CFEBF9C" w:rsidR="00594F42" w:rsidRDefault="00594F42" w:rsidP="00594F42">
      <w:pPr>
        <w:spacing w:line="240" w:lineRule="auto"/>
      </w:pPr>
      <w:r>
        <w:t>Employment Regulations</w:t>
      </w:r>
      <w:r w:rsidR="009F5755">
        <w:t xml:space="preserve"> (Employment Rights Act 1996)</w:t>
      </w:r>
      <w:r>
        <w:t xml:space="preserve"> play an important role within our organisation it protects employee’s whilst ensuring we maintain legal compliance. Regulations help foster a positive working culture creating fairness and trust, helping to prevent disputes.</w:t>
      </w:r>
      <w:r w:rsidR="00C012A8">
        <w:t xml:space="preserve"> </w:t>
      </w:r>
    </w:p>
    <w:p w14:paraId="65E4691D" w14:textId="601CE039" w:rsidR="007152F0" w:rsidRDefault="00594F42" w:rsidP="00594F42">
      <w:pPr>
        <w:spacing w:line="240" w:lineRule="auto"/>
      </w:pPr>
      <w:r>
        <w:t>If we do not have a focus o</w:t>
      </w:r>
      <w:r w:rsidR="007F6A8A">
        <w:t xml:space="preserve">n Employment Regulations this could have legal implications and potential reputational damage for the Trust. </w:t>
      </w:r>
      <w:r w:rsidR="00016EE6">
        <w:t>Regulations provide stability to the company ensuring</w:t>
      </w:r>
      <w:r w:rsidR="00712ABB">
        <w:t xml:space="preserve"> a fair and ethical workforce. </w:t>
      </w:r>
      <w:r w:rsidR="00954BB9">
        <w:t xml:space="preserve">For </w:t>
      </w:r>
      <w:r w:rsidR="00C8435F">
        <w:t>example,</w:t>
      </w:r>
      <w:r w:rsidR="00954BB9">
        <w:t xml:space="preserve"> the Employment Rights Act </w:t>
      </w:r>
      <w:r w:rsidR="00E71D1F">
        <w:t xml:space="preserve">1996 </w:t>
      </w:r>
      <w:r w:rsidR="00385654">
        <w:t xml:space="preserve">states that all employees and workers of an organisation have to receive a written statement of particulars, </w:t>
      </w:r>
      <w:r w:rsidR="00863427">
        <w:t>which details the agreement between the employer and employee, this should be issued on the first day for employment</w:t>
      </w:r>
      <w:r w:rsidR="00D25DF2">
        <w:t xml:space="preserve"> (Daniels, 2022).</w:t>
      </w:r>
    </w:p>
    <w:p w14:paraId="40F6A874" w14:textId="36E9F1E3" w:rsidR="00D25DF2" w:rsidRDefault="00D25DF2" w:rsidP="00594F42">
      <w:pPr>
        <w:spacing w:line="240" w:lineRule="auto"/>
      </w:pPr>
      <w:r>
        <w:t>Employers recognise the important of Employment regulations, but some may find it a burden and sometimes confusing to navigate. The regulations can limit flexibility on managing the workforce and there are also concerns of litigation risk. The Employment regulations are also complex which is why it is important to have someone who has a focus on this to enable them to advise the Trust</w:t>
      </w:r>
      <w:r w:rsidR="005A725B">
        <w:t xml:space="preserve"> accordingly. </w:t>
      </w:r>
    </w:p>
    <w:p w14:paraId="7A17B15E" w14:textId="443A9E89" w:rsidR="00594F42" w:rsidRDefault="007152F0" w:rsidP="00594F42">
      <w:pPr>
        <w:spacing w:line="240" w:lineRule="auto"/>
      </w:pPr>
      <w:r>
        <w:t>For example, the Equal Pay Act was</w:t>
      </w:r>
      <w:r w:rsidR="00C830E5">
        <w:t xml:space="preserve"> early legislation in 1970, however </w:t>
      </w:r>
      <w:r w:rsidR="00D0494D">
        <w:t>still have a gender pay gap today</w:t>
      </w:r>
      <w:r w:rsidR="00FB12BB">
        <w:t xml:space="preserve">, this is evidenced by recent case law with </w:t>
      </w:r>
      <w:r w:rsidR="00DF6688" w:rsidRPr="00DF6688">
        <w:rPr>
          <w:i/>
          <w:iCs/>
        </w:rPr>
        <w:t>Thandi and others v Next Retail limited (2024)</w:t>
      </w:r>
      <w:r w:rsidR="00594F42" w:rsidRPr="00DF6688">
        <w:rPr>
          <w:i/>
          <w:iCs/>
        </w:rPr>
        <w:t xml:space="preserve"> </w:t>
      </w:r>
      <w:r w:rsidR="00DF6688">
        <w:t xml:space="preserve">where </w:t>
      </w:r>
      <w:r w:rsidR="00B1100A">
        <w:t xml:space="preserve">predominantly female retail workers </w:t>
      </w:r>
      <w:r w:rsidR="00DC174A">
        <w:t>were paid less than predominately male warehouse workers</w:t>
      </w:r>
      <w:r w:rsidR="00FB4CE2">
        <w:t xml:space="preserve">, however the work was of equal value. </w:t>
      </w:r>
      <w:r w:rsidR="002A7757">
        <w:t xml:space="preserve">Therefore, the female workers had an equal pay claim and were awarded. </w:t>
      </w:r>
    </w:p>
    <w:p w14:paraId="50B2995F" w14:textId="186C3066" w:rsidR="00EC0DD6" w:rsidRPr="00CC521E" w:rsidRDefault="00B21915" w:rsidP="00594F42">
      <w:pPr>
        <w:spacing w:line="240" w:lineRule="auto"/>
        <w:rPr>
          <w:color w:val="EE0000"/>
        </w:rPr>
      </w:pPr>
      <w:r w:rsidRPr="00CC521E">
        <w:rPr>
          <w:color w:val="EE0000"/>
        </w:rPr>
        <w:t>Health and Safety is also</w:t>
      </w:r>
      <w:r w:rsidR="000B28A7" w:rsidRPr="00CC521E">
        <w:rPr>
          <w:color w:val="EE0000"/>
        </w:rPr>
        <w:t xml:space="preserve"> important legislation </w:t>
      </w:r>
      <w:r w:rsidR="00AB00CC" w:rsidRPr="00CC521E">
        <w:rPr>
          <w:color w:val="EE0000"/>
        </w:rPr>
        <w:t>that all employer should be aware of and abide by, the Health and Safety</w:t>
      </w:r>
      <w:r w:rsidR="003D126A" w:rsidRPr="00CC521E">
        <w:rPr>
          <w:color w:val="EE0000"/>
        </w:rPr>
        <w:t xml:space="preserve"> at Work Act 1974 is an important part in</w:t>
      </w:r>
      <w:r w:rsidR="003B7AD5" w:rsidRPr="00CC521E">
        <w:rPr>
          <w:color w:val="EE0000"/>
        </w:rPr>
        <w:t xml:space="preserve"> UK employment Regulations. It require</w:t>
      </w:r>
      <w:r w:rsidR="00292F5E" w:rsidRPr="00CC521E">
        <w:rPr>
          <w:color w:val="EE0000"/>
        </w:rPr>
        <w:t>s</w:t>
      </w:r>
      <w:r w:rsidR="003B7AD5" w:rsidRPr="00CC521E">
        <w:rPr>
          <w:color w:val="EE0000"/>
        </w:rPr>
        <w:t xml:space="preserve"> employers to assess any risks to their e</w:t>
      </w:r>
      <w:r w:rsidR="00997E8F" w:rsidRPr="00CC521E">
        <w:rPr>
          <w:color w:val="EE0000"/>
        </w:rPr>
        <w:t>mployees and provide a safe working environment.</w:t>
      </w:r>
      <w:r w:rsidR="00E34EEB" w:rsidRPr="00CC521E">
        <w:rPr>
          <w:color w:val="EE0000"/>
        </w:rPr>
        <w:t xml:space="preserve"> It also ensures that employers provide adequate training to ensure </w:t>
      </w:r>
      <w:r w:rsidR="002229B2" w:rsidRPr="00CC521E">
        <w:rPr>
          <w:color w:val="EE0000"/>
        </w:rPr>
        <w:t>that employees are able to carry out their duties safely</w:t>
      </w:r>
      <w:r w:rsidR="004E10D2" w:rsidRPr="00CC521E">
        <w:rPr>
          <w:color w:val="EE0000"/>
        </w:rPr>
        <w:t xml:space="preserve"> (Taylor &amp; Woodhams, 2022</w:t>
      </w:r>
      <w:r w:rsidR="00115FB3" w:rsidRPr="00CC521E">
        <w:rPr>
          <w:color w:val="EE0000"/>
        </w:rPr>
        <w:t xml:space="preserve">). </w:t>
      </w:r>
      <w:r w:rsidR="002229B2" w:rsidRPr="00CC521E">
        <w:rPr>
          <w:color w:val="EE0000"/>
        </w:rPr>
        <w:t xml:space="preserve"> Compliance to the </w:t>
      </w:r>
      <w:r w:rsidR="00AF4477" w:rsidRPr="00CC521E">
        <w:rPr>
          <w:color w:val="EE0000"/>
        </w:rPr>
        <w:t xml:space="preserve">legislation helps protects employees from injury at work and </w:t>
      </w:r>
      <w:r w:rsidR="0047642D" w:rsidRPr="00CC521E">
        <w:rPr>
          <w:color w:val="EE0000"/>
        </w:rPr>
        <w:t xml:space="preserve">also protects an organisation from potential liability. </w:t>
      </w:r>
      <w:r w:rsidR="00FA5E1B" w:rsidRPr="00CC521E">
        <w:rPr>
          <w:color w:val="EE0000"/>
        </w:rPr>
        <w:t xml:space="preserve">This also includes stress within the workplace, employers now have a legal obligation to </w:t>
      </w:r>
      <w:r w:rsidR="00DA4F62" w:rsidRPr="00CC521E">
        <w:rPr>
          <w:color w:val="EE0000"/>
        </w:rPr>
        <w:t>reduce workplace stress</w:t>
      </w:r>
      <w:r w:rsidR="00707C1B" w:rsidRPr="00CC521E">
        <w:rPr>
          <w:color w:val="EE0000"/>
        </w:rPr>
        <w:t xml:space="preserve"> (HSE, 2025)</w:t>
      </w:r>
      <w:r w:rsidR="00CC521E">
        <w:rPr>
          <w:color w:val="EE0000"/>
        </w:rPr>
        <w:t>.</w:t>
      </w:r>
    </w:p>
    <w:p w14:paraId="658E20E9" w14:textId="17BF6F15" w:rsidR="004140B3" w:rsidRDefault="003E014C" w:rsidP="00594F42">
      <w:pPr>
        <w:spacing w:line="240" w:lineRule="auto"/>
      </w:pPr>
      <w:r>
        <w:t>Employment</w:t>
      </w:r>
      <w:r w:rsidR="000B09CB">
        <w:t xml:space="preserve"> regulations will ensure that the trust is compliant</w:t>
      </w:r>
      <w:r>
        <w:t>, CIPD</w:t>
      </w:r>
      <w:r w:rsidR="00360721">
        <w:t>’s Road to Good Work</w:t>
      </w:r>
      <w:r w:rsidR="009435BF">
        <w:t xml:space="preserve"> (2018) report highlights best practices for Employers</w:t>
      </w:r>
      <w:r w:rsidR="00910B9D">
        <w:t xml:space="preserve"> and emphasises the need for a comprehensive strategy </w:t>
      </w:r>
      <w:r w:rsidR="00D34F09">
        <w:t>within an organisation</w:t>
      </w:r>
      <w:r w:rsidR="0076280F">
        <w:t xml:space="preserve"> which should incorporate </w:t>
      </w:r>
      <w:r w:rsidR="00DB2776">
        <w:t>Employment Regulations and potential changes to the regulations</w:t>
      </w:r>
      <w:r w:rsidR="00DB5E23">
        <w:t xml:space="preserve"> (CIPD 2018a).</w:t>
      </w:r>
    </w:p>
    <w:p w14:paraId="02B3B228" w14:textId="77777777" w:rsidR="008B595B" w:rsidRDefault="008B595B" w:rsidP="00594F42">
      <w:pPr>
        <w:spacing w:line="240" w:lineRule="auto"/>
        <w:rPr>
          <w:rFonts w:ascii="Trebuchet MS" w:hAnsi="Trebuchet MS"/>
          <w:b/>
          <w:bCs/>
        </w:rPr>
      </w:pPr>
    </w:p>
    <w:p w14:paraId="4E22F86C" w14:textId="2FEBDB85"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372CD7">
        <w:rPr>
          <w:rFonts w:ascii="Trebuchet MS" w:hAnsi="Trebuchet MS" w:cstheme="minorHAnsi"/>
          <w:b/>
          <w:bCs/>
          <w:sz w:val="24"/>
        </w:rPr>
        <w:t>(AC 1.2)</w:t>
      </w:r>
    </w:p>
    <w:p w14:paraId="5B0EB468" w14:textId="1E57D584" w:rsidR="00BD5AF4" w:rsidRDefault="00E305A2" w:rsidP="00594F42">
      <w:pPr>
        <w:spacing w:line="240" w:lineRule="auto"/>
      </w:pPr>
      <w:r w:rsidRPr="0050727D">
        <w:t xml:space="preserve">ECJ judgements </w:t>
      </w:r>
      <w:r w:rsidR="0050727D">
        <w:t xml:space="preserve">remain binding within UK law </w:t>
      </w:r>
      <w:r w:rsidR="00375633">
        <w:t xml:space="preserve">following the UK’S departure from the European Union. </w:t>
      </w:r>
      <w:r w:rsidR="005C4703">
        <w:t>This was retained under the European Union (</w:t>
      </w:r>
      <w:r w:rsidR="00330E40">
        <w:t>Withdrawal</w:t>
      </w:r>
      <w:r w:rsidR="005C4703">
        <w:t xml:space="preserve">) Act 2018. </w:t>
      </w:r>
      <w:r w:rsidR="00244BD7">
        <w:t xml:space="preserve">UK courts can still refer to </w:t>
      </w:r>
      <w:r w:rsidR="005E3B72">
        <w:t>ECJ judgements which were made before 2020, but are not bound by judgements made after this date. However</w:t>
      </w:r>
      <w:r w:rsidR="00235409">
        <w:t>,</w:t>
      </w:r>
      <w:r w:rsidR="00730658">
        <w:t xml:space="preserve"> lower court judgements</w:t>
      </w:r>
      <w:r w:rsidR="00235409">
        <w:t xml:space="preserve"> can be overturned by a higher court within the UK</w:t>
      </w:r>
      <w:r w:rsidR="00965910">
        <w:t xml:space="preserve"> (Retained EU Law A</w:t>
      </w:r>
      <w:r w:rsidR="00DA0451">
        <w:t>ct</w:t>
      </w:r>
      <w:r w:rsidR="00730658">
        <w:t xml:space="preserve"> 2023)</w:t>
      </w:r>
      <w:r w:rsidR="00235409">
        <w:t xml:space="preserve"> or by new UK legislation. </w:t>
      </w:r>
    </w:p>
    <w:p w14:paraId="7C6DBF7A" w14:textId="25F19E74" w:rsidR="001B7B05" w:rsidRDefault="00130023" w:rsidP="00594F42">
      <w:pPr>
        <w:spacing w:line="240" w:lineRule="auto"/>
      </w:pPr>
      <w:r>
        <w:t>The Employment Righ</w:t>
      </w:r>
      <w:r w:rsidR="003B0B72">
        <w:t xml:space="preserve">ts (Amendment, Revocation and Transitional Provision) Regulations 2023 was introduced </w:t>
      </w:r>
      <w:r w:rsidR="0085467B">
        <w:t xml:space="preserve">to form part of a review of UK employment law post Brexit. </w:t>
      </w:r>
      <w:r w:rsidR="00DD4787">
        <w:t xml:space="preserve">EU </w:t>
      </w:r>
      <w:r w:rsidR="00181C99">
        <w:t>Working Time Directive</w:t>
      </w:r>
      <w:r w:rsidR="00DD4787">
        <w:t xml:space="preserve"> introduced </w:t>
      </w:r>
      <w:r w:rsidR="00181C99">
        <w:t xml:space="preserve">the </w:t>
      </w:r>
      <w:r w:rsidR="00DD4787">
        <w:t>Working Time Regulations 199</w:t>
      </w:r>
      <w:r w:rsidR="00181C99">
        <w:t>8</w:t>
      </w:r>
      <w:r w:rsidR="00661B58">
        <w:t xml:space="preserve">, where there was a limit on the number </w:t>
      </w:r>
      <w:r w:rsidR="00661B58">
        <w:lastRenderedPageBreak/>
        <w:t>of hours an employee could work within a set time frame</w:t>
      </w:r>
      <w:r w:rsidR="005645DA">
        <w:t xml:space="preserve">. The 48 hour rule </w:t>
      </w:r>
      <w:r w:rsidR="00BE37DC">
        <w:t>continued post Brexit, however the UK have</w:t>
      </w:r>
      <w:r w:rsidR="00444B52">
        <w:t xml:space="preserve"> the freedom to change it (Daniels, 2022). </w:t>
      </w:r>
    </w:p>
    <w:p w14:paraId="51313E76" w14:textId="1B2FC1E1" w:rsidR="001B7B05" w:rsidRDefault="00336041" w:rsidP="00594F42">
      <w:pPr>
        <w:spacing w:line="240" w:lineRule="auto"/>
      </w:pPr>
      <w:r>
        <w:t xml:space="preserve">The European Court of Justice is the </w:t>
      </w:r>
      <w:r w:rsidR="00D824CB">
        <w:t xml:space="preserve">final court of appeal and can be referred to, to interpret a certain aspect of </w:t>
      </w:r>
      <w:r w:rsidR="00D47304">
        <w:t xml:space="preserve">EU Law. </w:t>
      </w:r>
      <w:r w:rsidR="00AF4EF5">
        <w:t>As the UK has left the European Union it is no longer possible for UK to appeal to the European Court of Justice, the highest court within the UK is the Supreme Court</w:t>
      </w:r>
      <w:r w:rsidR="003A231E">
        <w:t xml:space="preserve"> (Daniels, 2022)</w:t>
      </w:r>
    </w:p>
    <w:p w14:paraId="5A5AA1DD" w14:textId="2EB61D64" w:rsidR="001B7B05" w:rsidRDefault="00811DBC" w:rsidP="00594F42">
      <w:pPr>
        <w:spacing w:line="240" w:lineRule="auto"/>
      </w:pPr>
      <w:r>
        <w:t>Therefore, most EU law is retained post Brexit, including</w:t>
      </w:r>
      <w:r w:rsidR="007C28B1">
        <w:t xml:space="preserve"> Working Time Records, Rolled up holiday pay, TUPE Consultations, </w:t>
      </w:r>
      <w:r w:rsidR="008515E9">
        <w:t xml:space="preserve">leave carryover definitions and ‘normal pay’ rate for statutory leave. However all EU Law </w:t>
      </w:r>
      <w:r w:rsidR="002649B2">
        <w:t xml:space="preserve">can be amended or repealed by the UK Government. </w:t>
      </w:r>
      <w:r w:rsidR="0065263F">
        <w:t xml:space="preserve">UK Supreme Courts can  </w:t>
      </w:r>
      <w:r w:rsidR="00D82A6F">
        <w:t xml:space="preserve">affirm, amend or abolish any European practices.  </w:t>
      </w:r>
    </w:p>
    <w:p w14:paraId="48B965DB" w14:textId="6735D660" w:rsidR="001B7B05" w:rsidRDefault="00FB7606" w:rsidP="00594F42">
      <w:pPr>
        <w:spacing w:line="240" w:lineRule="auto"/>
      </w:pPr>
      <w:r>
        <w:t>A recent supreme court ruling</w:t>
      </w:r>
      <w:r w:rsidR="00E600D5">
        <w:t xml:space="preserve"> in </w:t>
      </w:r>
      <w:r w:rsidR="00E600D5" w:rsidRPr="00610236">
        <w:rPr>
          <w:i/>
          <w:iCs/>
        </w:rPr>
        <w:t xml:space="preserve">Lipton V BA </w:t>
      </w:r>
      <w:r w:rsidR="004D036F" w:rsidRPr="00610236">
        <w:rPr>
          <w:i/>
          <w:iCs/>
        </w:rPr>
        <w:t xml:space="preserve">CityFlyer Ltd </w:t>
      </w:r>
      <w:r w:rsidRPr="00610236">
        <w:rPr>
          <w:i/>
          <w:iCs/>
        </w:rPr>
        <w:t xml:space="preserve"> </w:t>
      </w:r>
      <w:r w:rsidR="00610236" w:rsidRPr="00610236">
        <w:rPr>
          <w:i/>
          <w:iCs/>
        </w:rPr>
        <w:t>2024</w:t>
      </w:r>
      <w:r w:rsidR="00610236">
        <w:t xml:space="preserve"> </w:t>
      </w:r>
      <w:r>
        <w:t>confirmed that post Brexit legislation</w:t>
      </w:r>
      <w:r w:rsidR="0071749B">
        <w:t xml:space="preserve"> on EU Case law and still be applied retrospectively</w:t>
      </w:r>
      <w:r w:rsidR="00A41312">
        <w:t xml:space="preserve"> for events that happed pre Brexit, therefore the same could potentially apply for </w:t>
      </w:r>
      <w:r w:rsidR="00606C17">
        <w:t xml:space="preserve">Employment Law claims. </w:t>
      </w:r>
    </w:p>
    <w:p w14:paraId="0713918B" w14:textId="440F3817" w:rsidR="00594F42" w:rsidRPr="00666FB1" w:rsidRDefault="003915B4" w:rsidP="00594F42">
      <w:pPr>
        <w:spacing w:line="240" w:lineRule="auto"/>
      </w:pPr>
      <w:r>
        <w:t xml:space="preserve">‘Good Law’ is </w:t>
      </w:r>
      <w:r w:rsidR="00792828">
        <w:t xml:space="preserve">referred to in relation to a judgement that has not been overturned, repealed </w:t>
      </w:r>
      <w:r w:rsidR="00F302F3">
        <w:t>and is still referred to by courts as authoritative.</w:t>
      </w:r>
      <w:r w:rsidR="00621762">
        <w:t xml:space="preserve"> The UK law can still refer to </w:t>
      </w:r>
      <w:r w:rsidR="003F1274">
        <w:t xml:space="preserve">‘Good Law’ made by the ECJ pre Brexit </w:t>
      </w:r>
      <w:r w:rsidR="00E60E5E">
        <w:t xml:space="preserve">in post Brexit employment law cases. </w:t>
      </w:r>
      <w:r w:rsidR="00F302F3">
        <w:t xml:space="preserve"> </w:t>
      </w:r>
      <w:r w:rsidR="00500855">
        <w:t>A case that is frequently referred to in</w:t>
      </w:r>
      <w:r w:rsidR="005A174C">
        <w:t xml:space="preserve"> UK Law is </w:t>
      </w:r>
      <w:r w:rsidR="005A174C" w:rsidRPr="005A174C">
        <w:rPr>
          <w:i/>
          <w:iCs/>
        </w:rPr>
        <w:t xml:space="preserve">Autoclenz Ltd v Blecher &amp; Others (2011) </w:t>
      </w:r>
      <w:r w:rsidR="005A174C">
        <w:t>when determining employment states</w:t>
      </w:r>
      <w:r w:rsidR="0024257B">
        <w:t xml:space="preserve"> where is ruled that courts will look beyond the written contract of employment</w:t>
      </w:r>
      <w:r w:rsidR="0033691B">
        <w:t xml:space="preserve"> to looking at the actual working relationship to make the decision. </w:t>
      </w:r>
    </w:p>
    <w:p w14:paraId="14C324CA" w14:textId="0CCE2B0E" w:rsidR="00594F42"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w:t>
      </w:r>
      <w:r w:rsidRPr="00372CD7">
        <w:rPr>
          <w:rFonts w:ascii="Trebuchet MS" w:hAnsi="Trebuchet MS" w:cstheme="minorHAnsi"/>
          <w:b/>
          <w:bCs/>
          <w:sz w:val="24"/>
          <w:highlight w:val="red"/>
        </w:rPr>
        <w:t>(AC 2.1)</w:t>
      </w:r>
      <w:r w:rsidRPr="00666FB1">
        <w:rPr>
          <w:rFonts w:ascii="Trebuchet MS" w:hAnsi="Trebuchet MS" w:cstheme="minorHAnsi"/>
          <w:b/>
          <w:bCs/>
          <w:sz w:val="24"/>
        </w:rPr>
        <w:t xml:space="preserve"> </w:t>
      </w:r>
    </w:p>
    <w:p w14:paraId="55059449" w14:textId="41FFC6FA" w:rsidR="00CA6AE3" w:rsidRPr="00CA6AE3" w:rsidRDefault="001E453C" w:rsidP="00594F42">
      <w:pPr>
        <w:spacing w:line="240" w:lineRule="auto"/>
      </w:pPr>
      <w:r>
        <w:t>One element of</w:t>
      </w:r>
      <w:r w:rsidR="00CA6AE3">
        <w:t xml:space="preserve"> Equality Act 2010 </w:t>
      </w:r>
      <w:r>
        <w:t xml:space="preserve">protects individuals from unfair treatment </w:t>
      </w:r>
      <w:r w:rsidR="00687CD6">
        <w:t xml:space="preserve">based on any protected characteristics, through a recruitment and selection process. </w:t>
      </w:r>
      <w:r w:rsidR="000A167B">
        <w:t xml:space="preserve">From advertising the position to the interviewing and selection criteria. </w:t>
      </w:r>
    </w:p>
    <w:p w14:paraId="64D3FC9B" w14:textId="57FAE297" w:rsidR="00454BF2" w:rsidRDefault="008A43B7" w:rsidP="00594F42">
      <w:pPr>
        <w:spacing w:line="240" w:lineRule="auto"/>
      </w:pPr>
      <w:r>
        <w:t>The Equality Act 2010 introduced</w:t>
      </w:r>
      <w:r w:rsidR="00DC0497">
        <w:t xml:space="preserve"> Genuine Occupational </w:t>
      </w:r>
      <w:r w:rsidR="002E58D3">
        <w:t>Requirements</w:t>
      </w:r>
      <w:r w:rsidR="003747EB">
        <w:t xml:space="preserve"> (GOR)</w:t>
      </w:r>
      <w:r w:rsidR="00DC0497">
        <w:t xml:space="preserve"> </w:t>
      </w:r>
      <w:r w:rsidR="005B3684">
        <w:t>which</w:t>
      </w:r>
      <w:r w:rsidR="00A42B3F">
        <w:t xml:space="preserve"> refer</w:t>
      </w:r>
      <w:r w:rsidR="005B3684">
        <w:t>s</w:t>
      </w:r>
      <w:r w:rsidR="00A42B3F">
        <w:t xml:space="preserve"> to specific characteristics that are essential for a role</w:t>
      </w:r>
      <w:r w:rsidR="0080730D">
        <w:t>, these requirements c</w:t>
      </w:r>
      <w:r w:rsidR="004649FD">
        <w:t>ould</w:t>
      </w:r>
      <w:r w:rsidR="0080730D">
        <w:t xml:space="preserve"> be considered as discriminatory</w:t>
      </w:r>
      <w:r w:rsidR="0064204C">
        <w:t>, however the characteristic must be crucial in carrying out the job as opposed to a preference.</w:t>
      </w:r>
      <w:r w:rsidR="0026317E">
        <w:t xml:space="preserve"> It </w:t>
      </w:r>
      <w:r w:rsidR="005B3684">
        <w:t>must</w:t>
      </w:r>
      <w:r w:rsidR="0026317E">
        <w:t xml:space="preserve"> be a proportionate means of achieving a legitimate aim. </w:t>
      </w:r>
      <w:r w:rsidR="00055ACA">
        <w:t xml:space="preserve">It allows an employer to lawfully discriminate </w:t>
      </w:r>
      <w:r w:rsidR="00E843BB">
        <w:t xml:space="preserve">based on a protected characteristic if it is essential </w:t>
      </w:r>
      <w:r w:rsidR="00B4382A">
        <w:t>for</w:t>
      </w:r>
      <w:r w:rsidR="00E843BB">
        <w:t xml:space="preserve"> the job to be carried out</w:t>
      </w:r>
      <w:r w:rsidR="009F5193">
        <w:t xml:space="preserve"> (GOV.</w:t>
      </w:r>
      <w:r w:rsidR="00F21E00">
        <w:t>UK</w:t>
      </w:r>
      <w:r w:rsidR="009F5193">
        <w:t>, 2024)</w:t>
      </w:r>
    </w:p>
    <w:p w14:paraId="2C644680" w14:textId="26AC8C8C" w:rsidR="003747EB" w:rsidRDefault="003747EB" w:rsidP="00594F42">
      <w:pPr>
        <w:spacing w:line="240" w:lineRule="auto"/>
      </w:pPr>
      <w:r>
        <w:t xml:space="preserve">When applying </w:t>
      </w:r>
      <w:r w:rsidR="00BB0F0A">
        <w:t xml:space="preserve">Genuine Occupational Requirements within a recruitment </w:t>
      </w:r>
      <w:r w:rsidR="005B3684">
        <w:t>process,</w:t>
      </w:r>
      <w:r w:rsidR="00BB0F0A">
        <w:t xml:space="preserve"> we would advise that you ensure that the characteristic is </w:t>
      </w:r>
      <w:r w:rsidR="00406639">
        <w:t xml:space="preserve">a necessity for the job, it is proportionate and that </w:t>
      </w:r>
      <w:r w:rsidR="003B42C6">
        <w:t>the rationale for this is documented to defend any potential discrimination claims</w:t>
      </w:r>
      <w:r w:rsidR="00C22B75">
        <w:t xml:space="preserve"> (ACAS, 2023).</w:t>
      </w:r>
    </w:p>
    <w:p w14:paraId="17334222" w14:textId="2BD7E4C8" w:rsidR="00E560CE" w:rsidRPr="001D76D7" w:rsidRDefault="00164CDB" w:rsidP="00594F42">
      <w:pPr>
        <w:spacing w:line="240" w:lineRule="auto"/>
        <w:rPr>
          <w:color w:val="EE0000"/>
        </w:rPr>
      </w:pPr>
      <w:r w:rsidRPr="001D76D7">
        <w:rPr>
          <w:color w:val="EE0000"/>
        </w:rPr>
        <w:t xml:space="preserve">One demonstration of this is when role involves physical contact with another person </w:t>
      </w:r>
      <w:r w:rsidR="00F810DA" w:rsidRPr="001D76D7">
        <w:rPr>
          <w:color w:val="EE0000"/>
        </w:rPr>
        <w:t xml:space="preserve">and where it would be inappropriate for this contact to be made by a person of the </w:t>
      </w:r>
      <w:r w:rsidR="0044232F" w:rsidRPr="001D76D7">
        <w:rPr>
          <w:color w:val="EE0000"/>
        </w:rPr>
        <w:t xml:space="preserve">opposite sex. </w:t>
      </w:r>
      <w:r w:rsidR="002F058E">
        <w:rPr>
          <w:color w:val="EE0000"/>
        </w:rPr>
        <w:t xml:space="preserve">An example of this is the </w:t>
      </w:r>
      <w:r w:rsidR="007227DE">
        <w:rPr>
          <w:color w:val="EE0000"/>
        </w:rPr>
        <w:t>Etam plc v Rowan</w:t>
      </w:r>
      <w:r w:rsidR="002442F8">
        <w:rPr>
          <w:color w:val="EE0000"/>
        </w:rPr>
        <w:t xml:space="preserve">, where a man was refused employment within </w:t>
      </w:r>
      <w:r w:rsidR="00AC3EB1">
        <w:rPr>
          <w:color w:val="EE0000"/>
        </w:rPr>
        <w:t xml:space="preserve">a women’s clothes shop, as some of duties would involve </w:t>
      </w:r>
      <w:r w:rsidR="004814EA">
        <w:rPr>
          <w:color w:val="EE0000"/>
        </w:rPr>
        <w:t xml:space="preserve">measuring women that were unsure on their size. </w:t>
      </w:r>
      <w:r w:rsidR="000B6C57">
        <w:rPr>
          <w:color w:val="EE0000"/>
        </w:rPr>
        <w:t xml:space="preserve">The claim was upheld as the EAT </w:t>
      </w:r>
      <w:r w:rsidR="0091205D">
        <w:rPr>
          <w:color w:val="EE0000"/>
        </w:rPr>
        <w:t xml:space="preserve">said that this duty was a small part of the job, that could be covered by another female colleague. </w:t>
      </w:r>
    </w:p>
    <w:p w14:paraId="6B857DF5" w14:textId="20F03365" w:rsidR="009655D6" w:rsidRPr="0032573E" w:rsidRDefault="00B83EFC" w:rsidP="00594F42">
      <w:pPr>
        <w:spacing w:line="240" w:lineRule="auto"/>
        <w:rPr>
          <w:strike/>
        </w:rPr>
      </w:pPr>
      <w:r w:rsidRPr="009655D6">
        <w:rPr>
          <w:strike/>
        </w:rPr>
        <w:t xml:space="preserve">This is demonstrated in the </w:t>
      </w:r>
      <w:r w:rsidRPr="009655D6">
        <w:rPr>
          <w:i/>
          <w:iCs/>
          <w:strike/>
        </w:rPr>
        <w:t xml:space="preserve">Saini v All Saints Haque Centre </w:t>
      </w:r>
      <w:r w:rsidRPr="009655D6">
        <w:rPr>
          <w:strike/>
        </w:rPr>
        <w:t>case</w:t>
      </w:r>
      <w:r w:rsidR="00D84CC2" w:rsidRPr="009655D6">
        <w:rPr>
          <w:strike/>
        </w:rPr>
        <w:t xml:space="preserve">, where a male applicant applied for a position as a counsellor at a Women’s shelter. The Employment Tribunal upheld the GOR defence </w:t>
      </w:r>
      <w:r w:rsidR="002E1572" w:rsidRPr="009655D6">
        <w:rPr>
          <w:strike/>
        </w:rPr>
        <w:t>ruling it was</w:t>
      </w:r>
      <w:r w:rsidR="00320C16" w:rsidRPr="009655D6">
        <w:rPr>
          <w:strike/>
        </w:rPr>
        <w:t xml:space="preserve"> a proportionate means of achieving a legitimate aim for a </w:t>
      </w:r>
      <w:r w:rsidR="00814654" w:rsidRPr="009655D6">
        <w:rPr>
          <w:strike/>
        </w:rPr>
        <w:t xml:space="preserve">requirement for a </w:t>
      </w:r>
      <w:r w:rsidR="00320C16" w:rsidRPr="009655D6">
        <w:rPr>
          <w:strike/>
        </w:rPr>
        <w:t xml:space="preserve">female counsellor. </w:t>
      </w:r>
      <w:r w:rsidR="00E83C9C" w:rsidRPr="009655D6">
        <w:rPr>
          <w:strike/>
        </w:rPr>
        <w:t xml:space="preserve">There was no less discriminatory way to meet the needs of the service users without </w:t>
      </w:r>
      <w:r w:rsidR="00F27D44" w:rsidRPr="009655D6">
        <w:rPr>
          <w:strike/>
        </w:rPr>
        <w:t xml:space="preserve">applying GOR. </w:t>
      </w:r>
    </w:p>
    <w:p w14:paraId="2E7441D3" w14:textId="46943A92" w:rsidR="008C363C" w:rsidRDefault="008C363C" w:rsidP="00594F42">
      <w:pPr>
        <w:spacing w:line="240" w:lineRule="auto"/>
      </w:pPr>
      <w:r>
        <w:t>Employers must not discriminate against job applicants based on any of the following:</w:t>
      </w:r>
    </w:p>
    <w:p w14:paraId="3B84FD77" w14:textId="45C1840B" w:rsidR="008C363C" w:rsidRDefault="007E34D7" w:rsidP="007E34D7">
      <w:pPr>
        <w:pStyle w:val="ListParagraph"/>
        <w:numPr>
          <w:ilvl w:val="0"/>
          <w:numId w:val="2"/>
        </w:numPr>
        <w:spacing w:line="240" w:lineRule="auto"/>
      </w:pPr>
      <w:r>
        <w:lastRenderedPageBreak/>
        <w:t>Age</w:t>
      </w:r>
    </w:p>
    <w:p w14:paraId="22C92E95" w14:textId="5751C0A9" w:rsidR="007E34D7" w:rsidRDefault="007E34D7" w:rsidP="007E34D7">
      <w:pPr>
        <w:pStyle w:val="ListParagraph"/>
        <w:numPr>
          <w:ilvl w:val="0"/>
          <w:numId w:val="2"/>
        </w:numPr>
        <w:spacing w:line="240" w:lineRule="auto"/>
      </w:pPr>
      <w:r>
        <w:t>Disability</w:t>
      </w:r>
    </w:p>
    <w:p w14:paraId="4C83891D" w14:textId="3685DD77" w:rsidR="007E34D7" w:rsidRDefault="007E34D7" w:rsidP="007E34D7">
      <w:pPr>
        <w:pStyle w:val="ListParagraph"/>
        <w:numPr>
          <w:ilvl w:val="0"/>
          <w:numId w:val="2"/>
        </w:numPr>
        <w:spacing w:line="240" w:lineRule="auto"/>
      </w:pPr>
      <w:r>
        <w:t>Gender Reassignment</w:t>
      </w:r>
    </w:p>
    <w:p w14:paraId="05E64515" w14:textId="420AEF48" w:rsidR="007E34D7" w:rsidRDefault="007E34D7" w:rsidP="007E34D7">
      <w:pPr>
        <w:pStyle w:val="ListParagraph"/>
        <w:numPr>
          <w:ilvl w:val="0"/>
          <w:numId w:val="2"/>
        </w:numPr>
        <w:spacing w:line="240" w:lineRule="auto"/>
      </w:pPr>
      <w:r>
        <w:t>Marriage and civil partnership</w:t>
      </w:r>
    </w:p>
    <w:p w14:paraId="307483CC" w14:textId="35315540" w:rsidR="007E34D7" w:rsidRDefault="007E34D7" w:rsidP="007E34D7">
      <w:pPr>
        <w:pStyle w:val="ListParagraph"/>
        <w:numPr>
          <w:ilvl w:val="0"/>
          <w:numId w:val="2"/>
        </w:numPr>
        <w:spacing w:line="240" w:lineRule="auto"/>
      </w:pPr>
      <w:r>
        <w:t>Pregnancy or Maternity</w:t>
      </w:r>
    </w:p>
    <w:p w14:paraId="5E9FEEE0" w14:textId="3B3C7610" w:rsidR="007E34D7" w:rsidRDefault="007E34D7" w:rsidP="007E34D7">
      <w:pPr>
        <w:pStyle w:val="ListParagraph"/>
        <w:numPr>
          <w:ilvl w:val="0"/>
          <w:numId w:val="2"/>
        </w:numPr>
        <w:spacing w:line="240" w:lineRule="auto"/>
      </w:pPr>
      <w:r>
        <w:t>Race</w:t>
      </w:r>
    </w:p>
    <w:p w14:paraId="615E6FD3" w14:textId="212A3C23" w:rsidR="007E34D7" w:rsidRDefault="007E34D7" w:rsidP="007E34D7">
      <w:pPr>
        <w:pStyle w:val="ListParagraph"/>
        <w:numPr>
          <w:ilvl w:val="0"/>
          <w:numId w:val="2"/>
        </w:numPr>
        <w:spacing w:line="240" w:lineRule="auto"/>
      </w:pPr>
      <w:r>
        <w:t>Religion or Belief</w:t>
      </w:r>
    </w:p>
    <w:p w14:paraId="1B32FED9" w14:textId="01FF723B" w:rsidR="007E34D7" w:rsidRDefault="007E34D7" w:rsidP="007E34D7">
      <w:pPr>
        <w:pStyle w:val="ListParagraph"/>
        <w:numPr>
          <w:ilvl w:val="0"/>
          <w:numId w:val="2"/>
        </w:numPr>
        <w:spacing w:line="240" w:lineRule="auto"/>
      </w:pPr>
      <w:r>
        <w:t>Sex</w:t>
      </w:r>
    </w:p>
    <w:p w14:paraId="598753D8" w14:textId="182084CD" w:rsidR="007E34D7" w:rsidRDefault="00C940A9" w:rsidP="007E34D7">
      <w:pPr>
        <w:pStyle w:val="ListParagraph"/>
        <w:numPr>
          <w:ilvl w:val="0"/>
          <w:numId w:val="2"/>
        </w:numPr>
        <w:spacing w:line="240" w:lineRule="auto"/>
      </w:pPr>
      <w:r>
        <w:t>Sexual orientation</w:t>
      </w:r>
    </w:p>
    <w:p w14:paraId="79ED0547" w14:textId="57D9A2DA" w:rsidR="00594F42" w:rsidRPr="00666FB1" w:rsidRDefault="002740D0" w:rsidP="00594F42">
      <w:pPr>
        <w:spacing w:line="240" w:lineRule="auto"/>
      </w:pPr>
      <w:r>
        <w:t xml:space="preserve">Employer can only ask about health or disability in limited circumstances </w:t>
      </w:r>
      <w:r w:rsidR="00903706">
        <w:t>where it is necessary and make any reasonable adjustments for the recruitment process</w:t>
      </w:r>
      <w:r w:rsidR="00B549E4">
        <w:t xml:space="preserve"> (GOV.UK, 2024)</w:t>
      </w:r>
      <w:r w:rsidR="00F27D44">
        <w:t xml:space="preserve"> However, in certain circumstances GOR can be applied </w:t>
      </w:r>
      <w:r w:rsidR="005C690E">
        <w:t>where it may be lawful to do so</w:t>
      </w:r>
      <w:r w:rsidR="00971359">
        <w:t xml:space="preserve"> to achieve a </w:t>
      </w:r>
      <w:r w:rsidR="00A51DB5">
        <w:t>legitimate aim and is not just personal preference</w:t>
      </w:r>
      <w:r w:rsidR="00BF59AF">
        <w:t xml:space="preserve"> (EHRC, 2015).</w:t>
      </w:r>
    </w:p>
    <w:p w14:paraId="65C86359" w14:textId="21121FDA"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(AC 2.2)</w:t>
      </w:r>
    </w:p>
    <w:p w14:paraId="44C476D7" w14:textId="691CA53D" w:rsidR="009E5847" w:rsidRDefault="00451222" w:rsidP="00594F42">
      <w:pPr>
        <w:spacing w:line="240" w:lineRule="auto"/>
      </w:pPr>
      <w:r>
        <w:t xml:space="preserve">It is important consider the Equality Act 2010 </w:t>
      </w:r>
      <w:r w:rsidR="007565A9">
        <w:t>in regards to your request. The Equality Act 2010 states that men and Women must receive equal pay for equal work</w:t>
      </w:r>
      <w:r w:rsidR="000F42AC">
        <w:t xml:space="preserve">. Including work that is of equal value in terms of skill and </w:t>
      </w:r>
      <w:r w:rsidR="00940A0B">
        <w:t>responsibility</w:t>
      </w:r>
      <w:r w:rsidR="0038045D">
        <w:t xml:space="preserve"> (ACAS, 2024). </w:t>
      </w:r>
      <w:r w:rsidR="00E33397">
        <w:t>You would need to objectively justif</w:t>
      </w:r>
      <w:r w:rsidR="001A1A43">
        <w:t xml:space="preserve">y the pay difference by other factors, such as seniority or qualifications that are specific to the role. </w:t>
      </w:r>
    </w:p>
    <w:p w14:paraId="15FCBE82" w14:textId="6DFD0C7C" w:rsidR="00A55325" w:rsidRDefault="00A55325" w:rsidP="00594F42">
      <w:pPr>
        <w:spacing w:line="240" w:lineRule="auto"/>
      </w:pPr>
      <w:r>
        <w:t xml:space="preserve">The </w:t>
      </w:r>
      <w:r w:rsidR="00B567F7">
        <w:t>women may be able to bring an equal pay claim if the work all employees are</w:t>
      </w:r>
      <w:r w:rsidR="00E928DE">
        <w:t xml:space="preserve"> carrying out is of equal value however the ‘comparator’ which is an opposite gender is paid more. </w:t>
      </w:r>
      <w:r w:rsidR="00EE1EF9">
        <w:t xml:space="preserve">To defend such claim you would need to ensure that they are not engaging in ‘like work’ </w:t>
      </w:r>
      <w:r w:rsidR="00AC4020">
        <w:t>and the difference in pay is due to another factor, other than gender</w:t>
      </w:r>
      <w:r w:rsidR="00BA45D1">
        <w:t xml:space="preserve"> (ACAS, 2024)</w:t>
      </w:r>
      <w:r w:rsidR="00AC4020">
        <w:t xml:space="preserve"> </w:t>
      </w:r>
    </w:p>
    <w:p w14:paraId="7B74DE71" w14:textId="116F17E6" w:rsidR="00F6516B" w:rsidRDefault="00A7399B" w:rsidP="00594F42">
      <w:pPr>
        <w:spacing w:line="240" w:lineRule="auto"/>
      </w:pPr>
      <w:r>
        <w:t xml:space="preserve">The Equality Act 2010 (Gender Pay Gap Information) </w:t>
      </w:r>
      <w:r w:rsidR="007B34DF">
        <w:t xml:space="preserve">2017 </w:t>
      </w:r>
      <w:r w:rsidR="00017691">
        <w:t>and the Equality Act 2010 (</w:t>
      </w:r>
      <w:r w:rsidR="00B11DE7">
        <w:t>Specific</w:t>
      </w:r>
      <w:r w:rsidR="00017691">
        <w:t xml:space="preserve"> Duties and Pu</w:t>
      </w:r>
      <w:r w:rsidR="00CF5608">
        <w:t>blic Authorities) Regulations 2017 which was extended to include public sector</w:t>
      </w:r>
      <w:r w:rsidR="004C730A">
        <w:t xml:space="preserve">, requires all organisation with 250 or more employees to report on their Gender Pay Gap. </w:t>
      </w:r>
      <w:r w:rsidR="006149CF">
        <w:t xml:space="preserve">This information should be displayed on the </w:t>
      </w:r>
      <w:r w:rsidR="00377481">
        <w:t>organisation’s</w:t>
      </w:r>
      <w:r w:rsidR="006149CF">
        <w:t xml:space="preserve"> website for 3 years and also uploaded to the Government</w:t>
      </w:r>
      <w:r w:rsidR="007C45AB">
        <w:t xml:space="preserve"> Portal. </w:t>
      </w:r>
    </w:p>
    <w:p w14:paraId="7D156842" w14:textId="79E894E1" w:rsidR="008E1F53" w:rsidRPr="008D1915" w:rsidRDefault="008E1F53" w:rsidP="00594F42">
      <w:pPr>
        <w:spacing w:line="240" w:lineRule="auto"/>
      </w:pPr>
      <w:r>
        <w:t xml:space="preserve">In the case of </w:t>
      </w:r>
      <w:r w:rsidRPr="008E1F53">
        <w:rPr>
          <w:i/>
          <w:iCs/>
        </w:rPr>
        <w:t>ASDA v Brierley &amp; Others 2021</w:t>
      </w:r>
      <w:r w:rsidR="008D1915">
        <w:rPr>
          <w:i/>
          <w:iCs/>
        </w:rPr>
        <w:t xml:space="preserve">, </w:t>
      </w:r>
      <w:r w:rsidR="008D1915">
        <w:t xml:space="preserve">Asda Retail workers, who were predominantly female, </w:t>
      </w:r>
      <w:r w:rsidR="00956AD5">
        <w:t>argued that they were paid less that ASDA’s distribution centre workers, who were predominantly men</w:t>
      </w:r>
      <w:r w:rsidR="004B2998">
        <w:t xml:space="preserve">, however the work was of equal value. The Supreme Court ruled unanimously in favour of the retail workers </w:t>
      </w:r>
      <w:r w:rsidR="00BD736F">
        <w:t>as they were valid comparators and that geographical separation does not prevent a comp</w:t>
      </w:r>
      <w:r w:rsidR="000C78FD">
        <w:t xml:space="preserve">arison as ASDA was responsible for both parties pay and conditions. </w:t>
      </w:r>
      <w:r w:rsidR="002D05CF">
        <w:t>This case in itself caused a rise in equal pay claims within retail and other sectors</w:t>
      </w:r>
      <w:r w:rsidR="00283837">
        <w:t xml:space="preserve"> (Daniels, 2022)</w:t>
      </w:r>
    </w:p>
    <w:p w14:paraId="4119D68E" w14:textId="575847AD" w:rsidR="00505CC9" w:rsidRDefault="00B367A6" w:rsidP="00594F42">
      <w:pPr>
        <w:spacing w:line="240" w:lineRule="auto"/>
      </w:pPr>
      <w:r>
        <w:t xml:space="preserve">I would advise that a Job Evaluation is conducted on the roles you wish for the male HCA’s to undertake which will help provide justification. Job evaluation helps reduce gender-based pay disparities and can highlight any discrepancies that can be rectified and also supports legal compliance.  </w:t>
      </w:r>
      <w:r w:rsidR="008E1F53">
        <w:t>All employee’s involved should receive</w:t>
      </w:r>
      <w:r w:rsidR="00536F68">
        <w:t xml:space="preserve"> clear communication on the decision to ensure transparency within the team. </w:t>
      </w:r>
    </w:p>
    <w:p w14:paraId="3493431F" w14:textId="392D3D0D" w:rsidR="008E1F53" w:rsidRDefault="00461ACF" w:rsidP="00594F42">
      <w:pPr>
        <w:spacing w:line="240" w:lineRule="auto"/>
      </w:pPr>
      <w:r>
        <w:t>If</w:t>
      </w:r>
      <w:r w:rsidR="008B103B">
        <w:t xml:space="preserve"> the correct process is not followed in this situation and justifiable reasoning given </w:t>
      </w:r>
      <w:r w:rsidR="00E5491A">
        <w:t xml:space="preserve">then equal pay claims could bring the trust reputational damage </w:t>
      </w:r>
      <w:r w:rsidR="00130792">
        <w:t xml:space="preserve">along with high costs to the trust as the court could order that back pay is paid to employees as far back as 5 years. </w:t>
      </w:r>
      <w:r w:rsidR="009E22A6">
        <w:t xml:space="preserve">It may also cause a revision of current pay restructure if required. </w:t>
      </w:r>
    </w:p>
    <w:p w14:paraId="3D316DD4" w14:textId="7A007EEC" w:rsidR="00666FB1" w:rsidRPr="00666FB1" w:rsidRDefault="007034F7" w:rsidP="00594F42">
      <w:pPr>
        <w:spacing w:line="240" w:lineRule="auto"/>
      </w:pPr>
      <w:r>
        <w:lastRenderedPageBreak/>
        <w:t xml:space="preserve">As you </w:t>
      </w:r>
      <w:r w:rsidR="0082001D">
        <w:t xml:space="preserve">have explained you </w:t>
      </w:r>
      <w:r>
        <w:t>are using surplus money to fund the uplift, the</w:t>
      </w:r>
      <w:r w:rsidR="00572AA2">
        <w:t>n you will</w:t>
      </w:r>
      <w:r w:rsidR="00FF647C">
        <w:t xml:space="preserve"> also</w:t>
      </w:r>
      <w:r w:rsidR="00572AA2">
        <w:t xml:space="preserve"> need to consider how you will fund this in future years</w:t>
      </w:r>
      <w:r w:rsidR="00FF647C">
        <w:t xml:space="preserve"> as these fund</w:t>
      </w:r>
      <w:r w:rsidR="00554243">
        <w:t>s</w:t>
      </w:r>
      <w:r w:rsidR="00FF647C">
        <w:t xml:space="preserve"> may not be there</w:t>
      </w:r>
      <w:r w:rsidR="0082001D">
        <w:t xml:space="preserve"> for the additional pay. </w:t>
      </w:r>
    </w:p>
    <w:p w14:paraId="35CD6251" w14:textId="67518392" w:rsidR="00594F42" w:rsidRDefault="00594F42" w:rsidP="00594F42">
      <w:pPr>
        <w:spacing w:line="240" w:lineRule="auto"/>
        <w:rPr>
          <w:rFonts w:ascii="Trebuchet MS" w:hAnsi="Trebuchet MS" w:cstheme="minorHAnsi"/>
          <w:b/>
          <w:bCs/>
          <w:color w:val="833C0B" w:themeColor="accent2" w:themeShade="80"/>
          <w:sz w:val="24"/>
          <w:szCs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 xml:space="preserve">(AC 3.1)    </w:t>
      </w:r>
    </w:p>
    <w:p w14:paraId="2890D560" w14:textId="09FA3D38" w:rsidR="00994FF0" w:rsidRDefault="0025446E" w:rsidP="00594F42">
      <w:pPr>
        <w:spacing w:line="240" w:lineRule="auto"/>
      </w:pPr>
      <w:r>
        <w:t>Constructive dismissal is</w:t>
      </w:r>
      <w:r w:rsidR="00AF3561">
        <w:t xml:space="preserve"> a result of a contractual breach by the employer</w:t>
      </w:r>
      <w:r w:rsidR="00193CEC">
        <w:t xml:space="preserve"> and the employee feels they have no option but to resign (ACAS, 2024a)</w:t>
      </w:r>
      <w:r w:rsidR="00AF3561">
        <w:t xml:space="preserve">. </w:t>
      </w:r>
      <w:r w:rsidR="00857B33">
        <w:t xml:space="preserve">The radiographer could </w:t>
      </w:r>
      <w:r w:rsidR="0072069B">
        <w:t>claim there as been a repudiatory breach of contract as the cha</w:t>
      </w:r>
      <w:r w:rsidR="00756584">
        <w:t>nge to his working hours i</w:t>
      </w:r>
      <w:r w:rsidR="00F40B4C">
        <w:t>s</w:t>
      </w:r>
      <w:r w:rsidR="00756584">
        <w:t xml:space="preserve"> an implied term of his employment contract. </w:t>
      </w:r>
      <w:r w:rsidR="003A2D8B">
        <w:t>The radiographer has then resigned as a result of this change</w:t>
      </w:r>
      <w:r w:rsidR="00A36C30">
        <w:t xml:space="preserve">, however the timing of the resignation is important as if they have continued to work for </w:t>
      </w:r>
      <w:r w:rsidR="00F40B4C">
        <w:t>a period</w:t>
      </w:r>
      <w:r w:rsidR="00A36C30">
        <w:t xml:space="preserve"> under the new terms,</w:t>
      </w:r>
      <w:r w:rsidR="00AE334D">
        <w:t xml:space="preserve"> this could be seen as accepting the new terms. </w:t>
      </w:r>
    </w:p>
    <w:p w14:paraId="5348A90D" w14:textId="1DBCF66D" w:rsidR="00AE334D" w:rsidRPr="00CC6241" w:rsidRDefault="0070551B" w:rsidP="00594F42">
      <w:pPr>
        <w:spacing w:line="240" w:lineRule="auto"/>
      </w:pPr>
      <w:r>
        <w:t xml:space="preserve">The radiographer </w:t>
      </w:r>
      <w:r w:rsidR="00F17642">
        <w:t>must have a minimum of 2 years service to bring a</w:t>
      </w:r>
      <w:r w:rsidR="002442F1">
        <w:t xml:space="preserve"> constructive dismissal</w:t>
      </w:r>
      <w:r w:rsidR="00F17642">
        <w:t xml:space="preserve"> claim and </w:t>
      </w:r>
      <w:r>
        <w:t xml:space="preserve">will have 3 months minus one day from the date of his resignation to </w:t>
      </w:r>
      <w:r w:rsidR="002442F1">
        <w:t xml:space="preserve">do so. </w:t>
      </w:r>
    </w:p>
    <w:p w14:paraId="2B97E495" w14:textId="26C34250" w:rsidR="00994FF0" w:rsidRDefault="00EB1547" w:rsidP="00594F42">
      <w:pPr>
        <w:spacing w:line="240" w:lineRule="auto"/>
      </w:pPr>
      <w:r>
        <w:t xml:space="preserve">To </w:t>
      </w:r>
      <w:r w:rsidR="00C656FC">
        <w:t xml:space="preserve">enable you to manage the change to the radiographer’s working hours and reduce the likelihood of a constructive dismissal claim, then a consultation should have been carried out </w:t>
      </w:r>
      <w:r w:rsidR="00915A3B">
        <w:t>with the employee and their representative. During the consultation an explanation would need to be given as to why the working hours need to change</w:t>
      </w:r>
      <w:r w:rsidR="00677A11">
        <w:t xml:space="preserve">, and for the employee to discuss any concerns. </w:t>
      </w:r>
      <w:r w:rsidR="006D4166">
        <w:t xml:space="preserve">The employee may </w:t>
      </w:r>
      <w:r w:rsidR="00F6461D">
        <w:t>have</w:t>
      </w:r>
      <w:r w:rsidR="006D4166">
        <w:t xml:space="preserve"> wished to negotiate terms</w:t>
      </w:r>
      <w:r w:rsidR="006A15E9">
        <w:t xml:space="preserve"> (GOV.UK, 2015).</w:t>
      </w:r>
      <w:r w:rsidR="006D4166">
        <w:t xml:space="preserve"> Reasonable notice should also be given to the employee </w:t>
      </w:r>
      <w:r w:rsidR="00DC2EEE">
        <w:t xml:space="preserve">for the change, the length of notice should be </w:t>
      </w:r>
      <w:r w:rsidR="00F912EE">
        <w:t>in relation to how significant the changes are.</w:t>
      </w:r>
      <w:r w:rsidR="00DC2EEE">
        <w:t xml:space="preserve"> </w:t>
      </w:r>
    </w:p>
    <w:p w14:paraId="40EFF33D" w14:textId="025657FC" w:rsidR="00E95534" w:rsidRDefault="00F91E1C" w:rsidP="00594F42">
      <w:pPr>
        <w:spacing w:line="240" w:lineRule="auto"/>
      </w:pPr>
      <w:r>
        <w:t>A claim of Con</w:t>
      </w:r>
      <w:r w:rsidR="00C32F24">
        <w:t xml:space="preserve">structive Dismissal was upheld in the </w:t>
      </w:r>
      <w:r w:rsidR="00C32F24" w:rsidRPr="00292929">
        <w:rPr>
          <w:i/>
          <w:iCs/>
        </w:rPr>
        <w:t xml:space="preserve">West Sussex County Council v Austin </w:t>
      </w:r>
      <w:r w:rsidR="00292929" w:rsidRPr="00292929">
        <w:rPr>
          <w:i/>
          <w:iCs/>
        </w:rPr>
        <w:t>(2014)</w:t>
      </w:r>
      <w:r w:rsidR="00292929">
        <w:rPr>
          <w:i/>
          <w:iCs/>
        </w:rPr>
        <w:t xml:space="preserve"> </w:t>
      </w:r>
      <w:r w:rsidR="00292929">
        <w:t xml:space="preserve">when the claimant was suspended following an accusation of harassment from another employee. The </w:t>
      </w:r>
      <w:r w:rsidR="00685537">
        <w:t>claimant was not provided with any information such as details of the allegation and who had made the allegation</w:t>
      </w:r>
      <w:r w:rsidR="008F6261">
        <w:t>, and was therefore not given the opportunity to respond to the a</w:t>
      </w:r>
      <w:r w:rsidR="0074335D">
        <w:t>llegations. They resigned claiming the employer had not followed a fair process and the claim of Constructive Dismissal was successful.</w:t>
      </w:r>
      <w:r w:rsidR="006652F1">
        <w:t xml:space="preserve"> This case highlights in importance of following a process </w:t>
      </w:r>
      <w:r w:rsidR="004D75F8">
        <w:t xml:space="preserve">as Austin’s claim may not have been upheld had </w:t>
      </w:r>
      <w:r w:rsidR="00E24E7B">
        <w:t xml:space="preserve">the employer ensured a fair process was followed. This is similar in the case of the Radiographer, </w:t>
      </w:r>
      <w:r w:rsidR="00BC777D">
        <w:t xml:space="preserve">a fair and transparent process should have been followed in line with the Trust’s policies and procedures. </w:t>
      </w:r>
    </w:p>
    <w:p w14:paraId="4F6A448F" w14:textId="736E1747" w:rsidR="0005393F" w:rsidRPr="00292929" w:rsidRDefault="0005393F" w:rsidP="00594F42">
      <w:pPr>
        <w:spacing w:line="240" w:lineRule="auto"/>
      </w:pPr>
      <w:r>
        <w:t xml:space="preserve">An Employment Tribunal Process always starts with ACAS Early Conciliation </w:t>
      </w:r>
      <w:r w:rsidR="00273D3B">
        <w:t>which helps resolve any workplace disputes prior to</w:t>
      </w:r>
      <w:r w:rsidR="001536B4">
        <w:t xml:space="preserve"> them reaching an Employment Tribunal. Early conciliation can last up to 6 weeks and pauses the time limit for making a tribunal claim during this </w:t>
      </w:r>
      <w:r w:rsidR="00176E07">
        <w:t>period</w:t>
      </w:r>
      <w:r w:rsidR="00B54840">
        <w:t xml:space="preserve"> (ACAS, 2025)</w:t>
      </w:r>
    </w:p>
    <w:p w14:paraId="66F0E42F" w14:textId="77777777" w:rsidR="00594F42" w:rsidRDefault="00594F42" w:rsidP="00594F42">
      <w:pPr>
        <w:spacing w:line="240" w:lineRule="auto"/>
        <w:rPr>
          <w:rFonts w:ascii="Trebuchet MS" w:hAnsi="Trebuchet MS"/>
          <w:b/>
          <w:bCs/>
        </w:rPr>
      </w:pPr>
    </w:p>
    <w:p w14:paraId="426ED3F6" w14:textId="1E9450D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3.2)</w:t>
      </w:r>
    </w:p>
    <w:p w14:paraId="3D9799E7" w14:textId="41BFCB06" w:rsidR="00572AA2" w:rsidRDefault="006224F4" w:rsidP="00594F42">
      <w:pPr>
        <w:spacing w:line="240" w:lineRule="auto"/>
      </w:pPr>
      <w:r>
        <w:t>As listed in the Employ</w:t>
      </w:r>
      <w:r w:rsidR="00203B44">
        <w:t>ment Rights Act 1996 r</w:t>
      </w:r>
      <w:r w:rsidR="00786708">
        <w:t xml:space="preserve">edundancy </w:t>
      </w:r>
      <w:r>
        <w:t>is one of fair reasons for dismissal</w:t>
      </w:r>
      <w:r w:rsidR="008962F1">
        <w:t xml:space="preserve">, if the reason for redundancy are attributed to one of three reasons. </w:t>
      </w:r>
      <w:r w:rsidR="005C4AE9">
        <w:t>The third reason would be applicable in this situation</w:t>
      </w:r>
      <w:r w:rsidR="001018FE">
        <w:t xml:space="preserve">, where an employees </w:t>
      </w:r>
      <w:r w:rsidR="003646C0">
        <w:t xml:space="preserve">who carry out a particular kind of work </w:t>
      </w:r>
      <w:r w:rsidR="008550F1">
        <w:t>has or is expected to cease</w:t>
      </w:r>
      <w:r w:rsidR="00C649EA">
        <w:t xml:space="preserve"> (Daniels, 2022)</w:t>
      </w:r>
    </w:p>
    <w:p w14:paraId="5C9268B2" w14:textId="5211130D" w:rsidR="008550F1" w:rsidRDefault="007D63AC" w:rsidP="00594F42">
      <w:pPr>
        <w:spacing w:line="240" w:lineRule="auto"/>
      </w:pPr>
      <w:r>
        <w:t>As you are looking at fifty</w:t>
      </w:r>
      <w:r w:rsidR="00786593">
        <w:t xml:space="preserve"> posts ceasing, </w:t>
      </w:r>
      <w:r w:rsidR="006E208A">
        <w:t>in line</w:t>
      </w:r>
      <w:r w:rsidR="00786593">
        <w:t xml:space="preserve"> with the T</w:t>
      </w:r>
      <w:r w:rsidR="006545C2">
        <w:t>rade Union and Labour Relations (Consolidation</w:t>
      </w:r>
      <w:r w:rsidR="002D6406">
        <w:t xml:space="preserve">) Act 1992, then </w:t>
      </w:r>
      <w:r w:rsidR="002F2F32">
        <w:t xml:space="preserve">a collective </w:t>
      </w:r>
      <w:r w:rsidR="002D6406">
        <w:t xml:space="preserve">consultation </w:t>
      </w:r>
      <w:r w:rsidR="00DD5423">
        <w:t xml:space="preserve">would be for a minimum of 30 days </w:t>
      </w:r>
      <w:r w:rsidR="004727F2">
        <w:t xml:space="preserve">and would </w:t>
      </w:r>
      <w:r w:rsidR="00C82301">
        <w:t>involved Trade Union Representatives or elected representatives</w:t>
      </w:r>
      <w:r w:rsidR="00CD2D2D">
        <w:t xml:space="preserve">, these consultations should start as soon as a Redundancy situation has been identified. </w:t>
      </w:r>
      <w:r w:rsidR="00C82301">
        <w:t>Completion of a HR1 form would also be required</w:t>
      </w:r>
      <w:r w:rsidR="00DD5423">
        <w:t>. HR1 For</w:t>
      </w:r>
      <w:r w:rsidR="004727F2">
        <w:t>m</w:t>
      </w:r>
      <w:r w:rsidR="00DD5423">
        <w:t xml:space="preserve">s are submitted online, it is a criminal offence if this form is not completed. </w:t>
      </w:r>
    </w:p>
    <w:p w14:paraId="31BD7C77" w14:textId="633F485C" w:rsidR="00ED3506" w:rsidRDefault="00870AEF" w:rsidP="00594F42">
      <w:pPr>
        <w:spacing w:line="240" w:lineRule="auto"/>
      </w:pPr>
      <w:r>
        <w:lastRenderedPageBreak/>
        <w:t xml:space="preserve">During the consultation period you will need to discuss </w:t>
      </w:r>
      <w:r w:rsidR="00847377">
        <w:t xml:space="preserve">the </w:t>
      </w:r>
      <w:r w:rsidR="001E23DC">
        <w:t>following and this information should be shared with all affected parties:</w:t>
      </w:r>
    </w:p>
    <w:p w14:paraId="6F6009CF" w14:textId="1BD3D97D" w:rsidR="001E23DC" w:rsidRDefault="001E23DC" w:rsidP="001E23DC">
      <w:pPr>
        <w:pStyle w:val="ListParagraph"/>
        <w:numPr>
          <w:ilvl w:val="0"/>
          <w:numId w:val="1"/>
        </w:numPr>
        <w:spacing w:line="240" w:lineRule="auto"/>
      </w:pPr>
      <w:r>
        <w:t>Reason for the redundancies</w:t>
      </w:r>
    </w:p>
    <w:p w14:paraId="4A5DCBC5" w14:textId="66BDDE72" w:rsidR="001E23DC" w:rsidRDefault="00A44A22" w:rsidP="001E23DC">
      <w:pPr>
        <w:pStyle w:val="ListParagraph"/>
        <w:numPr>
          <w:ilvl w:val="0"/>
          <w:numId w:val="1"/>
        </w:numPr>
        <w:spacing w:line="240" w:lineRule="auto"/>
      </w:pPr>
      <w:r>
        <w:t>Numbers of positions and job descriptions</w:t>
      </w:r>
    </w:p>
    <w:p w14:paraId="63802CB8" w14:textId="1CE7592C" w:rsidR="00A44A22" w:rsidRDefault="00A44A22" w:rsidP="001E23DC">
      <w:pPr>
        <w:pStyle w:val="ListParagraph"/>
        <w:numPr>
          <w:ilvl w:val="0"/>
          <w:numId w:val="1"/>
        </w:numPr>
        <w:spacing w:line="240" w:lineRule="auto"/>
      </w:pPr>
      <w:r>
        <w:t xml:space="preserve">Total number of potential redundancies </w:t>
      </w:r>
    </w:p>
    <w:p w14:paraId="337A2218" w14:textId="2D50BF02" w:rsidR="00A44A22" w:rsidRDefault="00BD3CE6" w:rsidP="001E23DC">
      <w:pPr>
        <w:pStyle w:val="ListParagraph"/>
        <w:numPr>
          <w:ilvl w:val="0"/>
          <w:numId w:val="1"/>
        </w:numPr>
        <w:spacing w:line="240" w:lineRule="auto"/>
      </w:pPr>
      <w:r>
        <w:t>Proposed Selection Method</w:t>
      </w:r>
    </w:p>
    <w:p w14:paraId="11169DF8" w14:textId="5C3DDDB1" w:rsidR="00BD3CE6" w:rsidRDefault="00BD3CE6" w:rsidP="001E23DC">
      <w:pPr>
        <w:pStyle w:val="ListParagraph"/>
        <w:numPr>
          <w:ilvl w:val="0"/>
          <w:numId w:val="1"/>
        </w:numPr>
        <w:spacing w:line="240" w:lineRule="auto"/>
      </w:pPr>
      <w:r>
        <w:t>The process explained</w:t>
      </w:r>
    </w:p>
    <w:p w14:paraId="79DD6F12" w14:textId="301A8CAA" w:rsidR="00ED3506" w:rsidRDefault="00BD3CE6" w:rsidP="00594F42">
      <w:pPr>
        <w:pStyle w:val="ListParagraph"/>
        <w:numPr>
          <w:ilvl w:val="0"/>
          <w:numId w:val="1"/>
        </w:numPr>
        <w:spacing w:line="240" w:lineRule="auto"/>
      </w:pPr>
      <w:r>
        <w:t xml:space="preserve">Redundancy pay Calculations. </w:t>
      </w:r>
    </w:p>
    <w:p w14:paraId="233C7B17" w14:textId="65B28F72" w:rsidR="001E23DC" w:rsidRDefault="005E2420" w:rsidP="00594F42">
      <w:pPr>
        <w:spacing w:line="240" w:lineRule="auto"/>
      </w:pPr>
      <w:r>
        <w:t xml:space="preserve">Failing to engage in meaningful consultations and dismissing </w:t>
      </w:r>
      <w:r w:rsidR="00BF11A6">
        <w:t xml:space="preserve"> employees could lead to</w:t>
      </w:r>
      <w:r w:rsidR="002216C3">
        <w:t xml:space="preserve"> a Protected Award. </w:t>
      </w:r>
      <w:r w:rsidR="00C01CE8">
        <w:t xml:space="preserve">An employment tribunal can award up to 90 days gross pay per employee affected. </w:t>
      </w:r>
      <w:r w:rsidR="00BA35C9">
        <w:t>A protected award can still be aw</w:t>
      </w:r>
      <w:r w:rsidR="001C0A72">
        <w:t xml:space="preserve">arded even if the redundancies are fair but </w:t>
      </w:r>
      <w:r w:rsidR="008C73F7">
        <w:t>timely, meaningful consultation was not carried out</w:t>
      </w:r>
      <w:r w:rsidR="00372002">
        <w:t xml:space="preserve"> (Daniels, 2022)</w:t>
      </w:r>
    </w:p>
    <w:p w14:paraId="42913474" w14:textId="280B7048" w:rsidR="004727F2" w:rsidRDefault="00A748FD" w:rsidP="00594F42">
      <w:pPr>
        <w:spacing w:line="240" w:lineRule="auto"/>
      </w:pPr>
      <w:r>
        <w:t xml:space="preserve">In the case </w:t>
      </w:r>
      <w:r w:rsidRPr="00A748FD">
        <w:rPr>
          <w:i/>
          <w:iCs/>
        </w:rPr>
        <w:t>E Ivor Hugh Educational Foundation V Morris (2015)</w:t>
      </w:r>
      <w:r w:rsidR="00483091" w:rsidRPr="00A748FD">
        <w:rPr>
          <w:i/>
          <w:iCs/>
        </w:rPr>
        <w:t xml:space="preserve"> </w:t>
      </w:r>
      <w:r w:rsidR="00E96CBC">
        <w:t xml:space="preserve">the employer failed to engage in a meaningful consultation </w:t>
      </w:r>
      <w:r w:rsidR="000E1526">
        <w:t>with the employees, therefore</w:t>
      </w:r>
      <w:r w:rsidR="00232296">
        <w:t xml:space="preserve"> the</w:t>
      </w:r>
      <w:r w:rsidR="000E1526">
        <w:t xml:space="preserve"> Judge </w:t>
      </w:r>
      <w:r w:rsidR="00235F35">
        <w:t xml:space="preserve">concluded the dismissals were unfair. </w:t>
      </w:r>
      <w:r w:rsidR="00163D9A">
        <w:t xml:space="preserve">Failure to consult can result in protective awards and unfair dismissal claims. </w:t>
      </w:r>
    </w:p>
    <w:p w14:paraId="0701E132" w14:textId="43D637CB" w:rsidR="00E85C40" w:rsidRDefault="00E85C40" w:rsidP="00594F42">
      <w:pPr>
        <w:spacing w:line="240" w:lineRule="auto"/>
      </w:pPr>
      <w:r>
        <w:t xml:space="preserve">You must use a clear and transparent </w:t>
      </w:r>
      <w:r w:rsidR="00E43076">
        <w:t>selection criteria</w:t>
      </w:r>
      <w:r w:rsidR="00982ACD">
        <w:t xml:space="preserve"> such as a scoring matrix </w:t>
      </w:r>
      <w:r w:rsidR="00D7573D">
        <w:t>for Skills, Qualifications, Experience. You can also consider Work performance and Disciplinary records. Therefore</w:t>
      </w:r>
      <w:r w:rsidR="007511AB">
        <w:t xml:space="preserve">, you are unable to select employees just based on poor performance, </w:t>
      </w:r>
      <w:r w:rsidR="006F76D7">
        <w:t xml:space="preserve">however </w:t>
      </w:r>
      <w:r w:rsidR="007511AB">
        <w:t xml:space="preserve">you will be </w:t>
      </w:r>
      <w:r w:rsidR="006F76D7">
        <w:t xml:space="preserve"> able to consider it alongside</w:t>
      </w:r>
      <w:r w:rsidR="007511AB">
        <w:t xml:space="preserve"> o</w:t>
      </w:r>
      <w:r w:rsidR="00AC5862">
        <w:t xml:space="preserve">ther criteria, ensuring is it fair and objective. </w:t>
      </w:r>
    </w:p>
    <w:p w14:paraId="30F368AA" w14:textId="313A6681" w:rsidR="004508F0" w:rsidRPr="00E96CBC" w:rsidRDefault="004508F0" w:rsidP="00594F42">
      <w:pPr>
        <w:spacing w:line="240" w:lineRule="auto"/>
      </w:pPr>
      <w:r>
        <w:t>I would also advise that you explore alternatives such as voluntary redundancies, there may be employees who wish to apply</w:t>
      </w:r>
      <w:r w:rsidR="00F4069D">
        <w:t>, for example if they are nearing retirement age. Consideration should also be given to red</w:t>
      </w:r>
      <w:r w:rsidR="001901B3">
        <w:t xml:space="preserve">eployment within the trust as the employees could have transferrable skills that could </w:t>
      </w:r>
      <w:r w:rsidR="004878C5">
        <w:t xml:space="preserve">utilised within others areas in the Trust that have vacancies. </w:t>
      </w:r>
    </w:p>
    <w:p w14:paraId="442F1FF2" w14:textId="14184136" w:rsidR="00594F42" w:rsidRPr="00666FB1" w:rsidRDefault="003637AC" w:rsidP="00594F42">
      <w:pPr>
        <w:spacing w:line="240" w:lineRule="auto"/>
      </w:pPr>
      <w:r w:rsidRPr="00BF58E8">
        <w:t>Failure to explore</w:t>
      </w:r>
      <w:r w:rsidR="00915EC5" w:rsidRPr="00BF58E8">
        <w:t xml:space="preserve"> alternatives </w:t>
      </w:r>
      <w:r w:rsidR="00361AE6" w:rsidRPr="00BF58E8">
        <w:t xml:space="preserve">and consult effectively with employees may be deemed automatically unfair dismissal as highlighted in the </w:t>
      </w:r>
      <w:r w:rsidR="00BF58E8" w:rsidRPr="00BF58E8">
        <w:rPr>
          <w:i/>
          <w:iCs/>
        </w:rPr>
        <w:t xml:space="preserve">Middlesbrough Borough Council v </w:t>
      </w:r>
      <w:r w:rsidR="00FF4EE1">
        <w:rPr>
          <w:i/>
          <w:iCs/>
        </w:rPr>
        <w:t>Transport and General Workers Union (</w:t>
      </w:r>
      <w:r w:rsidR="00BF58E8" w:rsidRPr="00BF58E8">
        <w:rPr>
          <w:i/>
          <w:iCs/>
        </w:rPr>
        <w:t>TGWU</w:t>
      </w:r>
      <w:r w:rsidR="00FF4EE1">
        <w:rPr>
          <w:i/>
          <w:iCs/>
        </w:rPr>
        <w:t>)</w:t>
      </w:r>
      <w:r w:rsidR="00BF58E8" w:rsidRPr="00BF58E8">
        <w:rPr>
          <w:i/>
          <w:iCs/>
        </w:rPr>
        <w:t xml:space="preserve"> 2002</w:t>
      </w:r>
      <w:r w:rsidR="00FF4EE1">
        <w:rPr>
          <w:i/>
          <w:iCs/>
        </w:rPr>
        <w:t>.</w:t>
      </w:r>
    </w:p>
    <w:p w14:paraId="5EE956DC" w14:textId="66246AB5" w:rsidR="00594F42" w:rsidRPr="00666FB1" w:rsidRDefault="00594F42" w:rsidP="00594F42">
      <w:pPr>
        <w:spacing w:line="240" w:lineRule="auto"/>
        <w:rPr>
          <w:rFonts w:ascii="Trebuchet MS" w:hAnsi="Trebuchet MS"/>
          <w:b/>
          <w:bCs/>
          <w:sz w:val="24"/>
        </w:rPr>
      </w:pPr>
      <w:r w:rsidRPr="00666FB1">
        <w:rPr>
          <w:rFonts w:ascii="Trebuchet MS" w:hAnsi="Trebuchet MS" w:cstheme="minorHAnsi"/>
          <w:b/>
          <w:bCs/>
          <w:sz w:val="24"/>
        </w:rPr>
        <w:t xml:space="preserve"> (AC 3.3) </w:t>
      </w:r>
      <w:r w:rsidRPr="00666FB1">
        <w:rPr>
          <w:rFonts w:ascii="Trebuchet MS" w:hAnsi="Trebuchet MS"/>
          <w:b/>
          <w:bCs/>
          <w:sz w:val="24"/>
        </w:rPr>
        <w:t xml:space="preserve">  </w:t>
      </w:r>
    </w:p>
    <w:p w14:paraId="2F3FA189" w14:textId="412E32D7" w:rsidR="00AC40D3" w:rsidRPr="00520D23" w:rsidRDefault="003100A5" w:rsidP="00594F42">
      <w:pPr>
        <w:spacing w:line="240" w:lineRule="auto"/>
      </w:pPr>
      <w:r>
        <w:t>TUPE occurs w</w:t>
      </w:r>
      <w:r w:rsidR="0070113D">
        <w:t>hen a business transfer or a service provision is changed</w:t>
      </w:r>
      <w:r w:rsidR="005C0950">
        <w:t>, as we are the employer that</w:t>
      </w:r>
      <w:r w:rsidR="00637809">
        <w:t xml:space="preserve"> the provision is transferring to then we would be liable for managing the TUPE transfer, ensure we consult and inform all the employees affected. </w:t>
      </w:r>
      <w:r w:rsidR="00520D23">
        <w:t>The employees that are transferring over to</w:t>
      </w:r>
      <w:r w:rsidR="001731FB">
        <w:t xml:space="preserve"> our Trust </w:t>
      </w:r>
      <w:r w:rsidR="00997D2B">
        <w:t xml:space="preserve">would do so </w:t>
      </w:r>
      <w:r w:rsidR="001731FB">
        <w:t>under their current terms and conditions o</w:t>
      </w:r>
      <w:r w:rsidR="00997D2B">
        <w:t>f</w:t>
      </w:r>
      <w:r w:rsidR="001731FB">
        <w:t xml:space="preserve"> employment. </w:t>
      </w:r>
      <w:r w:rsidR="001B1530">
        <w:t>They would also carry the continuity of service</w:t>
      </w:r>
      <w:r w:rsidR="004E4B6D">
        <w:t xml:space="preserve"> and holiday entitlement</w:t>
      </w:r>
      <w:r w:rsidR="001B1530">
        <w:t xml:space="preserve">. We would be unable to change their </w:t>
      </w:r>
      <w:r w:rsidR="00FF3F7C">
        <w:t>Terms and Conditions unless there is a valid E</w:t>
      </w:r>
      <w:r w:rsidR="00E93211">
        <w:t>conomic, Technical or Organisational (ETO) reason</w:t>
      </w:r>
      <w:r w:rsidR="000671F2">
        <w:t xml:space="preserve"> and it is justified</w:t>
      </w:r>
      <w:r w:rsidR="00751979">
        <w:t xml:space="preserve"> (GOV.UK, </w:t>
      </w:r>
      <w:r w:rsidR="00224672">
        <w:t>2023)</w:t>
      </w:r>
    </w:p>
    <w:p w14:paraId="1ADEEAF8" w14:textId="417FE2BA" w:rsidR="00AC40D3" w:rsidRDefault="00121DA5" w:rsidP="00594F42">
      <w:pPr>
        <w:spacing w:line="240" w:lineRule="auto"/>
      </w:pPr>
      <w:r>
        <w:t>All employees affected by the TUPE transfer</w:t>
      </w:r>
      <w:r w:rsidR="007C0D58">
        <w:t>, both within our pharmacy and the other pharmacy,</w:t>
      </w:r>
      <w:r>
        <w:t xml:space="preserve"> </w:t>
      </w:r>
      <w:r w:rsidR="007C0D58">
        <w:t>have the right to be consulted and informed o</w:t>
      </w:r>
      <w:r w:rsidR="00585D0A">
        <w:t>f the transfer prior to it taking affect. We must provide the reason for the transfer,</w:t>
      </w:r>
      <w:r w:rsidR="00937718">
        <w:t xml:space="preserve"> discuss any changes to their working conditions and the potential impact on their current roles. </w:t>
      </w:r>
      <w:r w:rsidR="00C81890">
        <w:t xml:space="preserve">Consultation with Trade Union Representatives </w:t>
      </w:r>
      <w:r w:rsidR="0021323D">
        <w:t>will need to happen imminently, as soon as the TUPE has been proposed</w:t>
      </w:r>
      <w:r w:rsidR="00224672">
        <w:t xml:space="preserve"> (GOV.UK, 2023)</w:t>
      </w:r>
      <w:r w:rsidR="00FB2D2A">
        <w:t>. There is n</w:t>
      </w:r>
      <w:r w:rsidR="00DA1847">
        <w:t>o fixed consultation period for TUPE,</w:t>
      </w:r>
      <w:r w:rsidR="00A02DD1">
        <w:t xml:space="preserve"> conversations with all employees affected should be meaningful. </w:t>
      </w:r>
    </w:p>
    <w:p w14:paraId="5D4B0CBA" w14:textId="7A872636" w:rsidR="001E6C9E" w:rsidRDefault="001E6C9E" w:rsidP="00594F42">
      <w:pPr>
        <w:spacing w:line="240" w:lineRule="auto"/>
      </w:pPr>
      <w:r>
        <w:t xml:space="preserve">If you fail to consult with employees a tribunal </w:t>
      </w:r>
      <w:r w:rsidR="005D6A8F">
        <w:t xml:space="preserve">can direct a protective award which is up to 13 weeks gross pay per employee affected. </w:t>
      </w:r>
      <w:r w:rsidR="00B3684E">
        <w:t xml:space="preserve">If you do not handle the TUPE transfer correctly, this could also cause reputational damage for the hospital. </w:t>
      </w:r>
      <w:r w:rsidR="005D6A8F">
        <w:t xml:space="preserve"> </w:t>
      </w:r>
    </w:p>
    <w:p w14:paraId="7078B6EA" w14:textId="2C7C91A0" w:rsidR="00481132" w:rsidRDefault="00481132" w:rsidP="00594F42">
      <w:pPr>
        <w:spacing w:line="240" w:lineRule="auto"/>
      </w:pPr>
      <w:r>
        <w:lastRenderedPageBreak/>
        <w:t>If employees refuse the tran</w:t>
      </w:r>
      <w:r w:rsidR="00930973">
        <w:t>sfer then they could potential</w:t>
      </w:r>
      <w:r w:rsidR="002F32D3">
        <w:t>ly</w:t>
      </w:r>
      <w:r w:rsidR="00930973">
        <w:t xml:space="preserve"> have their employment terminated on the date </w:t>
      </w:r>
      <w:r w:rsidR="0045094B">
        <w:t xml:space="preserve">of transfers, and would have no entitlement to redundancy. </w:t>
      </w:r>
      <w:r w:rsidR="00F71656">
        <w:t xml:space="preserve"> </w:t>
      </w:r>
      <w:r w:rsidR="00FF2375">
        <w:t xml:space="preserve">They also do not have a right to stay at their current employment either. </w:t>
      </w:r>
    </w:p>
    <w:p w14:paraId="1CCA2C12" w14:textId="4BF2A5D2" w:rsidR="001062FB" w:rsidRDefault="001062FB" w:rsidP="00594F42">
      <w:pPr>
        <w:spacing w:line="240" w:lineRule="auto"/>
      </w:pPr>
      <w:r>
        <w:t xml:space="preserve">In the case of </w:t>
      </w:r>
      <w:r w:rsidR="00C12087">
        <w:t>Taylor V Connex South Eastern Ltd 200</w:t>
      </w:r>
      <w:r w:rsidR="0045751A">
        <w:t xml:space="preserve">0, following a TUPE transfer the employers made a slight amendment to their Terms and Conditions. The Employees refused the change </w:t>
      </w:r>
      <w:r w:rsidR="00A53D3C">
        <w:t xml:space="preserve"> and were dismissed. A EAT ruled unfair dismissal </w:t>
      </w:r>
      <w:r w:rsidR="002323DC">
        <w:t xml:space="preserve">because it was in relation to the transfer. </w:t>
      </w:r>
    </w:p>
    <w:p w14:paraId="13305FB5" w14:textId="3FC02506" w:rsidR="006C5102" w:rsidRDefault="00BE73AF" w:rsidP="00594F42">
      <w:pPr>
        <w:spacing w:line="240" w:lineRule="auto"/>
      </w:pPr>
      <w:r>
        <w:t>There has been a recent change to TUPE Consultation</w:t>
      </w:r>
      <w:r w:rsidR="00B92413">
        <w:t>, with effect from 1</w:t>
      </w:r>
      <w:r w:rsidR="00B92413" w:rsidRPr="00B92413">
        <w:rPr>
          <w:vertAlign w:val="superscript"/>
        </w:rPr>
        <w:t>st</w:t>
      </w:r>
      <w:r w:rsidR="00B92413">
        <w:t xml:space="preserve"> July 2024 employers will be able to consult directly with employees if they are no representatives in place</w:t>
      </w:r>
      <w:r w:rsidR="006A1AF4">
        <w:t>,</w:t>
      </w:r>
      <w:r w:rsidR="000650A0">
        <w:t xml:space="preserve"> if the transfer affects less than 10 employees, or the business has fewer than 50 employees</w:t>
      </w:r>
      <w:r w:rsidR="00F20CD7">
        <w:t xml:space="preserve">. This stops </w:t>
      </w:r>
      <w:r w:rsidR="006A1AF4">
        <w:t>the</w:t>
      </w:r>
      <w:r w:rsidR="00F20CD7">
        <w:t xml:space="preserve"> need to employees to elect a representative, if one is not already in place. </w:t>
      </w:r>
      <w:r w:rsidR="00B92413">
        <w:t xml:space="preserve"> </w:t>
      </w:r>
    </w:p>
    <w:p w14:paraId="0DEBC409" w14:textId="5DF8EFBD" w:rsidR="00594F42" w:rsidRPr="00666FB1" w:rsidRDefault="007657BC" w:rsidP="00594F42">
      <w:pPr>
        <w:spacing w:line="240" w:lineRule="auto"/>
      </w:pPr>
      <w:r>
        <w:t xml:space="preserve">During consultation with the representatives you will need to </w:t>
      </w:r>
      <w:r w:rsidR="00490C0D">
        <w:t>inform them that a transfer is going to take place, the reason for the transfer and when it is expected to take place</w:t>
      </w:r>
      <w:r w:rsidR="00C15D6D">
        <w:t>, along with the implications for the employees affected. You will also need to highlight the actions the e</w:t>
      </w:r>
      <w:r w:rsidR="00167002">
        <w:t>mployer and transferee expect to take in relation to the employees that are affected (Danie</w:t>
      </w:r>
      <w:r w:rsidR="00A40B9F">
        <w:t>ls, 2022)</w:t>
      </w:r>
    </w:p>
    <w:p w14:paraId="28CC36B5" w14:textId="3F599FA6" w:rsidR="00594F42" w:rsidRDefault="00594F42" w:rsidP="00594F42">
      <w:pPr>
        <w:spacing w:line="240" w:lineRule="auto"/>
        <w:rPr>
          <w:rFonts w:ascii="Trebuchet MS" w:hAnsi="Trebuchet MS" w:cstheme="minorHAnsi"/>
          <w:b/>
          <w:bCs/>
          <w:sz w:val="24"/>
        </w:rPr>
      </w:pPr>
      <w:r>
        <w:rPr>
          <w:rFonts w:ascii="Trebuchet MS" w:hAnsi="Trebuchet MS" w:cstheme="minorHAnsi"/>
          <w:b/>
          <w:bCs/>
          <w:color w:val="833C0B" w:themeColor="accent2" w:themeShade="80"/>
          <w:sz w:val="24"/>
        </w:rPr>
        <w:t xml:space="preserve"> </w:t>
      </w:r>
      <w:r w:rsidRPr="00875DE3">
        <w:rPr>
          <w:rFonts w:ascii="Trebuchet MS" w:hAnsi="Trebuchet MS" w:cstheme="minorHAnsi"/>
          <w:b/>
          <w:bCs/>
          <w:sz w:val="24"/>
          <w:highlight w:val="red"/>
        </w:rPr>
        <w:t>(AC 4.1)</w:t>
      </w:r>
    </w:p>
    <w:p w14:paraId="187354B2" w14:textId="27289B93" w:rsidR="00BF1BE0" w:rsidRPr="00552ABA" w:rsidRDefault="00B3432E" w:rsidP="00594F42">
      <w:pPr>
        <w:spacing w:line="240" w:lineRule="auto"/>
      </w:pPr>
      <w:r w:rsidRPr="00552ABA">
        <w:t>Calculations for holiday pay are guided by the Employment Rights Act 1996</w:t>
      </w:r>
      <w:r w:rsidR="00E81253" w:rsidRPr="00552ABA">
        <w:t xml:space="preserve"> which outlines that </w:t>
      </w:r>
      <w:r w:rsidR="00C35034" w:rsidRPr="00552ABA">
        <w:t>a worker should receive the same pay when they are on holiday</w:t>
      </w:r>
      <w:r w:rsidR="00B02E81" w:rsidRPr="00552ABA">
        <w:t xml:space="preserve"> as when they are in work. </w:t>
      </w:r>
      <w:r w:rsidR="00317AA3" w:rsidRPr="00FC6761">
        <w:rPr>
          <w:color w:val="EE0000"/>
        </w:rPr>
        <w:t>E</w:t>
      </w:r>
      <w:r w:rsidR="00905E68" w:rsidRPr="00FC6761">
        <w:rPr>
          <w:color w:val="EE0000"/>
        </w:rPr>
        <w:t xml:space="preserve">mployees are entitled to 5.6 weeks paid annual leave and the </w:t>
      </w:r>
      <w:r w:rsidR="00905E68">
        <w:t>h</w:t>
      </w:r>
      <w:r w:rsidR="00B02E81" w:rsidRPr="00552ABA">
        <w:t xml:space="preserve">oliday pay must also include any additional allowances that the employee might receive for </w:t>
      </w:r>
      <w:r w:rsidR="002539C4" w:rsidRPr="00552ABA">
        <w:t>additional responsibilities or length of service</w:t>
      </w:r>
      <w:r w:rsidR="003B5894" w:rsidRPr="00552ABA">
        <w:t>, it should also consider any regular overtime during the last 12 months</w:t>
      </w:r>
      <w:r w:rsidR="001C7908" w:rsidRPr="00552ABA">
        <w:t xml:space="preserve"> (ACAS,2025a).</w:t>
      </w:r>
    </w:p>
    <w:p w14:paraId="6863CC7A" w14:textId="49E1980D" w:rsidR="00B21015" w:rsidRPr="00552ABA" w:rsidRDefault="00570EF8" w:rsidP="00594F42">
      <w:pPr>
        <w:spacing w:line="240" w:lineRule="auto"/>
      </w:pPr>
      <w:r w:rsidRPr="00552ABA">
        <w:t xml:space="preserve">There has been a recent change in the </w:t>
      </w:r>
      <w:r w:rsidR="000D4E28" w:rsidRPr="00552ABA">
        <w:t>Working Time Regulations</w:t>
      </w:r>
      <w:r w:rsidRPr="00552ABA">
        <w:t xml:space="preserve"> 2023 </w:t>
      </w:r>
      <w:r w:rsidR="00F44324" w:rsidRPr="00552ABA">
        <w:t>regarding</w:t>
      </w:r>
      <w:r w:rsidRPr="00552ABA">
        <w:t xml:space="preserve"> how </w:t>
      </w:r>
      <w:r w:rsidR="003C35D1" w:rsidRPr="00552ABA">
        <w:t xml:space="preserve">holiday pay is calculated for irregular and part time workers. </w:t>
      </w:r>
      <w:r w:rsidR="00E14853" w:rsidRPr="00552ABA">
        <w:t xml:space="preserve">An irregular worker is defined as </w:t>
      </w:r>
      <w:r w:rsidR="00650D8C" w:rsidRPr="00552ABA">
        <w:t>a worker who’s paid hours are mostly variable</w:t>
      </w:r>
      <w:r w:rsidR="003F6576" w:rsidRPr="00552ABA">
        <w:t xml:space="preserve"> in each pay period, the nurse bank staff would fall into this category. </w:t>
      </w:r>
      <w:r w:rsidR="005817BB" w:rsidRPr="00552ABA">
        <w:t xml:space="preserve">The change is implemented for the leave years beginning on </w:t>
      </w:r>
      <w:r w:rsidR="00636A69" w:rsidRPr="00552ABA">
        <w:t>or after 1</w:t>
      </w:r>
      <w:r w:rsidR="00636A69" w:rsidRPr="00552ABA">
        <w:rPr>
          <w:vertAlign w:val="superscript"/>
        </w:rPr>
        <w:t>st</w:t>
      </w:r>
      <w:r w:rsidR="00636A69" w:rsidRPr="00552ABA">
        <w:t xml:space="preserve"> April 2024, and the holiday pay will be calculated at 12.07% of hours worked during the pay period. </w:t>
      </w:r>
      <w:r w:rsidR="006F778F" w:rsidRPr="00552ABA">
        <w:t xml:space="preserve">This figure is based on </w:t>
      </w:r>
      <w:r w:rsidR="00122AD5" w:rsidRPr="00552ABA">
        <w:t>the statutory minimum holiday entitlement which is 5.6 weeks</w:t>
      </w:r>
      <w:r w:rsidR="00216D91" w:rsidRPr="00552ABA">
        <w:t xml:space="preserve"> (GOV.UK, 2024)</w:t>
      </w:r>
      <w:r w:rsidR="006C3D8B">
        <w:t xml:space="preserve">. The holiday pay element should be shown clearly on the employee’s payslip. </w:t>
      </w:r>
    </w:p>
    <w:p w14:paraId="485696E3" w14:textId="34A69B31" w:rsidR="00096025" w:rsidRDefault="00552ABA" w:rsidP="00594F42">
      <w:pPr>
        <w:spacing w:line="240" w:lineRule="auto"/>
      </w:pPr>
      <w:r w:rsidRPr="00552ABA">
        <w:t>This was following the Supreme Court ruling in the H</w:t>
      </w:r>
      <w:r w:rsidRPr="00552ABA">
        <w:rPr>
          <w:i/>
          <w:iCs/>
        </w:rPr>
        <w:t>arpur Trust V Brazel</w:t>
      </w:r>
      <w:r w:rsidRPr="00552ABA">
        <w:t xml:space="preserve"> case </w:t>
      </w:r>
      <w:r w:rsidRPr="00E33292">
        <w:rPr>
          <w:color w:val="EE0000"/>
        </w:rPr>
        <w:t>where</w:t>
      </w:r>
      <w:r w:rsidR="00603D0F" w:rsidRPr="00E33292">
        <w:rPr>
          <w:color w:val="EE0000"/>
        </w:rPr>
        <w:t xml:space="preserve"> Brazel argued that </w:t>
      </w:r>
      <w:r w:rsidR="00E33292" w:rsidRPr="00E33292">
        <w:rPr>
          <w:color w:val="EE0000"/>
        </w:rPr>
        <w:t>her holiday pay should be calculated</w:t>
      </w:r>
      <w:r w:rsidR="00E33292">
        <w:rPr>
          <w:color w:val="EE0000"/>
        </w:rPr>
        <w:t xml:space="preserve"> using average earnings over a period of time, rather than pro rat</w:t>
      </w:r>
      <w:r w:rsidR="00DB0843">
        <w:rPr>
          <w:color w:val="EE0000"/>
        </w:rPr>
        <w:t>e</w:t>
      </w:r>
      <w:r w:rsidR="00E33292">
        <w:rPr>
          <w:color w:val="EE0000"/>
        </w:rPr>
        <w:t xml:space="preserve">d </w:t>
      </w:r>
      <w:r w:rsidR="00DB0843">
        <w:rPr>
          <w:color w:val="EE0000"/>
        </w:rPr>
        <w:t>based on hours work. The court ruled in favour of Brazel</w:t>
      </w:r>
      <w:r w:rsidR="00366FC2">
        <w:rPr>
          <w:color w:val="EE0000"/>
        </w:rPr>
        <w:t>, that part-year workers are entitled to 5.6 days of paid annual leave</w:t>
      </w:r>
      <w:r w:rsidR="00370A50">
        <w:rPr>
          <w:color w:val="EE0000"/>
        </w:rPr>
        <w:t xml:space="preserve">, irrespective of how many weeks worked. Also that Holiday Pay </w:t>
      </w:r>
      <w:r w:rsidR="00A515AD">
        <w:rPr>
          <w:color w:val="EE0000"/>
        </w:rPr>
        <w:t>should be based on a 52 week period of average weekly earnings, excluding non-working weeks.</w:t>
      </w:r>
      <w:r w:rsidRPr="00552ABA">
        <w:t xml:space="preserve"> (</w:t>
      </w:r>
      <w:r w:rsidRPr="00552ABA">
        <w:rPr>
          <w:i/>
          <w:iCs/>
        </w:rPr>
        <w:t xml:space="preserve">Harpur Trust v Brazel, </w:t>
      </w:r>
      <w:r w:rsidRPr="00552ABA">
        <w:t>2025).</w:t>
      </w:r>
    </w:p>
    <w:p w14:paraId="04514857" w14:textId="44D98F95" w:rsidR="00594F42" w:rsidRDefault="002C134D" w:rsidP="00594F42">
      <w:pPr>
        <w:spacing w:line="240" w:lineRule="auto"/>
        <w:rPr>
          <w:strike/>
        </w:rPr>
      </w:pPr>
      <w:r w:rsidRPr="00096025">
        <w:rPr>
          <w:strike/>
        </w:rPr>
        <w:t>The change</w:t>
      </w:r>
      <w:r w:rsidR="00300884" w:rsidRPr="00096025">
        <w:rPr>
          <w:strike/>
        </w:rPr>
        <w:t xml:space="preserve"> was introduced following the</w:t>
      </w:r>
      <w:r w:rsidR="00084509" w:rsidRPr="00096025">
        <w:rPr>
          <w:strike/>
        </w:rPr>
        <w:t xml:space="preserve"> uncertainty after the</w:t>
      </w:r>
      <w:r w:rsidR="00300884" w:rsidRPr="00096025">
        <w:rPr>
          <w:strike/>
        </w:rPr>
        <w:t xml:space="preserve"> </w:t>
      </w:r>
      <w:r w:rsidR="00084509" w:rsidRPr="00096025">
        <w:rPr>
          <w:i/>
          <w:iCs/>
          <w:strike/>
        </w:rPr>
        <w:t>Harpur V Brazel case</w:t>
      </w:r>
      <w:r w:rsidRPr="00096025">
        <w:rPr>
          <w:strike/>
        </w:rPr>
        <w:t xml:space="preserve"> </w:t>
      </w:r>
      <w:r w:rsidR="00084509" w:rsidRPr="00096025">
        <w:rPr>
          <w:strike/>
        </w:rPr>
        <w:t xml:space="preserve">and </w:t>
      </w:r>
      <w:r w:rsidRPr="00096025">
        <w:rPr>
          <w:strike/>
        </w:rPr>
        <w:t>was intended to simplify the holiday pay and entit</w:t>
      </w:r>
      <w:r w:rsidR="00C86F19" w:rsidRPr="00096025">
        <w:rPr>
          <w:strike/>
        </w:rPr>
        <w:t xml:space="preserve">lement for irregular and part year workers. </w:t>
      </w:r>
      <w:r w:rsidR="00061DA6" w:rsidRPr="00096025">
        <w:rPr>
          <w:strike/>
        </w:rPr>
        <w:t>It ensures that irregular workers receive fair and proportionate holiday pay</w:t>
      </w:r>
      <w:r w:rsidR="00300884" w:rsidRPr="00096025">
        <w:rPr>
          <w:strike/>
        </w:rPr>
        <w:t xml:space="preserve">. </w:t>
      </w:r>
    </w:p>
    <w:p w14:paraId="25361A45" w14:textId="4A6A880E" w:rsidR="00096025" w:rsidRPr="00A60704" w:rsidRDefault="00096025" w:rsidP="00594F42">
      <w:pPr>
        <w:spacing w:line="240" w:lineRule="auto"/>
        <w:rPr>
          <w:color w:val="EE0000"/>
        </w:rPr>
      </w:pPr>
      <w:r w:rsidRPr="00A60704">
        <w:rPr>
          <w:color w:val="EE0000"/>
        </w:rPr>
        <w:t xml:space="preserve">These changes were introduced to provide transparency </w:t>
      </w:r>
      <w:r w:rsidR="001B3E6D" w:rsidRPr="00A60704">
        <w:rPr>
          <w:color w:val="EE0000"/>
        </w:rPr>
        <w:t xml:space="preserve">and simplification in areas such as holiday pay. </w:t>
      </w:r>
      <w:r w:rsidR="008D6B33" w:rsidRPr="00A60704">
        <w:rPr>
          <w:color w:val="EE0000"/>
        </w:rPr>
        <w:t>The calculation of 12.07% rolled up rate of earning was deemed unlawful in the European</w:t>
      </w:r>
      <w:r w:rsidR="00B97C23" w:rsidRPr="00A60704">
        <w:rPr>
          <w:color w:val="EE0000"/>
        </w:rPr>
        <w:t xml:space="preserve"> Court of Justice, however the UK Government have now chosen to adopt the approach</w:t>
      </w:r>
      <w:r w:rsidR="001A1866" w:rsidRPr="00A60704">
        <w:rPr>
          <w:color w:val="EE0000"/>
        </w:rPr>
        <w:t xml:space="preserve"> to simplify payroll and ensure accuracy</w:t>
      </w:r>
      <w:r w:rsidR="00CE1754">
        <w:rPr>
          <w:color w:val="EE0000"/>
        </w:rPr>
        <w:t xml:space="preserve"> (GOV UK, 2024)</w:t>
      </w:r>
    </w:p>
    <w:p w14:paraId="0461145D" w14:textId="26DFF949" w:rsidR="00CE1754" w:rsidRPr="00CE1754" w:rsidRDefault="00534E6D" w:rsidP="00594F42">
      <w:pPr>
        <w:spacing w:line="240" w:lineRule="auto"/>
        <w:rPr>
          <w:color w:val="EE0000"/>
        </w:rPr>
      </w:pPr>
      <w:r w:rsidRPr="00A60704">
        <w:rPr>
          <w:color w:val="EE0000"/>
        </w:rPr>
        <w:t xml:space="preserve">Employees are now also able to carry over any unused leave </w:t>
      </w:r>
      <w:r w:rsidR="00A60704" w:rsidRPr="00A60704">
        <w:rPr>
          <w:color w:val="EE0000"/>
        </w:rPr>
        <w:t xml:space="preserve">due to sickness or statutory leave, to the next </w:t>
      </w:r>
      <w:r w:rsidR="00A60704">
        <w:rPr>
          <w:color w:val="EE0000"/>
        </w:rPr>
        <w:t>leave year</w:t>
      </w:r>
      <w:r w:rsidR="00F53DBC">
        <w:rPr>
          <w:color w:val="EE0000"/>
        </w:rPr>
        <w:t>, and it is the responsibility of the employer to ensure that th</w:t>
      </w:r>
      <w:r w:rsidR="001941A5">
        <w:rPr>
          <w:color w:val="EE0000"/>
        </w:rPr>
        <w:t xml:space="preserve">eir employees are aware of their rights. </w:t>
      </w:r>
      <w:r w:rsidR="00931ED7">
        <w:rPr>
          <w:color w:val="EE0000"/>
        </w:rPr>
        <w:t xml:space="preserve">This gives clarity to the employees along with promoting ethical </w:t>
      </w:r>
      <w:r w:rsidR="009559C5">
        <w:rPr>
          <w:color w:val="EE0000"/>
        </w:rPr>
        <w:t xml:space="preserve">and compliant HR Practices. </w:t>
      </w:r>
    </w:p>
    <w:p w14:paraId="634BC9FB" w14:textId="4F76CB3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lastRenderedPageBreak/>
        <w:t xml:space="preserve"> (AC 4.2)</w:t>
      </w:r>
    </w:p>
    <w:p w14:paraId="63B912F1" w14:textId="14E0F6FC" w:rsidR="00863348" w:rsidRDefault="00C575F1" w:rsidP="00594F42">
      <w:pPr>
        <w:spacing w:line="240" w:lineRule="auto"/>
      </w:pPr>
      <w:r>
        <w:t>Maternity leave is</w:t>
      </w:r>
      <w:r w:rsidR="00920D72">
        <w:t xml:space="preserve"> for mother who have given birth and allows the mother t</w:t>
      </w:r>
      <w:r w:rsidR="00B94DF4">
        <w:t xml:space="preserve">o take up to 52 weeks off work, Statutory Maternity pay </w:t>
      </w:r>
      <w:r w:rsidR="00111A8E">
        <w:t xml:space="preserve">is paid up to 39 weeks. </w:t>
      </w:r>
      <w:r w:rsidR="004922D4">
        <w:t>A</w:t>
      </w:r>
      <w:r w:rsidR="00FE6A1C">
        <w:t>ll mothers</w:t>
      </w:r>
      <w:r w:rsidR="004922D4">
        <w:t xml:space="preserve"> must take Compulsory Maternity Leave, for the first two weeks after the baby is born. </w:t>
      </w:r>
      <w:r w:rsidR="00E71540">
        <w:t xml:space="preserve">You can chose to start your maternity leave from 11 weeks before the baby is due, or on the </w:t>
      </w:r>
      <w:r w:rsidR="004922D4">
        <w:t>day the baby is born</w:t>
      </w:r>
      <w:r w:rsidR="00E65EFD">
        <w:t xml:space="preserve"> (ACAS, </w:t>
      </w:r>
      <w:r w:rsidR="008C4692">
        <w:t>2025b)</w:t>
      </w:r>
      <w:r w:rsidR="00EF05C1">
        <w:t xml:space="preserve">. </w:t>
      </w:r>
    </w:p>
    <w:p w14:paraId="4BD48E53" w14:textId="6CC4784B" w:rsidR="000A4352" w:rsidRDefault="00DE63D7" w:rsidP="00594F42">
      <w:pPr>
        <w:spacing w:line="240" w:lineRule="auto"/>
      </w:pPr>
      <w:r>
        <w:t xml:space="preserve">Shared parental leave was introduced to allow childcare to </w:t>
      </w:r>
      <w:r w:rsidR="003C5A77">
        <w:t xml:space="preserve">be shared by both parents. It can be started after the mandatory 2 weeks maternity leave and </w:t>
      </w:r>
      <w:r w:rsidR="00597540">
        <w:t xml:space="preserve">allows 50 weeks of leave, 37 of the weeks are paid. Shared parental leave can be taken </w:t>
      </w:r>
      <w:r w:rsidR="00074BE4">
        <w:t xml:space="preserve">in blocks or both parents can be off on leave at the same time. To enable </w:t>
      </w:r>
      <w:r w:rsidR="00D33324">
        <w:t>Shared Parental Leave, that mother must first curtail her maternity leave, and then the remaining leave can be shared</w:t>
      </w:r>
      <w:r w:rsidR="000A4352">
        <w:t xml:space="preserve"> (ACAS, 2025</w:t>
      </w:r>
      <w:r w:rsidR="00E65EFD">
        <w:t>a</w:t>
      </w:r>
      <w:r w:rsidR="000A4352">
        <w:t>)</w:t>
      </w:r>
    </w:p>
    <w:p w14:paraId="1E738FA2" w14:textId="2BCD7864" w:rsidR="00177B15" w:rsidRDefault="00AF15D4" w:rsidP="00594F42">
      <w:pPr>
        <w:spacing w:line="240" w:lineRule="auto"/>
      </w:pPr>
      <w:r>
        <w:t xml:space="preserve">You would be required to give us 8 weeks written notice to curtail your maternity leave and you would also need to include </w:t>
      </w:r>
      <w:r w:rsidR="00863011">
        <w:t>your intention to share parental leave with your partner. Once you have curtailed your maternity leave, this can not be withdrawn</w:t>
      </w:r>
      <w:r w:rsidR="007A3F6B">
        <w:t xml:space="preserve"> (GOV.UK, 2015)</w:t>
      </w:r>
      <w:r w:rsidR="00903AD1">
        <w:t>.</w:t>
      </w:r>
      <w:r w:rsidR="00863011">
        <w:t xml:space="preserve"> </w:t>
      </w:r>
      <w:r w:rsidR="00091F18">
        <w:t>You would then need to inform us of the date that you wish to take Shared Parental Leave</w:t>
      </w:r>
      <w:r w:rsidR="00BC6CF0">
        <w:t>.</w:t>
      </w:r>
    </w:p>
    <w:p w14:paraId="1B44C8A0" w14:textId="06D32A6F" w:rsidR="00393CC7" w:rsidRDefault="00393CC7" w:rsidP="00594F42">
      <w:pPr>
        <w:spacing w:line="240" w:lineRule="auto"/>
      </w:pPr>
      <w:r>
        <w:t>To qualify for Shared Parental Leave</w:t>
      </w:r>
      <w:r w:rsidR="009D3D04">
        <w:t xml:space="preserve"> you must have worked for at least 26 weeks by the 15</w:t>
      </w:r>
      <w:r w:rsidR="009D3D04" w:rsidRPr="009D3D04">
        <w:rPr>
          <w:vertAlign w:val="superscript"/>
        </w:rPr>
        <w:t>th</w:t>
      </w:r>
      <w:r w:rsidR="009D3D04">
        <w:t xml:space="preserve"> week before the expected week of chil</w:t>
      </w:r>
      <w:r w:rsidR="000A1000">
        <w:t>dbirth. Your partner must of work for at least 26 weeks in the 66 weeks before the due date and received a salary of at least £30 per week in 13 of the 66 weeks</w:t>
      </w:r>
      <w:r w:rsidR="00A47235">
        <w:t xml:space="preserve"> (GOV.UK 2024b)</w:t>
      </w:r>
    </w:p>
    <w:p w14:paraId="4F1DB61E" w14:textId="094E9E7A" w:rsidR="00384EE4" w:rsidRDefault="00EA1343" w:rsidP="00594F42">
      <w:pPr>
        <w:spacing w:line="240" w:lineRule="auto"/>
      </w:pPr>
      <w:r>
        <w:t>On Shared Parental Leave you and your partner would</w:t>
      </w:r>
      <w:r w:rsidR="00EF6FEB">
        <w:t xml:space="preserve"> be entitled to the same amount as Statutory Maternity Pay but the entitlement is per </w:t>
      </w:r>
      <w:r w:rsidR="00CE70D3">
        <w:t xml:space="preserve">couple, not each individual. Any Statutory Maternity Pay you have already taken prior to curtailing your maternity leave, will be deducted from </w:t>
      </w:r>
      <w:r w:rsidR="00376120">
        <w:t>the Shared Parental Leave entitlement. You will also be entitled to 20 Shared Parental Leave In Touch Days.</w:t>
      </w:r>
    </w:p>
    <w:p w14:paraId="0BCF6FAE" w14:textId="433B0FA9" w:rsidR="00D33324" w:rsidRDefault="00D33324" w:rsidP="00594F42">
      <w:pPr>
        <w:spacing w:line="240" w:lineRule="auto"/>
      </w:pPr>
      <w:r>
        <w:t>It is difficult to advise on which option is</w:t>
      </w:r>
      <w:r w:rsidR="00D91554">
        <w:t xml:space="preserve"> more beneficial as everyone’s situation is different. </w:t>
      </w:r>
      <w:r w:rsidR="00460F17">
        <w:t xml:space="preserve">It most situations Maternity Leave and Shared Parental Leave are paid at the statutory rate, so there is a financial element to the decision. </w:t>
      </w:r>
    </w:p>
    <w:p w14:paraId="7E28CF5F" w14:textId="057C135D" w:rsidR="000E4A47" w:rsidRDefault="000E4A47" w:rsidP="00594F42">
      <w:pPr>
        <w:spacing w:line="240" w:lineRule="auto"/>
      </w:pPr>
      <w:r>
        <w:t xml:space="preserve">Both parents whilst either on Maternity Leave or Shared Parental leave will </w:t>
      </w:r>
      <w:r w:rsidR="00172B9F">
        <w:t xml:space="preserve">be subject to the same terms and conditions as if you were in work and your continuous service of employment would not be broken. </w:t>
      </w:r>
    </w:p>
    <w:p w14:paraId="6BDC10DE" w14:textId="06C632D0" w:rsidR="00833076" w:rsidRPr="00863348" w:rsidRDefault="00833076" w:rsidP="00594F42">
      <w:pPr>
        <w:spacing w:line="240" w:lineRule="auto"/>
      </w:pPr>
      <w:r>
        <w:t>The reason for introducing Shared Parental Leave was to provide more flexibility, quality and choice for</w:t>
      </w:r>
      <w:r w:rsidR="00A6354B">
        <w:t xml:space="preserve"> parents caring for the child during the first year. </w:t>
      </w:r>
      <w:r w:rsidR="00A108F6">
        <w:t>It helps support working parents in work life balance</w:t>
      </w:r>
      <w:r w:rsidR="00890949">
        <w:t xml:space="preserve">. </w:t>
      </w:r>
    </w:p>
    <w:p w14:paraId="0A7FD820" w14:textId="77777777" w:rsidR="00594F42" w:rsidRDefault="00594F42" w:rsidP="00594F42">
      <w:pPr>
        <w:spacing w:line="240" w:lineRule="auto"/>
        <w:rPr>
          <w:rFonts w:ascii="Trebuchet MS" w:hAnsi="Trebuchet MS"/>
          <w:b/>
          <w:bCs/>
        </w:rPr>
      </w:pPr>
    </w:p>
    <w:p w14:paraId="07B448C0" w14:textId="00155EA3" w:rsidR="005F290D" w:rsidRPr="00666FB1" w:rsidRDefault="00594F42" w:rsidP="00666FB1">
      <w:pPr>
        <w:spacing w:line="240" w:lineRule="auto"/>
        <w:rPr>
          <w:rFonts w:ascii="Trebuchet MS" w:hAnsi="Trebuchet MS" w:cstheme="minorHAnsi"/>
          <w:b/>
          <w:bCs/>
          <w:sz w:val="24"/>
        </w:rPr>
      </w:pPr>
      <w:r w:rsidRPr="00666FB1">
        <w:rPr>
          <w:rFonts w:ascii="Trebuchet MS" w:hAnsi="Trebuchet MS" w:cstheme="minorHAnsi"/>
          <w:b/>
          <w:bCs/>
          <w:sz w:val="24"/>
        </w:rPr>
        <w:t xml:space="preserve"> (AC 4.3)</w:t>
      </w:r>
    </w:p>
    <w:p w14:paraId="229F03E0" w14:textId="1E79F83D" w:rsidR="00870C4A" w:rsidRDefault="00204A10" w:rsidP="00594F42">
      <w:pPr>
        <w:pStyle w:val="Listparag"/>
        <w:spacing w:after="0" w:line="240" w:lineRule="auto"/>
        <w:rPr>
          <w:rFonts w:asciiTheme="minorHAnsi" w:hAnsiTheme="minorHAnsi"/>
        </w:rPr>
      </w:pPr>
      <w:r>
        <w:rPr>
          <w:rFonts w:asciiTheme="minorHAnsi" w:hAnsiTheme="minorHAnsi"/>
        </w:rPr>
        <w:t xml:space="preserve">Flexible Working Regulations 2014 </w:t>
      </w:r>
      <w:r w:rsidR="00A7727B">
        <w:rPr>
          <w:rFonts w:asciiTheme="minorHAnsi" w:hAnsiTheme="minorHAnsi"/>
        </w:rPr>
        <w:t>allows a</w:t>
      </w:r>
      <w:r w:rsidR="0046210A">
        <w:rPr>
          <w:rFonts w:asciiTheme="minorHAnsi" w:hAnsiTheme="minorHAnsi"/>
        </w:rPr>
        <w:t xml:space="preserve">ny employee to request a change to their hours they work, the times they work </w:t>
      </w:r>
      <w:r w:rsidR="00346C15">
        <w:rPr>
          <w:rFonts w:asciiTheme="minorHAnsi" w:hAnsiTheme="minorHAnsi"/>
        </w:rPr>
        <w:t>and</w:t>
      </w:r>
      <w:r w:rsidR="0046210A">
        <w:rPr>
          <w:rFonts w:asciiTheme="minorHAnsi" w:hAnsiTheme="minorHAnsi"/>
        </w:rPr>
        <w:t xml:space="preserve"> their</w:t>
      </w:r>
      <w:r w:rsidR="00BF39B7">
        <w:rPr>
          <w:rFonts w:asciiTheme="minorHAnsi" w:hAnsiTheme="minorHAnsi"/>
        </w:rPr>
        <w:t xml:space="preserve"> place for work. </w:t>
      </w:r>
      <w:r w:rsidR="001F3A03">
        <w:rPr>
          <w:rFonts w:asciiTheme="minorHAnsi" w:hAnsiTheme="minorHAnsi"/>
        </w:rPr>
        <w:t>With effect from 1</w:t>
      </w:r>
      <w:r w:rsidR="001F3A03" w:rsidRPr="001F3A03">
        <w:rPr>
          <w:rFonts w:asciiTheme="minorHAnsi" w:hAnsiTheme="minorHAnsi"/>
          <w:vertAlign w:val="superscript"/>
        </w:rPr>
        <w:t>st</w:t>
      </w:r>
      <w:r w:rsidR="001F3A03">
        <w:rPr>
          <w:rFonts w:asciiTheme="minorHAnsi" w:hAnsiTheme="minorHAnsi"/>
        </w:rPr>
        <w:t xml:space="preserve"> April 2025 the right to flexible working became a day one right, previously an employee would</w:t>
      </w:r>
      <w:r w:rsidR="00114128">
        <w:rPr>
          <w:rFonts w:asciiTheme="minorHAnsi" w:hAnsiTheme="minorHAnsi"/>
        </w:rPr>
        <w:t xml:space="preserve"> </w:t>
      </w:r>
      <w:r w:rsidR="00346C15">
        <w:rPr>
          <w:rFonts w:asciiTheme="minorHAnsi" w:hAnsiTheme="minorHAnsi"/>
        </w:rPr>
        <w:t>have</w:t>
      </w:r>
      <w:r w:rsidR="00114128">
        <w:rPr>
          <w:rFonts w:asciiTheme="minorHAnsi" w:hAnsiTheme="minorHAnsi"/>
        </w:rPr>
        <w:t xml:space="preserve"> needed 26 weeks service before submitting a request. </w:t>
      </w:r>
    </w:p>
    <w:p w14:paraId="390A714A" w14:textId="77777777" w:rsidR="00114128" w:rsidRDefault="00114128" w:rsidP="00594F42">
      <w:pPr>
        <w:pStyle w:val="Listparag"/>
        <w:spacing w:after="0" w:line="240" w:lineRule="auto"/>
        <w:rPr>
          <w:rFonts w:asciiTheme="minorHAnsi" w:hAnsiTheme="minorHAnsi"/>
        </w:rPr>
      </w:pPr>
    </w:p>
    <w:p w14:paraId="03A0B0EC" w14:textId="214E1140" w:rsidR="002F07E8" w:rsidRDefault="00114128" w:rsidP="00594F42">
      <w:pPr>
        <w:pStyle w:val="Listparag"/>
        <w:spacing w:after="0" w:line="240" w:lineRule="auto"/>
        <w:rPr>
          <w:rFonts w:asciiTheme="minorHAnsi" w:hAnsiTheme="minorHAnsi"/>
        </w:rPr>
      </w:pPr>
      <w:r>
        <w:rPr>
          <w:rFonts w:asciiTheme="minorHAnsi" w:hAnsiTheme="minorHAnsi"/>
        </w:rPr>
        <w:t xml:space="preserve">We will need to ensure that the employee is responded too within </w:t>
      </w:r>
      <w:r w:rsidR="002F07E8">
        <w:rPr>
          <w:rFonts w:asciiTheme="minorHAnsi" w:hAnsiTheme="minorHAnsi"/>
        </w:rPr>
        <w:t>2 months from the date of the request, this has changed from 3 months following the change on the 1</w:t>
      </w:r>
      <w:r w:rsidR="002F07E8" w:rsidRPr="002F07E8">
        <w:rPr>
          <w:rFonts w:asciiTheme="minorHAnsi" w:hAnsiTheme="minorHAnsi"/>
          <w:vertAlign w:val="superscript"/>
        </w:rPr>
        <w:t>st</w:t>
      </w:r>
      <w:r w:rsidR="002F07E8">
        <w:rPr>
          <w:rFonts w:asciiTheme="minorHAnsi" w:hAnsiTheme="minorHAnsi"/>
        </w:rPr>
        <w:t xml:space="preserve"> April 2025.</w:t>
      </w:r>
      <w:r w:rsidR="00BC5C06">
        <w:rPr>
          <w:rFonts w:asciiTheme="minorHAnsi" w:hAnsiTheme="minorHAnsi"/>
        </w:rPr>
        <w:t xml:space="preserve"> The amount of requests an employee can make under flexible working has now doubled from 1 request to 2 requests, within a 12 month period</w:t>
      </w:r>
      <w:r w:rsidR="00855B9A">
        <w:rPr>
          <w:rFonts w:asciiTheme="minorHAnsi" w:hAnsiTheme="minorHAnsi"/>
        </w:rPr>
        <w:t xml:space="preserve"> (Daniels, 2022)</w:t>
      </w:r>
      <w:r w:rsidR="00377573">
        <w:rPr>
          <w:rFonts w:asciiTheme="minorHAnsi" w:hAnsiTheme="minorHAnsi"/>
        </w:rPr>
        <w:t xml:space="preserve"> </w:t>
      </w:r>
    </w:p>
    <w:p w14:paraId="46284E9B" w14:textId="77777777" w:rsidR="00BC5C06" w:rsidRDefault="00BC5C06" w:rsidP="00594F42">
      <w:pPr>
        <w:pStyle w:val="Listparag"/>
        <w:spacing w:after="0" w:line="240" w:lineRule="auto"/>
        <w:rPr>
          <w:rFonts w:asciiTheme="minorHAnsi" w:hAnsiTheme="minorHAnsi"/>
        </w:rPr>
      </w:pPr>
    </w:p>
    <w:p w14:paraId="1B6EDC0B" w14:textId="77777777" w:rsidR="00C04ECC" w:rsidRDefault="005923C9" w:rsidP="00594F42">
      <w:pPr>
        <w:pStyle w:val="Listparag"/>
        <w:spacing w:after="0" w:line="240" w:lineRule="auto"/>
        <w:rPr>
          <w:rFonts w:asciiTheme="minorHAnsi" w:hAnsiTheme="minorHAnsi"/>
        </w:rPr>
      </w:pPr>
      <w:r>
        <w:rPr>
          <w:rFonts w:asciiTheme="minorHAnsi" w:hAnsiTheme="minorHAnsi"/>
        </w:rPr>
        <w:lastRenderedPageBreak/>
        <w:t xml:space="preserve">If you agree to grant the request, then this will be a </w:t>
      </w:r>
      <w:r w:rsidR="00674BCB">
        <w:rPr>
          <w:rFonts w:asciiTheme="minorHAnsi" w:hAnsiTheme="minorHAnsi"/>
        </w:rPr>
        <w:t>permanent</w:t>
      </w:r>
      <w:r>
        <w:rPr>
          <w:rFonts w:asciiTheme="minorHAnsi" w:hAnsiTheme="minorHAnsi"/>
        </w:rPr>
        <w:t xml:space="preserve"> change to the </w:t>
      </w:r>
      <w:r w:rsidR="00855B9A">
        <w:rPr>
          <w:rFonts w:asciiTheme="minorHAnsi" w:hAnsiTheme="minorHAnsi"/>
        </w:rPr>
        <w:t>employees’</w:t>
      </w:r>
      <w:r>
        <w:rPr>
          <w:rFonts w:asciiTheme="minorHAnsi" w:hAnsiTheme="minorHAnsi"/>
        </w:rPr>
        <w:t xml:space="preserve"> contract and they will have no right to return to their</w:t>
      </w:r>
      <w:r w:rsidR="00674BCB">
        <w:rPr>
          <w:rFonts w:asciiTheme="minorHAnsi" w:hAnsiTheme="minorHAnsi"/>
        </w:rPr>
        <w:t xml:space="preserve"> previous terms and conditions. </w:t>
      </w:r>
      <w:r w:rsidR="00A16E5D">
        <w:rPr>
          <w:rFonts w:asciiTheme="minorHAnsi" w:hAnsiTheme="minorHAnsi"/>
        </w:rPr>
        <w:t>The le</w:t>
      </w:r>
      <w:r w:rsidR="00394FC2">
        <w:rPr>
          <w:rFonts w:asciiTheme="minorHAnsi" w:hAnsiTheme="minorHAnsi"/>
        </w:rPr>
        <w:t>gislation does set out 9 rea</w:t>
      </w:r>
      <w:r w:rsidR="005B2320">
        <w:rPr>
          <w:rFonts w:asciiTheme="minorHAnsi" w:hAnsiTheme="minorHAnsi"/>
        </w:rPr>
        <w:t>sons as to why an employer can turn down the request</w:t>
      </w:r>
      <w:r w:rsidR="00DF6070">
        <w:rPr>
          <w:rFonts w:asciiTheme="minorHAnsi" w:hAnsiTheme="minorHAnsi"/>
        </w:rPr>
        <w:t xml:space="preserve">, this is situation 3 of those reasons may apply which are – a detrimental </w:t>
      </w:r>
      <w:r w:rsidR="00A50D4F">
        <w:rPr>
          <w:rFonts w:asciiTheme="minorHAnsi" w:hAnsiTheme="minorHAnsi"/>
        </w:rPr>
        <w:t>impact on quality and/or performance or a detrimental impact on ability to meet customer demands</w:t>
      </w:r>
      <w:r w:rsidR="00C3590C">
        <w:rPr>
          <w:rFonts w:asciiTheme="minorHAnsi" w:hAnsiTheme="minorHAnsi"/>
        </w:rPr>
        <w:t xml:space="preserve"> (Daniels, 2022)</w:t>
      </w:r>
      <w:r w:rsidR="00C04ECC">
        <w:rPr>
          <w:rFonts w:asciiTheme="minorHAnsi" w:hAnsiTheme="minorHAnsi"/>
        </w:rPr>
        <w:t>.</w:t>
      </w:r>
    </w:p>
    <w:p w14:paraId="1B2F6B86" w14:textId="77777777" w:rsidR="00C04ECC" w:rsidRDefault="00C04ECC" w:rsidP="00594F42">
      <w:pPr>
        <w:pStyle w:val="Listparag"/>
        <w:spacing w:after="0" w:line="240" w:lineRule="auto"/>
        <w:rPr>
          <w:rFonts w:asciiTheme="minorHAnsi" w:hAnsiTheme="minorHAnsi"/>
        </w:rPr>
      </w:pPr>
    </w:p>
    <w:p w14:paraId="5A55B181" w14:textId="06FC615A" w:rsidR="00BC5C06" w:rsidRPr="00204A10" w:rsidRDefault="009312F9" w:rsidP="00594F42">
      <w:pPr>
        <w:pStyle w:val="Listparag"/>
        <w:spacing w:after="0" w:line="240" w:lineRule="auto"/>
        <w:rPr>
          <w:rFonts w:asciiTheme="minorHAnsi" w:hAnsiTheme="minorHAnsi"/>
        </w:rPr>
      </w:pPr>
      <w:r>
        <w:rPr>
          <w:rFonts w:asciiTheme="minorHAnsi" w:hAnsiTheme="minorHAnsi"/>
        </w:rPr>
        <w:t>Therefore, the manager is unable to decline the request</w:t>
      </w:r>
      <w:r w:rsidR="003F49DB">
        <w:rPr>
          <w:rFonts w:asciiTheme="minorHAnsi" w:hAnsiTheme="minorHAnsi"/>
        </w:rPr>
        <w:t xml:space="preserve"> on the basis that </w:t>
      </w:r>
      <w:r w:rsidR="00982C58">
        <w:rPr>
          <w:rFonts w:asciiTheme="minorHAnsi" w:hAnsiTheme="minorHAnsi"/>
        </w:rPr>
        <w:t xml:space="preserve">it may encourage other staff members to submit request. All staff within the department have the right to submit a flexible working requests and each considered on their own merit. </w:t>
      </w:r>
      <w:r w:rsidR="003B4074">
        <w:rPr>
          <w:rFonts w:asciiTheme="minorHAnsi" w:hAnsiTheme="minorHAnsi"/>
        </w:rPr>
        <w:t>Refusal to consider flexible working requests</w:t>
      </w:r>
      <w:r w:rsidR="00687A20">
        <w:rPr>
          <w:rFonts w:asciiTheme="minorHAnsi" w:hAnsiTheme="minorHAnsi"/>
        </w:rPr>
        <w:t xml:space="preserve"> </w:t>
      </w:r>
      <w:r w:rsidR="00992A31">
        <w:rPr>
          <w:rFonts w:asciiTheme="minorHAnsi" w:hAnsiTheme="minorHAnsi"/>
        </w:rPr>
        <w:t xml:space="preserve">or not providing adequate reasoning for </w:t>
      </w:r>
      <w:r w:rsidR="00281440">
        <w:rPr>
          <w:rFonts w:asciiTheme="minorHAnsi" w:hAnsiTheme="minorHAnsi"/>
        </w:rPr>
        <w:t>refusal</w:t>
      </w:r>
      <w:r w:rsidR="003B4074">
        <w:rPr>
          <w:rFonts w:asciiTheme="minorHAnsi" w:hAnsiTheme="minorHAnsi"/>
        </w:rPr>
        <w:t xml:space="preserve"> could be considered indirect discrimination as highlighted in the case </w:t>
      </w:r>
      <w:r w:rsidR="003B4074" w:rsidRPr="003B4074">
        <w:rPr>
          <w:rFonts w:asciiTheme="minorHAnsi" w:hAnsiTheme="minorHAnsi"/>
          <w:i/>
          <w:iCs/>
        </w:rPr>
        <w:t>British Airways v Starmer 2005</w:t>
      </w:r>
      <w:r w:rsidR="00992A31">
        <w:rPr>
          <w:rFonts w:asciiTheme="minorHAnsi" w:hAnsiTheme="minorHAnsi"/>
          <w:i/>
          <w:iCs/>
        </w:rPr>
        <w:t xml:space="preserve"> </w:t>
      </w:r>
      <w:r w:rsidR="00992A31">
        <w:rPr>
          <w:rFonts w:asciiTheme="minorHAnsi" w:hAnsiTheme="minorHAnsi"/>
        </w:rPr>
        <w:t xml:space="preserve">where an employee requested to reduce her hours </w:t>
      </w:r>
      <w:r w:rsidR="004249D3">
        <w:rPr>
          <w:rFonts w:asciiTheme="minorHAnsi" w:hAnsiTheme="minorHAnsi"/>
        </w:rPr>
        <w:t xml:space="preserve"> by 50% which was refused by British Airways</w:t>
      </w:r>
      <w:r w:rsidR="00D806D6">
        <w:rPr>
          <w:rFonts w:asciiTheme="minorHAnsi" w:hAnsiTheme="minorHAnsi"/>
        </w:rPr>
        <w:t xml:space="preserve">, citing operational demands and counter offered a 75% decrease. </w:t>
      </w:r>
      <w:r w:rsidR="00591050">
        <w:rPr>
          <w:rFonts w:asciiTheme="minorHAnsi" w:hAnsiTheme="minorHAnsi"/>
        </w:rPr>
        <w:t xml:space="preserve"> </w:t>
      </w:r>
      <w:r w:rsidR="007A0E8B">
        <w:rPr>
          <w:rFonts w:asciiTheme="minorHAnsi" w:hAnsiTheme="minorHAnsi"/>
        </w:rPr>
        <w:t xml:space="preserve">The EAT upheld the decision </w:t>
      </w:r>
      <w:r w:rsidR="000D28A3">
        <w:rPr>
          <w:rFonts w:asciiTheme="minorHAnsi" w:hAnsiTheme="minorHAnsi"/>
        </w:rPr>
        <w:t xml:space="preserve">that it was indirect discrimination as is caused a disadvantage to women who are likely </w:t>
      </w:r>
      <w:r w:rsidR="00C04ECC">
        <w:rPr>
          <w:rFonts w:asciiTheme="minorHAnsi" w:hAnsiTheme="minorHAnsi"/>
        </w:rPr>
        <w:t xml:space="preserve">to need flexible working due to childcare. </w:t>
      </w:r>
    </w:p>
    <w:p w14:paraId="7E30127B" w14:textId="77777777" w:rsidR="005F290D" w:rsidRPr="005F290D" w:rsidRDefault="005F290D" w:rsidP="00594F42">
      <w:pPr>
        <w:pStyle w:val="Listparag"/>
        <w:spacing w:after="0" w:line="240" w:lineRule="auto"/>
        <w:rPr>
          <w:rFonts w:asciiTheme="minorHAnsi" w:hAnsiTheme="minorHAnsi"/>
          <w:color w:val="auto"/>
        </w:rPr>
      </w:pPr>
    </w:p>
    <w:p w14:paraId="269742BC" w14:textId="4A471B30" w:rsidR="00594F42" w:rsidRDefault="00C04ECC">
      <w:r>
        <w:t>If a flexible working request is refuse</w:t>
      </w:r>
      <w:r w:rsidR="00944C91">
        <w:t xml:space="preserve">d, then you need to ensure it is </w:t>
      </w:r>
      <w:r w:rsidR="000A1247">
        <w:t>linked to a business reason, in</w:t>
      </w:r>
      <w:r w:rsidR="009D49E5">
        <w:t xml:space="preserve"> the case </w:t>
      </w:r>
      <w:r w:rsidR="009D49E5" w:rsidRPr="001C1F4D">
        <w:rPr>
          <w:i/>
          <w:iCs/>
        </w:rPr>
        <w:t>Commo</w:t>
      </w:r>
      <w:r w:rsidR="00C3174E" w:rsidRPr="001C1F4D">
        <w:rPr>
          <w:i/>
          <w:iCs/>
        </w:rPr>
        <w:t>tion LTD v Rutty (2006)</w:t>
      </w:r>
      <w:r w:rsidR="00C3174E">
        <w:t xml:space="preserve"> </w:t>
      </w:r>
      <w:r w:rsidR="00321197">
        <w:t>where Rutty had submitted a flexible working request to reduce their hours to 3 days a week had been refused</w:t>
      </w:r>
      <w:r w:rsidR="00B3687A">
        <w:t>. The Employment Tribunal found that the employer had not given reasonable grounds for refus</w:t>
      </w:r>
      <w:r w:rsidR="00F17EE9">
        <w:t xml:space="preserve">al and did not relate to any of the 9 reasonable grounds that the legislation sets out (Daniels, 2022). </w:t>
      </w:r>
    </w:p>
    <w:p w14:paraId="6B6981FC" w14:textId="64216AB2" w:rsidR="00AE0C9A" w:rsidRDefault="009E3724">
      <w:r>
        <w:t xml:space="preserve">Offering Hybrid working to employees </w:t>
      </w:r>
      <w:r w:rsidR="00994E33">
        <w:t>has shown it’s benefits as it is becoming more common within organisations and ma</w:t>
      </w:r>
      <w:r w:rsidR="00BA2C6F">
        <w:t xml:space="preserve">ny employers are considering it as a strategic option. </w:t>
      </w:r>
      <w:r w:rsidR="00851344">
        <w:t xml:space="preserve">It improves work-life balance for employees and help reduce commuting time and costs. </w:t>
      </w:r>
      <w:r w:rsidR="002A4BA5">
        <w:t xml:space="preserve">Recent data shows it has helped reduce absenteeism and support inclusion and diversity. </w:t>
      </w:r>
      <w:r w:rsidR="00771DB5">
        <w:t>It can also offer employers savings on facilities and office space</w:t>
      </w:r>
      <w:r w:rsidR="00E31D7A">
        <w:t xml:space="preserve"> (CIPD, 2023).</w:t>
      </w:r>
    </w:p>
    <w:p w14:paraId="47A55E75" w14:textId="5BC11B51" w:rsidR="00C22B75" w:rsidRPr="00666FB1" w:rsidRDefault="00AE7634">
      <w:pPr>
        <w:rPr>
          <w:b/>
          <w:bCs/>
        </w:rPr>
      </w:pPr>
      <w:r w:rsidRPr="00666FB1">
        <w:rPr>
          <w:b/>
          <w:bCs/>
        </w:rPr>
        <w:t>Bibliography</w:t>
      </w:r>
    </w:p>
    <w:p w14:paraId="66F09397" w14:textId="6057AD25" w:rsidR="00AE7634" w:rsidRDefault="00AE7634" w:rsidP="00AE7634">
      <w:pPr>
        <w:pStyle w:val="NormalWeb"/>
        <w:ind w:left="567" w:hanging="567"/>
      </w:pPr>
      <w:r>
        <w:t xml:space="preserve">ACAS (2023) </w:t>
      </w:r>
      <w:r>
        <w:rPr>
          <w:i/>
          <w:iCs/>
        </w:rPr>
        <w:t>Objective justification – using protected characteristics to make decisions</w:t>
      </w:r>
      <w:r>
        <w:t xml:space="preserve">, </w:t>
      </w:r>
      <w:r>
        <w:rPr>
          <w:i/>
          <w:iCs/>
        </w:rPr>
        <w:t>Acas</w:t>
      </w:r>
      <w:r>
        <w:t xml:space="preserve">. Available at: https://www.acas.org.uk/employer-decision-protected-characteristic/objective-justification (Accessed: 15 May 2025). </w:t>
      </w:r>
    </w:p>
    <w:p w14:paraId="06D9F816" w14:textId="51184DF4" w:rsidR="00AE7634" w:rsidRDefault="00AE7634" w:rsidP="00AE7634">
      <w:pPr>
        <w:pStyle w:val="NormalWeb"/>
        <w:ind w:left="567" w:hanging="567"/>
      </w:pPr>
      <w:r>
        <w:t xml:space="preserve">ACAS (2024) </w:t>
      </w:r>
      <w:r>
        <w:rPr>
          <w:i/>
          <w:iCs/>
        </w:rPr>
        <w:t>Equal pay and the law</w:t>
      </w:r>
      <w:r>
        <w:t xml:space="preserve">, </w:t>
      </w:r>
      <w:r>
        <w:rPr>
          <w:i/>
          <w:iCs/>
        </w:rPr>
        <w:t>Acas</w:t>
      </w:r>
      <w:r>
        <w:t xml:space="preserve">. Available at: https://www.acas.org.uk/equal-pay/equal-pay-law (Accessed: 15 May 2025). </w:t>
      </w:r>
    </w:p>
    <w:p w14:paraId="0F44C186" w14:textId="1761A4FD" w:rsidR="00AE7634" w:rsidRDefault="00AE7634" w:rsidP="00AE7634">
      <w:pPr>
        <w:pStyle w:val="NormalWeb"/>
        <w:ind w:left="567" w:hanging="567"/>
      </w:pPr>
      <w:r>
        <w:t xml:space="preserve">ACAS (2024a) </w:t>
      </w:r>
      <w:r>
        <w:rPr>
          <w:i/>
          <w:iCs/>
        </w:rPr>
        <w:t>Constructive dismissal – dismissals</w:t>
      </w:r>
      <w:r>
        <w:t xml:space="preserve">, </w:t>
      </w:r>
      <w:r>
        <w:rPr>
          <w:i/>
          <w:iCs/>
        </w:rPr>
        <w:t>Acas</w:t>
      </w:r>
      <w:r>
        <w:t xml:space="preserve">. Available at: https://www.acas.org.uk/dismissals/constructive-dismissal (Accessed: 15 May 2025). </w:t>
      </w:r>
    </w:p>
    <w:p w14:paraId="4CB3F372" w14:textId="77777777" w:rsidR="00AE7634" w:rsidRDefault="00AE7634" w:rsidP="00AE7634">
      <w:pPr>
        <w:pStyle w:val="NormalWeb"/>
        <w:ind w:left="567" w:hanging="567"/>
      </w:pPr>
      <w:r>
        <w:t xml:space="preserve">ACAS (2025) </w:t>
      </w:r>
      <w:r>
        <w:rPr>
          <w:i/>
          <w:iCs/>
        </w:rPr>
        <w:t>How shared parental leave works – shared parental leave and pay</w:t>
      </w:r>
      <w:r>
        <w:t xml:space="preserve">, </w:t>
      </w:r>
      <w:r>
        <w:rPr>
          <w:i/>
          <w:iCs/>
        </w:rPr>
        <w:t>Acas</w:t>
      </w:r>
      <w:r>
        <w:t xml:space="preserve">. Available at: https://www.acas.org.uk/shared-parental-leave-and-pay (Accessed: 22 May 2025). </w:t>
      </w:r>
    </w:p>
    <w:p w14:paraId="5ADA43DE" w14:textId="77777777" w:rsidR="00AE7634" w:rsidRDefault="00AE7634" w:rsidP="00AE7634">
      <w:pPr>
        <w:pStyle w:val="NormalWeb"/>
        <w:ind w:left="567" w:hanging="567"/>
      </w:pPr>
      <w:r>
        <w:t xml:space="preserve">ACAS (2025) </w:t>
      </w:r>
      <w:r>
        <w:rPr>
          <w:i/>
          <w:iCs/>
        </w:rPr>
        <w:t>How the process works – early conciliation</w:t>
      </w:r>
      <w:r>
        <w:t xml:space="preserve">, </w:t>
      </w:r>
      <w:r>
        <w:rPr>
          <w:i/>
          <w:iCs/>
        </w:rPr>
        <w:t>Acas</w:t>
      </w:r>
      <w:r>
        <w:t xml:space="preserve">. Available at: https://www.acas.org.uk/early-conciliation/how-early-conciliation-works (Accessed: 01 June 2025). </w:t>
      </w:r>
    </w:p>
    <w:p w14:paraId="2400C5E0" w14:textId="3E73929B" w:rsidR="00AE7634" w:rsidRDefault="00AE7634" w:rsidP="00AE7634">
      <w:pPr>
        <w:pStyle w:val="NormalWeb"/>
        <w:ind w:left="567" w:hanging="567"/>
      </w:pPr>
      <w:r>
        <w:t xml:space="preserve">ACAS (2025a) </w:t>
      </w:r>
      <w:r>
        <w:rPr>
          <w:i/>
          <w:iCs/>
        </w:rPr>
        <w:t>Calculating holiday pay – holiday entitlement</w:t>
      </w:r>
      <w:r>
        <w:t xml:space="preserve">, </w:t>
      </w:r>
      <w:r>
        <w:rPr>
          <w:i/>
          <w:iCs/>
        </w:rPr>
        <w:t>Acas</w:t>
      </w:r>
      <w:r>
        <w:t xml:space="preserve">. Available at: https://www.acas.org.uk/checking-holiday-entitlement/calculating-holiday-pay (Accessed: 29 May 2025). </w:t>
      </w:r>
    </w:p>
    <w:p w14:paraId="08D97885" w14:textId="5D250F96" w:rsidR="00CF606E" w:rsidRDefault="00E65EFD" w:rsidP="00AE7634">
      <w:pPr>
        <w:pStyle w:val="NormalWeb"/>
        <w:ind w:left="567" w:hanging="567"/>
      </w:pPr>
      <w:r>
        <w:lastRenderedPageBreak/>
        <w:t xml:space="preserve">ACAS (2025b) </w:t>
      </w:r>
      <w:r>
        <w:rPr>
          <w:i/>
          <w:iCs/>
        </w:rPr>
        <w:t>Taking maternity leave – maternity leave and pay</w:t>
      </w:r>
      <w:r>
        <w:t xml:space="preserve">, </w:t>
      </w:r>
      <w:r>
        <w:rPr>
          <w:i/>
          <w:iCs/>
        </w:rPr>
        <w:t>Acas</w:t>
      </w:r>
      <w:r>
        <w:t xml:space="preserve">. Available at: https://www.acas.org.uk/your-maternity-leave-pay-and-other-rights/taking-maternity-leave (Accessed: 22 May 2025). </w:t>
      </w:r>
    </w:p>
    <w:p w14:paraId="67F5AA34" w14:textId="60A126F5" w:rsidR="006B07B6" w:rsidRDefault="006B07B6" w:rsidP="00AE7634">
      <w:pPr>
        <w:pStyle w:val="NormalWeb"/>
      </w:pPr>
      <w:r>
        <w:t xml:space="preserve">ASDA Stores Ltd v Brierleuy &amp; Others </w:t>
      </w:r>
      <w:r w:rsidR="00ED20B8">
        <w:t>[2021] UKSC 10</w:t>
      </w:r>
    </w:p>
    <w:p w14:paraId="48AE00E8" w14:textId="6618AA21" w:rsidR="005A174C" w:rsidRDefault="005A174C" w:rsidP="001C7908">
      <w:pPr>
        <w:pStyle w:val="NormalWeb"/>
        <w:ind w:left="567" w:hanging="567"/>
      </w:pPr>
      <w:r>
        <w:t xml:space="preserve">Autoclenz Ltd v Blecher &amp; Others </w:t>
      </w:r>
      <w:r w:rsidR="00ED20B8">
        <w:t>[</w:t>
      </w:r>
      <w:r>
        <w:t>2011</w:t>
      </w:r>
      <w:r w:rsidR="00ED20B8">
        <w:t>]</w:t>
      </w:r>
      <w:r>
        <w:t xml:space="preserve"> UKSC 41</w:t>
      </w:r>
    </w:p>
    <w:p w14:paraId="76F9BE17" w14:textId="63BF091D" w:rsidR="00AE0C9A" w:rsidRDefault="00AE0C9A" w:rsidP="001C7908">
      <w:pPr>
        <w:pStyle w:val="NormalWeb"/>
        <w:ind w:left="567" w:hanging="567"/>
      </w:pPr>
      <w:r>
        <w:t>British Airways PLC V Starmer [2005] IRLR 863 (EAT)</w:t>
      </w:r>
    </w:p>
    <w:p w14:paraId="7E1FDF98" w14:textId="3BDB92A3" w:rsidR="005037EB" w:rsidRDefault="005037EB" w:rsidP="005037EB">
      <w:pPr>
        <w:pStyle w:val="NormalWeb"/>
        <w:ind w:left="567" w:hanging="567"/>
      </w:pPr>
      <w:r>
        <w:t>Christie &amp; Ors v John E Haith Ltd [2003] IRLR 670 (EAT).</w:t>
      </w:r>
    </w:p>
    <w:p w14:paraId="4A2836E9" w14:textId="77777777" w:rsidR="00DB5E23" w:rsidRDefault="00DB5E23" w:rsidP="00DB5E23">
      <w:pPr>
        <w:pStyle w:val="NormalWeb"/>
        <w:ind w:left="567" w:hanging="567"/>
      </w:pPr>
      <w:r>
        <w:t xml:space="preserve">CIPD (2018a) </w:t>
      </w:r>
      <w:r>
        <w:rPr>
          <w:i/>
          <w:iCs/>
        </w:rPr>
        <w:t>The road to good work</w:t>
      </w:r>
      <w:r>
        <w:t xml:space="preserve">, </w:t>
      </w:r>
      <w:r>
        <w:rPr>
          <w:i/>
          <w:iCs/>
        </w:rPr>
        <w:t>CIPD</w:t>
      </w:r>
      <w:r>
        <w:t xml:space="preserve">. Available at: https://www.cipd.org/globalassets/media/knowledge/knowledge-hub/reports/road-to-good-work-discussion-paper_tcm18-40232.pdf (Accessed: 01 June 2025). </w:t>
      </w:r>
    </w:p>
    <w:p w14:paraId="11F755C1" w14:textId="77777777" w:rsidR="004E2D75" w:rsidRDefault="004E2D75" w:rsidP="004E2D75">
      <w:pPr>
        <w:pStyle w:val="NormalWeb"/>
        <w:ind w:left="567" w:hanging="567"/>
      </w:pPr>
      <w:r>
        <w:t xml:space="preserve">CIPD (2023) </w:t>
      </w:r>
      <w:r>
        <w:rPr>
          <w:i/>
          <w:iCs/>
        </w:rPr>
        <w:t>Hybrid working: Guidance for people professionals</w:t>
      </w:r>
      <w:r>
        <w:t xml:space="preserve">, </w:t>
      </w:r>
      <w:r>
        <w:rPr>
          <w:i/>
          <w:iCs/>
        </w:rPr>
        <w:t>CIPD</w:t>
      </w:r>
      <w:r>
        <w:t xml:space="preserve">. Available at: https://www.cipd.org/uk/knowledge/guides/planning-hybrid-working/ (Accessed: 01 June 2025). </w:t>
      </w:r>
    </w:p>
    <w:p w14:paraId="62B86126" w14:textId="466CD6E4" w:rsidR="00AD6DA7" w:rsidRDefault="00AD6DA7" w:rsidP="00AD6DA7">
      <w:pPr>
        <w:pStyle w:val="NormalWeb"/>
        <w:ind w:left="567" w:hanging="567"/>
      </w:pPr>
      <w:r>
        <w:t xml:space="preserve">Daniels, K. (2022) </w:t>
      </w:r>
      <w:r>
        <w:rPr>
          <w:i/>
          <w:iCs/>
        </w:rPr>
        <w:t>Introduction to employment law: Fundamentals for HR and business students</w:t>
      </w:r>
      <w:r>
        <w:t xml:space="preserve">. 6th edn. London, United Kingdom: Kogan Page Inc. </w:t>
      </w:r>
    </w:p>
    <w:p w14:paraId="14881D61" w14:textId="033E2D7C" w:rsidR="00C36EDF" w:rsidRDefault="00C36EDF" w:rsidP="00C36EDF">
      <w:pPr>
        <w:pStyle w:val="NormalWeb"/>
        <w:ind w:left="567" w:hanging="567"/>
      </w:pPr>
      <w:r>
        <w:t xml:space="preserve">EHRC (2015) </w:t>
      </w:r>
      <w:r>
        <w:rPr>
          <w:i/>
          <w:iCs/>
        </w:rPr>
        <w:t>Employment: Code of practice | EHRC</w:t>
      </w:r>
      <w:r>
        <w:t xml:space="preserve">, </w:t>
      </w:r>
      <w:r>
        <w:rPr>
          <w:i/>
          <w:iCs/>
        </w:rPr>
        <w:t xml:space="preserve">Equality and Human Rights Commission </w:t>
      </w:r>
      <w:r>
        <w:t xml:space="preserve">. Available at: https://www.equalityhumanrights.com/equality/equality-act-2010/codes-practice/employment-code-practice-0 (Accessed: 01 June 2025). </w:t>
      </w:r>
    </w:p>
    <w:p w14:paraId="2A5312AE" w14:textId="219F0B8A" w:rsidR="007227DE" w:rsidRDefault="007227DE" w:rsidP="00C36EDF">
      <w:pPr>
        <w:pStyle w:val="NormalWeb"/>
        <w:ind w:left="567" w:hanging="567"/>
      </w:pPr>
      <w:r>
        <w:t>Etam plc v Rowan (1989) IRLR 150</w:t>
      </w:r>
    </w:p>
    <w:p w14:paraId="3A6ECD7C" w14:textId="282BF706" w:rsidR="001C7908" w:rsidRDefault="001964D9" w:rsidP="001964D9">
      <w:pPr>
        <w:pStyle w:val="NormalWeb"/>
        <w:ind w:left="567" w:hanging="567"/>
      </w:pPr>
      <w:r>
        <w:t xml:space="preserve">GOV.UK (2015) </w:t>
      </w:r>
      <w:r>
        <w:rPr>
          <w:i/>
          <w:iCs/>
        </w:rPr>
        <w:t>Changing an employment contract</w:t>
      </w:r>
      <w:r>
        <w:t xml:space="preserve">, </w:t>
      </w:r>
      <w:r>
        <w:rPr>
          <w:i/>
          <w:iCs/>
        </w:rPr>
        <w:t>GOV.UK</w:t>
      </w:r>
      <w:r>
        <w:t xml:space="preserve">. Available at: https://www.gov.uk/your-employment-contract-how-it-can-be-changed (Accessed: 15 May 2025). </w:t>
      </w:r>
    </w:p>
    <w:p w14:paraId="2FA46915" w14:textId="0945F6F8" w:rsidR="00AD6DA7" w:rsidRDefault="00AD6DA7" w:rsidP="00AD6DA7">
      <w:pPr>
        <w:pStyle w:val="NormalWeb"/>
        <w:ind w:left="567" w:hanging="567"/>
      </w:pPr>
      <w:r>
        <w:t xml:space="preserve">GOV.UK (2015) </w:t>
      </w:r>
      <w:r>
        <w:rPr>
          <w:i/>
          <w:iCs/>
        </w:rPr>
        <w:t>Maternity pay and leave</w:t>
      </w:r>
      <w:r>
        <w:t xml:space="preserve">, </w:t>
      </w:r>
      <w:r>
        <w:rPr>
          <w:i/>
          <w:iCs/>
        </w:rPr>
        <w:t>GOV.UK</w:t>
      </w:r>
      <w:r>
        <w:t xml:space="preserve">. Available at: https://www.gov.uk/maternity-pay-leave (Accessed: 01 June 2025). </w:t>
      </w:r>
    </w:p>
    <w:p w14:paraId="4140A776" w14:textId="52ADDCB6" w:rsidR="000F596F" w:rsidRPr="00AD6DA7" w:rsidRDefault="00F21E00" w:rsidP="00AD6DA7">
      <w:pPr>
        <w:pStyle w:val="NormalWeb"/>
        <w:ind w:left="567" w:hanging="567"/>
      </w:pPr>
      <w:r>
        <w:t xml:space="preserve">GOV.UK (2024) </w:t>
      </w:r>
      <w:r>
        <w:rPr>
          <w:i/>
          <w:iCs/>
        </w:rPr>
        <w:t>Equality act 2010</w:t>
      </w:r>
      <w:r>
        <w:t xml:space="preserve">, </w:t>
      </w:r>
      <w:r>
        <w:rPr>
          <w:i/>
          <w:iCs/>
        </w:rPr>
        <w:t>Legislation.gov.uk</w:t>
      </w:r>
      <w:r>
        <w:t xml:space="preserve">. Available at: https://www.legislation.gov.uk/ukpga/2010/15/schedule/9 (Accessed: 01 June 2025). </w:t>
      </w:r>
    </w:p>
    <w:p w14:paraId="0E85056B" w14:textId="77777777" w:rsidR="00216D91" w:rsidRDefault="00216D91" w:rsidP="00216D91">
      <w:pPr>
        <w:pStyle w:val="NormalWeb"/>
        <w:ind w:left="567" w:hanging="567"/>
      </w:pPr>
      <w:r>
        <w:t xml:space="preserve">GOV.UK (2024) </w:t>
      </w:r>
      <w:r>
        <w:rPr>
          <w:i/>
          <w:iCs/>
        </w:rPr>
        <w:t>Holiday pay and entitlement reforms from 1 January 2024</w:t>
      </w:r>
      <w:r>
        <w:t xml:space="preserve">, </w:t>
      </w:r>
      <w:r>
        <w:rPr>
          <w:i/>
          <w:iCs/>
        </w:rPr>
        <w:t>GOV.UK</w:t>
      </w:r>
      <w:r>
        <w:t xml:space="preserve">. Available at: https://www.gov.uk/government/publications/simplifying-holiday-entitlement-and-holiday-pay-calculations/holiday-pay-and-entitlement-reforms-from-1-january-2024 (Accessed: 21 May 2025). </w:t>
      </w:r>
    </w:p>
    <w:p w14:paraId="39801064" w14:textId="12F9397C" w:rsidR="00465B99" w:rsidRPr="00AD6DA7" w:rsidRDefault="008E752C" w:rsidP="00AD6DA7">
      <w:pPr>
        <w:pStyle w:val="NormalWeb"/>
        <w:ind w:left="567" w:hanging="567"/>
      </w:pPr>
      <w:r>
        <w:t xml:space="preserve">GOV.UK (2024b) </w:t>
      </w:r>
      <w:r>
        <w:rPr>
          <w:i/>
          <w:iCs/>
        </w:rPr>
        <w:t>Shared parental leave and pay</w:t>
      </w:r>
      <w:r>
        <w:t xml:space="preserve">, </w:t>
      </w:r>
      <w:r>
        <w:rPr>
          <w:i/>
          <w:iCs/>
        </w:rPr>
        <w:t>GOV.UK</w:t>
      </w:r>
      <w:r>
        <w:t xml:space="preserve">. Available at: https://www.gov.uk/shared-parental-leave-and-pay (Accessed: 01 June 2025). </w:t>
      </w:r>
    </w:p>
    <w:p w14:paraId="4007BCD5" w14:textId="59B477DF" w:rsidR="00BF59AF" w:rsidRDefault="0075375F" w:rsidP="00C36EDF">
      <w:pPr>
        <w:pStyle w:val="NormalWeb"/>
      </w:pPr>
      <w:r>
        <w:rPr>
          <w:i/>
          <w:iCs/>
        </w:rPr>
        <w:t>Harpur Trust (appellants) v brazel (respondent)</w:t>
      </w:r>
      <w:r>
        <w:t xml:space="preserve"> (2025) </w:t>
      </w:r>
      <w:r>
        <w:rPr>
          <w:i/>
          <w:iCs/>
        </w:rPr>
        <w:t>UK Supreme Court</w:t>
      </w:r>
      <w:r>
        <w:t xml:space="preserve">. Available at: https://supremecourt.uk/cases/uksc-2019-0209 (Accessed: 15 May 2025). </w:t>
      </w:r>
    </w:p>
    <w:p w14:paraId="0EAEBEEF" w14:textId="76D44223" w:rsidR="00015B85" w:rsidRPr="00D87258" w:rsidRDefault="00015B85" w:rsidP="00C36EDF">
      <w:pPr>
        <w:pStyle w:val="NormalWeb"/>
      </w:pPr>
      <w:r>
        <w:lastRenderedPageBreak/>
        <w:t xml:space="preserve">Health </w:t>
      </w:r>
      <w:r w:rsidR="00D87258">
        <w:t xml:space="preserve">and Safety Executive (HSE), 2025. </w:t>
      </w:r>
      <w:r w:rsidR="00D87258" w:rsidRPr="00D87258">
        <w:rPr>
          <w:i/>
          <w:iCs/>
        </w:rPr>
        <w:t>Stress at work</w:t>
      </w:r>
      <w:r w:rsidR="00D87258">
        <w:rPr>
          <w:i/>
          <w:iCs/>
        </w:rPr>
        <w:t xml:space="preserve">. </w:t>
      </w:r>
      <w:r w:rsidR="00897765">
        <w:t xml:space="preserve">Available at: </w:t>
      </w:r>
      <w:hyperlink r:id="rId6" w:history="1">
        <w:r w:rsidR="00897765" w:rsidRPr="00897765">
          <w:rPr>
            <w:rStyle w:val="Hyperlink"/>
            <w:color w:val="auto"/>
            <w:u w:val="none"/>
          </w:rPr>
          <w:t>https://www.hse.gov.uk/stress</w:t>
        </w:r>
      </w:hyperlink>
      <w:r w:rsidR="00897765" w:rsidRPr="00897765">
        <w:t xml:space="preserve"> </w:t>
      </w:r>
      <w:r w:rsidR="00707C1B">
        <w:t>(Accessed: 21 July 2025.</w:t>
      </w:r>
    </w:p>
    <w:p w14:paraId="23F970A6" w14:textId="75B85843" w:rsidR="00C649EA" w:rsidRDefault="00610236" w:rsidP="0075375F">
      <w:pPr>
        <w:pStyle w:val="NormalWeb"/>
      </w:pPr>
      <w:r>
        <w:t>Lipton and another V BA CityFlyer Ltd (2024 UKSC 24</w:t>
      </w:r>
    </w:p>
    <w:p w14:paraId="4FC40BC2" w14:textId="5AC5B169" w:rsidR="00C36EDF" w:rsidRDefault="00FF4EE1" w:rsidP="0075375F">
      <w:pPr>
        <w:pStyle w:val="NormalWeb"/>
      </w:pPr>
      <w:r>
        <w:t>Middlesbrough Borough Council v Transport and General Workers Union (TGWU) [2002]</w:t>
      </w:r>
    </w:p>
    <w:p w14:paraId="7A6C9128" w14:textId="580B3830" w:rsidR="00C36EDF" w:rsidRPr="002F058E" w:rsidRDefault="00C36EDF" w:rsidP="0075375F">
      <w:pPr>
        <w:pStyle w:val="NormalWeb"/>
        <w:rPr>
          <w:strike/>
        </w:rPr>
      </w:pPr>
      <w:r w:rsidRPr="002F058E">
        <w:rPr>
          <w:strike/>
        </w:rPr>
        <w:t>Saini v All Saints Haque Centre &amp; Ors [</w:t>
      </w:r>
      <w:r w:rsidR="00666FB1" w:rsidRPr="002F058E">
        <w:rPr>
          <w:strike/>
        </w:rPr>
        <w:t>2008] UKEAT 0227_08_2410 (24 October 2008)</w:t>
      </w:r>
    </w:p>
    <w:p w14:paraId="01F68DCB" w14:textId="2F0119E8" w:rsidR="00C12087" w:rsidRDefault="00C12087" w:rsidP="0075375F">
      <w:pPr>
        <w:pStyle w:val="NormalWeb"/>
      </w:pPr>
      <w:r>
        <w:t xml:space="preserve">Taylor v Connex South Easten Ltd (2000) </w:t>
      </w:r>
      <w:r w:rsidR="0045751A">
        <w:t>EAT 1243/99</w:t>
      </w:r>
    </w:p>
    <w:p w14:paraId="1C9207AE" w14:textId="099FFAC2" w:rsidR="005F32FA" w:rsidRPr="00666FB1" w:rsidRDefault="005F32FA" w:rsidP="00666FB1">
      <w:pPr>
        <w:pStyle w:val="NormalWeb"/>
      </w:pPr>
      <w:r>
        <w:t>West Sussex County Council v Austin (2014) UKEAT</w:t>
      </w:r>
      <w:r w:rsidR="00184189">
        <w:t>/0034/14</w:t>
      </w:r>
    </w:p>
    <w:sectPr w:rsidR="005F32FA" w:rsidRPr="00666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94622"/>
    <w:multiLevelType w:val="hybridMultilevel"/>
    <w:tmpl w:val="7F24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9405B"/>
    <w:multiLevelType w:val="hybridMultilevel"/>
    <w:tmpl w:val="2CB6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334864">
    <w:abstractNumId w:val="0"/>
  </w:num>
  <w:num w:numId="2" w16cid:durableId="291522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42"/>
    <w:rsid w:val="00015B85"/>
    <w:rsid w:val="00016EE6"/>
    <w:rsid w:val="00017691"/>
    <w:rsid w:val="0003460C"/>
    <w:rsid w:val="00035559"/>
    <w:rsid w:val="0005393F"/>
    <w:rsid w:val="00055ACA"/>
    <w:rsid w:val="00061DA6"/>
    <w:rsid w:val="000650A0"/>
    <w:rsid w:val="000671F2"/>
    <w:rsid w:val="00074BE4"/>
    <w:rsid w:val="00084509"/>
    <w:rsid w:val="00091F18"/>
    <w:rsid w:val="00092777"/>
    <w:rsid w:val="00096025"/>
    <w:rsid w:val="000A1000"/>
    <w:rsid w:val="000A1247"/>
    <w:rsid w:val="000A167B"/>
    <w:rsid w:val="000A4352"/>
    <w:rsid w:val="000B09CB"/>
    <w:rsid w:val="000B28A7"/>
    <w:rsid w:val="000B6C57"/>
    <w:rsid w:val="000C7551"/>
    <w:rsid w:val="000C78FD"/>
    <w:rsid w:val="000D28A3"/>
    <w:rsid w:val="000D4E28"/>
    <w:rsid w:val="000E1526"/>
    <w:rsid w:val="000E26D5"/>
    <w:rsid w:val="000E4A47"/>
    <w:rsid w:val="000E7E4E"/>
    <w:rsid w:val="000F42AC"/>
    <w:rsid w:val="000F596F"/>
    <w:rsid w:val="001018FE"/>
    <w:rsid w:val="001062FB"/>
    <w:rsid w:val="00106C67"/>
    <w:rsid w:val="00111A8E"/>
    <w:rsid w:val="00114128"/>
    <w:rsid w:val="00115FB3"/>
    <w:rsid w:val="00121DA5"/>
    <w:rsid w:val="00122AD5"/>
    <w:rsid w:val="00130023"/>
    <w:rsid w:val="00130792"/>
    <w:rsid w:val="0014506C"/>
    <w:rsid w:val="0014535B"/>
    <w:rsid w:val="001536B4"/>
    <w:rsid w:val="00154B6D"/>
    <w:rsid w:val="00163D9A"/>
    <w:rsid w:val="00164CDB"/>
    <w:rsid w:val="00166B35"/>
    <w:rsid w:val="00166FDF"/>
    <w:rsid w:val="00167002"/>
    <w:rsid w:val="00172B9F"/>
    <w:rsid w:val="001731FB"/>
    <w:rsid w:val="00176E07"/>
    <w:rsid w:val="00177B15"/>
    <w:rsid w:val="00181C99"/>
    <w:rsid w:val="00184189"/>
    <w:rsid w:val="001901B3"/>
    <w:rsid w:val="00193CEC"/>
    <w:rsid w:val="001941A5"/>
    <w:rsid w:val="001964D9"/>
    <w:rsid w:val="001A1866"/>
    <w:rsid w:val="001A1A43"/>
    <w:rsid w:val="001A2F92"/>
    <w:rsid w:val="001B1530"/>
    <w:rsid w:val="001B3E6D"/>
    <w:rsid w:val="001B7B05"/>
    <w:rsid w:val="001C0A72"/>
    <w:rsid w:val="001C1F4D"/>
    <w:rsid w:val="001C7908"/>
    <w:rsid w:val="001D76D7"/>
    <w:rsid w:val="001E0F52"/>
    <w:rsid w:val="001E23DC"/>
    <w:rsid w:val="001E453C"/>
    <w:rsid w:val="001E6C9E"/>
    <w:rsid w:val="001F3A03"/>
    <w:rsid w:val="00203B44"/>
    <w:rsid w:val="00204A10"/>
    <w:rsid w:val="0021323D"/>
    <w:rsid w:val="002139D4"/>
    <w:rsid w:val="00216A67"/>
    <w:rsid w:val="00216D91"/>
    <w:rsid w:val="002216C3"/>
    <w:rsid w:val="002229B2"/>
    <w:rsid w:val="00224672"/>
    <w:rsid w:val="00232296"/>
    <w:rsid w:val="002323DC"/>
    <w:rsid w:val="002328DF"/>
    <w:rsid w:val="00235409"/>
    <w:rsid w:val="00235F35"/>
    <w:rsid w:val="0024257B"/>
    <w:rsid w:val="002442F1"/>
    <w:rsid w:val="002442F8"/>
    <w:rsid w:val="00244BD7"/>
    <w:rsid w:val="00252F8F"/>
    <w:rsid w:val="002539C4"/>
    <w:rsid w:val="0025446E"/>
    <w:rsid w:val="0026317E"/>
    <w:rsid w:val="002649B2"/>
    <w:rsid w:val="00273D3B"/>
    <w:rsid w:val="002740D0"/>
    <w:rsid w:val="002764F0"/>
    <w:rsid w:val="00281440"/>
    <w:rsid w:val="00283837"/>
    <w:rsid w:val="002858D6"/>
    <w:rsid w:val="00292929"/>
    <w:rsid w:val="00292F5E"/>
    <w:rsid w:val="002A0503"/>
    <w:rsid w:val="002A0D45"/>
    <w:rsid w:val="002A4BA5"/>
    <w:rsid w:val="002A7757"/>
    <w:rsid w:val="002B3BF3"/>
    <w:rsid w:val="002C134D"/>
    <w:rsid w:val="002C4CF5"/>
    <w:rsid w:val="002D05CF"/>
    <w:rsid w:val="002D2E2A"/>
    <w:rsid w:val="002D467D"/>
    <w:rsid w:val="002D6406"/>
    <w:rsid w:val="002D6B33"/>
    <w:rsid w:val="002E1572"/>
    <w:rsid w:val="002E58D3"/>
    <w:rsid w:val="002F058E"/>
    <w:rsid w:val="002F07E8"/>
    <w:rsid w:val="002F2F32"/>
    <w:rsid w:val="002F32D3"/>
    <w:rsid w:val="00300884"/>
    <w:rsid w:val="00305D7C"/>
    <w:rsid w:val="003100A5"/>
    <w:rsid w:val="003107B0"/>
    <w:rsid w:val="00317AA3"/>
    <w:rsid w:val="00320C16"/>
    <w:rsid w:val="00321197"/>
    <w:rsid w:val="0032573E"/>
    <w:rsid w:val="00330E40"/>
    <w:rsid w:val="00335841"/>
    <w:rsid w:val="00336041"/>
    <w:rsid w:val="0033691B"/>
    <w:rsid w:val="00346C15"/>
    <w:rsid w:val="00360721"/>
    <w:rsid w:val="00361AE6"/>
    <w:rsid w:val="003637AC"/>
    <w:rsid w:val="003646C0"/>
    <w:rsid w:val="00366FC2"/>
    <w:rsid w:val="00370A50"/>
    <w:rsid w:val="00372002"/>
    <w:rsid w:val="00372CD7"/>
    <w:rsid w:val="003747EB"/>
    <w:rsid w:val="00375633"/>
    <w:rsid w:val="00376120"/>
    <w:rsid w:val="00377481"/>
    <w:rsid w:val="00377573"/>
    <w:rsid w:val="0038045D"/>
    <w:rsid w:val="00382B1E"/>
    <w:rsid w:val="00383F17"/>
    <w:rsid w:val="00384EE4"/>
    <w:rsid w:val="00385654"/>
    <w:rsid w:val="00387DAB"/>
    <w:rsid w:val="003906F8"/>
    <w:rsid w:val="003915B4"/>
    <w:rsid w:val="00393CC7"/>
    <w:rsid w:val="00394FC2"/>
    <w:rsid w:val="00396DE0"/>
    <w:rsid w:val="003A231E"/>
    <w:rsid w:val="003A2ADF"/>
    <w:rsid w:val="003A2D8B"/>
    <w:rsid w:val="003A4F40"/>
    <w:rsid w:val="003B0B72"/>
    <w:rsid w:val="003B4074"/>
    <w:rsid w:val="003B42C6"/>
    <w:rsid w:val="003B5894"/>
    <w:rsid w:val="003B7AD5"/>
    <w:rsid w:val="003C1E12"/>
    <w:rsid w:val="003C35D1"/>
    <w:rsid w:val="003C5A77"/>
    <w:rsid w:val="003D126A"/>
    <w:rsid w:val="003E014C"/>
    <w:rsid w:val="003F1274"/>
    <w:rsid w:val="003F49DB"/>
    <w:rsid w:val="003F6576"/>
    <w:rsid w:val="00406639"/>
    <w:rsid w:val="004108ED"/>
    <w:rsid w:val="004140B3"/>
    <w:rsid w:val="00421B46"/>
    <w:rsid w:val="00424241"/>
    <w:rsid w:val="004249D3"/>
    <w:rsid w:val="0044232F"/>
    <w:rsid w:val="00444B52"/>
    <w:rsid w:val="004508F0"/>
    <w:rsid w:val="0045094B"/>
    <w:rsid w:val="00451222"/>
    <w:rsid w:val="00454BF2"/>
    <w:rsid w:val="0045751A"/>
    <w:rsid w:val="00460F17"/>
    <w:rsid w:val="00461ACF"/>
    <w:rsid w:val="0046210A"/>
    <w:rsid w:val="004649FD"/>
    <w:rsid w:val="00465B99"/>
    <w:rsid w:val="00466564"/>
    <w:rsid w:val="004727F2"/>
    <w:rsid w:val="0047642D"/>
    <w:rsid w:val="00481132"/>
    <w:rsid w:val="004814EA"/>
    <w:rsid w:val="00483091"/>
    <w:rsid w:val="004878C5"/>
    <w:rsid w:val="00490C0D"/>
    <w:rsid w:val="004922D4"/>
    <w:rsid w:val="00493000"/>
    <w:rsid w:val="00494330"/>
    <w:rsid w:val="004A074D"/>
    <w:rsid w:val="004B2998"/>
    <w:rsid w:val="004B3CA0"/>
    <w:rsid w:val="004C24EB"/>
    <w:rsid w:val="004C730A"/>
    <w:rsid w:val="004D036F"/>
    <w:rsid w:val="004D34A0"/>
    <w:rsid w:val="004D75F8"/>
    <w:rsid w:val="004E10D2"/>
    <w:rsid w:val="004E2D75"/>
    <w:rsid w:val="004E4B6D"/>
    <w:rsid w:val="00500855"/>
    <w:rsid w:val="005037EB"/>
    <w:rsid w:val="00505CC9"/>
    <w:rsid w:val="0050727D"/>
    <w:rsid w:val="00517299"/>
    <w:rsid w:val="00520D23"/>
    <w:rsid w:val="005230E4"/>
    <w:rsid w:val="00523323"/>
    <w:rsid w:val="005237FA"/>
    <w:rsid w:val="00523BB7"/>
    <w:rsid w:val="00527B7B"/>
    <w:rsid w:val="00534E6D"/>
    <w:rsid w:val="00536F68"/>
    <w:rsid w:val="00537656"/>
    <w:rsid w:val="00543F34"/>
    <w:rsid w:val="0055110C"/>
    <w:rsid w:val="00552ABA"/>
    <w:rsid w:val="00553209"/>
    <w:rsid w:val="00554243"/>
    <w:rsid w:val="005645DA"/>
    <w:rsid w:val="00570EF8"/>
    <w:rsid w:val="00572AA2"/>
    <w:rsid w:val="00573C41"/>
    <w:rsid w:val="005817BB"/>
    <w:rsid w:val="00585D0A"/>
    <w:rsid w:val="0058765D"/>
    <w:rsid w:val="00590862"/>
    <w:rsid w:val="00591050"/>
    <w:rsid w:val="005923C9"/>
    <w:rsid w:val="00594F42"/>
    <w:rsid w:val="00597540"/>
    <w:rsid w:val="005A174C"/>
    <w:rsid w:val="005A201D"/>
    <w:rsid w:val="005A503C"/>
    <w:rsid w:val="005A725B"/>
    <w:rsid w:val="005B2320"/>
    <w:rsid w:val="005B3684"/>
    <w:rsid w:val="005B395A"/>
    <w:rsid w:val="005B48A2"/>
    <w:rsid w:val="005C0950"/>
    <w:rsid w:val="005C4703"/>
    <w:rsid w:val="005C4AE9"/>
    <w:rsid w:val="005C690E"/>
    <w:rsid w:val="005C7041"/>
    <w:rsid w:val="005D1B8E"/>
    <w:rsid w:val="005D6A8F"/>
    <w:rsid w:val="005E2420"/>
    <w:rsid w:val="005E3B72"/>
    <w:rsid w:val="005E3E4F"/>
    <w:rsid w:val="005E5384"/>
    <w:rsid w:val="005F290D"/>
    <w:rsid w:val="005F32FA"/>
    <w:rsid w:val="005F669B"/>
    <w:rsid w:val="00603D0F"/>
    <w:rsid w:val="00606C17"/>
    <w:rsid w:val="00610236"/>
    <w:rsid w:val="006149CF"/>
    <w:rsid w:val="00621762"/>
    <w:rsid w:val="006224F4"/>
    <w:rsid w:val="006301B6"/>
    <w:rsid w:val="006319E4"/>
    <w:rsid w:val="00636A69"/>
    <w:rsid w:val="00637809"/>
    <w:rsid w:val="0064204C"/>
    <w:rsid w:val="00650D88"/>
    <w:rsid w:val="00650D8C"/>
    <w:rsid w:val="0065263F"/>
    <w:rsid w:val="006545C2"/>
    <w:rsid w:val="006612FE"/>
    <w:rsid w:val="00661B58"/>
    <w:rsid w:val="006652F1"/>
    <w:rsid w:val="00666FB1"/>
    <w:rsid w:val="00674BCB"/>
    <w:rsid w:val="00677A11"/>
    <w:rsid w:val="00685537"/>
    <w:rsid w:val="00686DFD"/>
    <w:rsid w:val="00687A20"/>
    <w:rsid w:val="00687CD6"/>
    <w:rsid w:val="006A15E9"/>
    <w:rsid w:val="006A1AF4"/>
    <w:rsid w:val="006B07B6"/>
    <w:rsid w:val="006C3D8B"/>
    <w:rsid w:val="006C5102"/>
    <w:rsid w:val="006D1523"/>
    <w:rsid w:val="006D4166"/>
    <w:rsid w:val="006D6B53"/>
    <w:rsid w:val="006E208A"/>
    <w:rsid w:val="006E7541"/>
    <w:rsid w:val="006F76D7"/>
    <w:rsid w:val="006F778F"/>
    <w:rsid w:val="0070113D"/>
    <w:rsid w:val="007034F7"/>
    <w:rsid w:val="0070551B"/>
    <w:rsid w:val="00705D02"/>
    <w:rsid w:val="00707562"/>
    <w:rsid w:val="00707C1B"/>
    <w:rsid w:val="00712ABB"/>
    <w:rsid w:val="007152F0"/>
    <w:rsid w:val="0071749B"/>
    <w:rsid w:val="0072069B"/>
    <w:rsid w:val="007227DE"/>
    <w:rsid w:val="00730658"/>
    <w:rsid w:val="0074335D"/>
    <w:rsid w:val="007511AB"/>
    <w:rsid w:val="00751979"/>
    <w:rsid w:val="0075375F"/>
    <w:rsid w:val="00756584"/>
    <w:rsid w:val="007565A9"/>
    <w:rsid w:val="007605F0"/>
    <w:rsid w:val="0076280F"/>
    <w:rsid w:val="007657BC"/>
    <w:rsid w:val="00771DB5"/>
    <w:rsid w:val="007758E1"/>
    <w:rsid w:val="00785277"/>
    <w:rsid w:val="00786593"/>
    <w:rsid w:val="00786708"/>
    <w:rsid w:val="00792828"/>
    <w:rsid w:val="007A0E8B"/>
    <w:rsid w:val="007A3F6B"/>
    <w:rsid w:val="007A544D"/>
    <w:rsid w:val="007B34DF"/>
    <w:rsid w:val="007C0D58"/>
    <w:rsid w:val="007C28B1"/>
    <w:rsid w:val="007C45AB"/>
    <w:rsid w:val="007D63AC"/>
    <w:rsid w:val="007E34D7"/>
    <w:rsid w:val="007F6A8A"/>
    <w:rsid w:val="00803253"/>
    <w:rsid w:val="0080730D"/>
    <w:rsid w:val="00811DBC"/>
    <w:rsid w:val="00814654"/>
    <w:rsid w:val="0082001D"/>
    <w:rsid w:val="00827050"/>
    <w:rsid w:val="00833076"/>
    <w:rsid w:val="00847377"/>
    <w:rsid w:val="00851344"/>
    <w:rsid w:val="008515E9"/>
    <w:rsid w:val="0085467B"/>
    <w:rsid w:val="008550F1"/>
    <w:rsid w:val="00855B9A"/>
    <w:rsid w:val="00857B33"/>
    <w:rsid w:val="00863011"/>
    <w:rsid w:val="00863348"/>
    <w:rsid w:val="00863427"/>
    <w:rsid w:val="00864959"/>
    <w:rsid w:val="00870AEF"/>
    <w:rsid w:val="00870C4A"/>
    <w:rsid w:val="0087572A"/>
    <w:rsid w:val="00875DE3"/>
    <w:rsid w:val="00877CF4"/>
    <w:rsid w:val="008864E6"/>
    <w:rsid w:val="00890949"/>
    <w:rsid w:val="008962F1"/>
    <w:rsid w:val="00897765"/>
    <w:rsid w:val="008A43B7"/>
    <w:rsid w:val="008B103B"/>
    <w:rsid w:val="008B595B"/>
    <w:rsid w:val="008C363C"/>
    <w:rsid w:val="008C4692"/>
    <w:rsid w:val="008C73F7"/>
    <w:rsid w:val="008C7806"/>
    <w:rsid w:val="008D1915"/>
    <w:rsid w:val="008D6B33"/>
    <w:rsid w:val="008E08C2"/>
    <w:rsid w:val="008E1735"/>
    <w:rsid w:val="008E1F53"/>
    <w:rsid w:val="008E752C"/>
    <w:rsid w:val="008F6261"/>
    <w:rsid w:val="009036F9"/>
    <w:rsid w:val="00903706"/>
    <w:rsid w:val="00903AD1"/>
    <w:rsid w:val="00905E68"/>
    <w:rsid w:val="00910B9D"/>
    <w:rsid w:val="0091205D"/>
    <w:rsid w:val="00915A3B"/>
    <w:rsid w:val="00915EC5"/>
    <w:rsid w:val="0092077D"/>
    <w:rsid w:val="00920D72"/>
    <w:rsid w:val="00930973"/>
    <w:rsid w:val="00930CF9"/>
    <w:rsid w:val="009312F9"/>
    <w:rsid w:val="00931ED7"/>
    <w:rsid w:val="00937718"/>
    <w:rsid w:val="00940A0B"/>
    <w:rsid w:val="009435BF"/>
    <w:rsid w:val="00944C91"/>
    <w:rsid w:val="00954BB9"/>
    <w:rsid w:val="009559C5"/>
    <w:rsid w:val="00956440"/>
    <w:rsid w:val="00956AD5"/>
    <w:rsid w:val="009655D6"/>
    <w:rsid w:val="00965910"/>
    <w:rsid w:val="00971359"/>
    <w:rsid w:val="00976C6A"/>
    <w:rsid w:val="00982ACD"/>
    <w:rsid w:val="00982C58"/>
    <w:rsid w:val="009911A6"/>
    <w:rsid w:val="00992A31"/>
    <w:rsid w:val="00994E33"/>
    <w:rsid w:val="00994FF0"/>
    <w:rsid w:val="00997D2B"/>
    <w:rsid w:val="00997E8F"/>
    <w:rsid w:val="009A146A"/>
    <w:rsid w:val="009A1699"/>
    <w:rsid w:val="009A532F"/>
    <w:rsid w:val="009A6B67"/>
    <w:rsid w:val="009B77B8"/>
    <w:rsid w:val="009D1947"/>
    <w:rsid w:val="009D3D04"/>
    <w:rsid w:val="009D49E5"/>
    <w:rsid w:val="009E22A6"/>
    <w:rsid w:val="009E3724"/>
    <w:rsid w:val="009E3996"/>
    <w:rsid w:val="009E5847"/>
    <w:rsid w:val="009F5193"/>
    <w:rsid w:val="009F5755"/>
    <w:rsid w:val="00A02DD1"/>
    <w:rsid w:val="00A04EA2"/>
    <w:rsid w:val="00A10157"/>
    <w:rsid w:val="00A108F6"/>
    <w:rsid w:val="00A16E5D"/>
    <w:rsid w:val="00A20F63"/>
    <w:rsid w:val="00A36C30"/>
    <w:rsid w:val="00A40146"/>
    <w:rsid w:val="00A40B9F"/>
    <w:rsid w:val="00A41312"/>
    <w:rsid w:val="00A42B3F"/>
    <w:rsid w:val="00A44A22"/>
    <w:rsid w:val="00A47235"/>
    <w:rsid w:val="00A47740"/>
    <w:rsid w:val="00A50D4F"/>
    <w:rsid w:val="00A515AD"/>
    <w:rsid w:val="00A51DB5"/>
    <w:rsid w:val="00A53D3C"/>
    <w:rsid w:val="00A55325"/>
    <w:rsid w:val="00A60704"/>
    <w:rsid w:val="00A6354B"/>
    <w:rsid w:val="00A7399B"/>
    <w:rsid w:val="00A7433D"/>
    <w:rsid w:val="00A748FD"/>
    <w:rsid w:val="00A7727B"/>
    <w:rsid w:val="00A9019E"/>
    <w:rsid w:val="00A935E5"/>
    <w:rsid w:val="00AB00CC"/>
    <w:rsid w:val="00AC3EB1"/>
    <w:rsid w:val="00AC4020"/>
    <w:rsid w:val="00AC40D3"/>
    <w:rsid w:val="00AC5862"/>
    <w:rsid w:val="00AD46F1"/>
    <w:rsid w:val="00AD6DA7"/>
    <w:rsid w:val="00AE0C9A"/>
    <w:rsid w:val="00AE334D"/>
    <w:rsid w:val="00AE7634"/>
    <w:rsid w:val="00AF15D4"/>
    <w:rsid w:val="00AF3561"/>
    <w:rsid w:val="00AF43EE"/>
    <w:rsid w:val="00AF4477"/>
    <w:rsid w:val="00AF4EF5"/>
    <w:rsid w:val="00B02E81"/>
    <w:rsid w:val="00B1100A"/>
    <w:rsid w:val="00B11DE7"/>
    <w:rsid w:val="00B21015"/>
    <w:rsid w:val="00B21915"/>
    <w:rsid w:val="00B3432E"/>
    <w:rsid w:val="00B35C2E"/>
    <w:rsid w:val="00B367A6"/>
    <w:rsid w:val="00B3684E"/>
    <w:rsid w:val="00B3687A"/>
    <w:rsid w:val="00B4382A"/>
    <w:rsid w:val="00B51ED8"/>
    <w:rsid w:val="00B54840"/>
    <w:rsid w:val="00B549E4"/>
    <w:rsid w:val="00B54E77"/>
    <w:rsid w:val="00B567F7"/>
    <w:rsid w:val="00B60C51"/>
    <w:rsid w:val="00B83EFC"/>
    <w:rsid w:val="00B92413"/>
    <w:rsid w:val="00B94DF4"/>
    <w:rsid w:val="00B95CC3"/>
    <w:rsid w:val="00B97C23"/>
    <w:rsid w:val="00BA16AF"/>
    <w:rsid w:val="00BA2A00"/>
    <w:rsid w:val="00BA2C6F"/>
    <w:rsid w:val="00BA35C9"/>
    <w:rsid w:val="00BA45D1"/>
    <w:rsid w:val="00BA4A66"/>
    <w:rsid w:val="00BA6E83"/>
    <w:rsid w:val="00BB0F0A"/>
    <w:rsid w:val="00BB7E9E"/>
    <w:rsid w:val="00BC19ED"/>
    <w:rsid w:val="00BC5C06"/>
    <w:rsid w:val="00BC6CF0"/>
    <w:rsid w:val="00BC7636"/>
    <w:rsid w:val="00BC777D"/>
    <w:rsid w:val="00BD2745"/>
    <w:rsid w:val="00BD3CE6"/>
    <w:rsid w:val="00BD5964"/>
    <w:rsid w:val="00BD5AF4"/>
    <w:rsid w:val="00BD736F"/>
    <w:rsid w:val="00BE12FE"/>
    <w:rsid w:val="00BE37DC"/>
    <w:rsid w:val="00BE73AF"/>
    <w:rsid w:val="00BF0165"/>
    <w:rsid w:val="00BF11A6"/>
    <w:rsid w:val="00BF1BE0"/>
    <w:rsid w:val="00BF39B7"/>
    <w:rsid w:val="00BF58E8"/>
    <w:rsid w:val="00BF59AF"/>
    <w:rsid w:val="00C012A8"/>
    <w:rsid w:val="00C013A7"/>
    <w:rsid w:val="00C01CE8"/>
    <w:rsid w:val="00C04ECC"/>
    <w:rsid w:val="00C12087"/>
    <w:rsid w:val="00C15D6D"/>
    <w:rsid w:val="00C22B75"/>
    <w:rsid w:val="00C30922"/>
    <w:rsid w:val="00C3174E"/>
    <w:rsid w:val="00C32F24"/>
    <w:rsid w:val="00C35034"/>
    <w:rsid w:val="00C3590C"/>
    <w:rsid w:val="00C36EDF"/>
    <w:rsid w:val="00C45766"/>
    <w:rsid w:val="00C47AA1"/>
    <w:rsid w:val="00C50E02"/>
    <w:rsid w:val="00C56030"/>
    <w:rsid w:val="00C575F1"/>
    <w:rsid w:val="00C649EA"/>
    <w:rsid w:val="00C656FC"/>
    <w:rsid w:val="00C75704"/>
    <w:rsid w:val="00C81890"/>
    <w:rsid w:val="00C82301"/>
    <w:rsid w:val="00C82539"/>
    <w:rsid w:val="00C829CE"/>
    <w:rsid w:val="00C830E5"/>
    <w:rsid w:val="00C8435F"/>
    <w:rsid w:val="00C86F19"/>
    <w:rsid w:val="00C940A9"/>
    <w:rsid w:val="00CA6AE3"/>
    <w:rsid w:val="00CC0605"/>
    <w:rsid w:val="00CC521E"/>
    <w:rsid w:val="00CC6241"/>
    <w:rsid w:val="00CD2D2D"/>
    <w:rsid w:val="00CE1754"/>
    <w:rsid w:val="00CE4FC4"/>
    <w:rsid w:val="00CE70D3"/>
    <w:rsid w:val="00CF4AE4"/>
    <w:rsid w:val="00CF5608"/>
    <w:rsid w:val="00CF5C6E"/>
    <w:rsid w:val="00CF606E"/>
    <w:rsid w:val="00D0494D"/>
    <w:rsid w:val="00D07C0B"/>
    <w:rsid w:val="00D11550"/>
    <w:rsid w:val="00D12870"/>
    <w:rsid w:val="00D25DF2"/>
    <w:rsid w:val="00D26B00"/>
    <w:rsid w:val="00D33324"/>
    <w:rsid w:val="00D34F09"/>
    <w:rsid w:val="00D47304"/>
    <w:rsid w:val="00D63BAB"/>
    <w:rsid w:val="00D67013"/>
    <w:rsid w:val="00D7573D"/>
    <w:rsid w:val="00D75AFD"/>
    <w:rsid w:val="00D806D6"/>
    <w:rsid w:val="00D824CB"/>
    <w:rsid w:val="00D82A6F"/>
    <w:rsid w:val="00D83F2E"/>
    <w:rsid w:val="00D8438F"/>
    <w:rsid w:val="00D84CC2"/>
    <w:rsid w:val="00D87258"/>
    <w:rsid w:val="00D91554"/>
    <w:rsid w:val="00D92A87"/>
    <w:rsid w:val="00DA0451"/>
    <w:rsid w:val="00DA1847"/>
    <w:rsid w:val="00DA4F62"/>
    <w:rsid w:val="00DA5B3D"/>
    <w:rsid w:val="00DB0843"/>
    <w:rsid w:val="00DB2776"/>
    <w:rsid w:val="00DB5E23"/>
    <w:rsid w:val="00DC0497"/>
    <w:rsid w:val="00DC174A"/>
    <w:rsid w:val="00DC2EEE"/>
    <w:rsid w:val="00DC4755"/>
    <w:rsid w:val="00DD4787"/>
    <w:rsid w:val="00DD5423"/>
    <w:rsid w:val="00DE63D7"/>
    <w:rsid w:val="00DF5C18"/>
    <w:rsid w:val="00DF6070"/>
    <w:rsid w:val="00DF6688"/>
    <w:rsid w:val="00E00FA0"/>
    <w:rsid w:val="00E01749"/>
    <w:rsid w:val="00E0346A"/>
    <w:rsid w:val="00E10682"/>
    <w:rsid w:val="00E13C2E"/>
    <w:rsid w:val="00E14853"/>
    <w:rsid w:val="00E200E3"/>
    <w:rsid w:val="00E24949"/>
    <w:rsid w:val="00E24E7B"/>
    <w:rsid w:val="00E305A2"/>
    <w:rsid w:val="00E31D7A"/>
    <w:rsid w:val="00E33292"/>
    <w:rsid w:val="00E33397"/>
    <w:rsid w:val="00E34EEB"/>
    <w:rsid w:val="00E402BD"/>
    <w:rsid w:val="00E43076"/>
    <w:rsid w:val="00E5491A"/>
    <w:rsid w:val="00E560CE"/>
    <w:rsid w:val="00E56421"/>
    <w:rsid w:val="00E600D5"/>
    <w:rsid w:val="00E60E5E"/>
    <w:rsid w:val="00E65EFD"/>
    <w:rsid w:val="00E71453"/>
    <w:rsid w:val="00E71540"/>
    <w:rsid w:val="00E71D1F"/>
    <w:rsid w:val="00E81253"/>
    <w:rsid w:val="00E83C9C"/>
    <w:rsid w:val="00E843BB"/>
    <w:rsid w:val="00E85C40"/>
    <w:rsid w:val="00E928DE"/>
    <w:rsid w:val="00E93211"/>
    <w:rsid w:val="00E94A16"/>
    <w:rsid w:val="00E95534"/>
    <w:rsid w:val="00E96CBC"/>
    <w:rsid w:val="00EA1343"/>
    <w:rsid w:val="00EA14D4"/>
    <w:rsid w:val="00EB1547"/>
    <w:rsid w:val="00EB36A6"/>
    <w:rsid w:val="00EC0DD6"/>
    <w:rsid w:val="00EC6573"/>
    <w:rsid w:val="00EC78FF"/>
    <w:rsid w:val="00ED20B8"/>
    <w:rsid w:val="00ED3506"/>
    <w:rsid w:val="00EE1EF9"/>
    <w:rsid w:val="00EE6A3D"/>
    <w:rsid w:val="00EF05C1"/>
    <w:rsid w:val="00EF2204"/>
    <w:rsid w:val="00EF6A6F"/>
    <w:rsid w:val="00EF6FEB"/>
    <w:rsid w:val="00EF756E"/>
    <w:rsid w:val="00F00046"/>
    <w:rsid w:val="00F04EC2"/>
    <w:rsid w:val="00F17642"/>
    <w:rsid w:val="00F17EE9"/>
    <w:rsid w:val="00F20CD7"/>
    <w:rsid w:val="00F21E00"/>
    <w:rsid w:val="00F2747D"/>
    <w:rsid w:val="00F27D44"/>
    <w:rsid w:val="00F302F3"/>
    <w:rsid w:val="00F4069D"/>
    <w:rsid w:val="00F40B4C"/>
    <w:rsid w:val="00F44324"/>
    <w:rsid w:val="00F53DBC"/>
    <w:rsid w:val="00F603B6"/>
    <w:rsid w:val="00F6461D"/>
    <w:rsid w:val="00F6516B"/>
    <w:rsid w:val="00F71656"/>
    <w:rsid w:val="00F738B0"/>
    <w:rsid w:val="00F810DA"/>
    <w:rsid w:val="00F87059"/>
    <w:rsid w:val="00F912EE"/>
    <w:rsid w:val="00F91E1C"/>
    <w:rsid w:val="00F922FB"/>
    <w:rsid w:val="00FA5E1B"/>
    <w:rsid w:val="00FB12BB"/>
    <w:rsid w:val="00FB2D2A"/>
    <w:rsid w:val="00FB4CE2"/>
    <w:rsid w:val="00FB628F"/>
    <w:rsid w:val="00FB66FC"/>
    <w:rsid w:val="00FB6A1C"/>
    <w:rsid w:val="00FB7606"/>
    <w:rsid w:val="00FB76C6"/>
    <w:rsid w:val="00FC6761"/>
    <w:rsid w:val="00FE6A1C"/>
    <w:rsid w:val="00FF2375"/>
    <w:rsid w:val="00FF3F7C"/>
    <w:rsid w:val="00FF4DF9"/>
    <w:rsid w:val="00FF4EE1"/>
    <w:rsid w:val="00FF647C"/>
    <w:rsid w:val="00FF7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D0C8"/>
  <w15:chartTrackingRefBased/>
  <w15:docId w15:val="{670470C4-F2AF-4CA3-9FA0-F4B3E6715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F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94F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94F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94F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94F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94F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F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F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F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F4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94F4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94F4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94F4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94F4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94F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42"/>
    <w:rPr>
      <w:rFonts w:eastAsiaTheme="majorEastAsia" w:cstheme="majorBidi"/>
      <w:color w:val="272727" w:themeColor="text1" w:themeTint="D8"/>
    </w:rPr>
  </w:style>
  <w:style w:type="paragraph" w:styleId="Title">
    <w:name w:val="Title"/>
    <w:basedOn w:val="Normal"/>
    <w:next w:val="Normal"/>
    <w:link w:val="TitleChar"/>
    <w:uiPriority w:val="10"/>
    <w:qFormat/>
    <w:rsid w:val="00594F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F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F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42"/>
    <w:pPr>
      <w:spacing w:before="160"/>
      <w:jc w:val="center"/>
    </w:pPr>
    <w:rPr>
      <w:i/>
      <w:iCs/>
      <w:color w:val="404040" w:themeColor="text1" w:themeTint="BF"/>
    </w:rPr>
  </w:style>
  <w:style w:type="character" w:customStyle="1" w:styleId="QuoteChar">
    <w:name w:val="Quote Char"/>
    <w:basedOn w:val="DefaultParagraphFont"/>
    <w:link w:val="Quote"/>
    <w:uiPriority w:val="29"/>
    <w:rsid w:val="00594F42"/>
    <w:rPr>
      <w:i/>
      <w:iCs/>
      <w:color w:val="404040" w:themeColor="text1" w:themeTint="BF"/>
    </w:rPr>
  </w:style>
  <w:style w:type="paragraph" w:styleId="ListParagraph">
    <w:name w:val="List Paragraph"/>
    <w:basedOn w:val="Normal"/>
    <w:uiPriority w:val="34"/>
    <w:qFormat/>
    <w:rsid w:val="00594F42"/>
    <w:pPr>
      <w:ind w:left="720"/>
      <w:contextualSpacing/>
    </w:pPr>
  </w:style>
  <w:style w:type="character" w:styleId="IntenseEmphasis">
    <w:name w:val="Intense Emphasis"/>
    <w:basedOn w:val="DefaultParagraphFont"/>
    <w:uiPriority w:val="21"/>
    <w:qFormat/>
    <w:rsid w:val="00594F42"/>
    <w:rPr>
      <w:i/>
      <w:iCs/>
      <w:color w:val="2E74B5" w:themeColor="accent1" w:themeShade="BF"/>
    </w:rPr>
  </w:style>
  <w:style w:type="paragraph" w:styleId="IntenseQuote">
    <w:name w:val="Intense Quote"/>
    <w:basedOn w:val="Normal"/>
    <w:next w:val="Normal"/>
    <w:link w:val="IntenseQuoteChar"/>
    <w:uiPriority w:val="30"/>
    <w:qFormat/>
    <w:rsid w:val="00594F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94F42"/>
    <w:rPr>
      <w:i/>
      <w:iCs/>
      <w:color w:val="2E74B5" w:themeColor="accent1" w:themeShade="BF"/>
    </w:rPr>
  </w:style>
  <w:style w:type="character" w:styleId="IntenseReference">
    <w:name w:val="Intense Reference"/>
    <w:basedOn w:val="DefaultParagraphFont"/>
    <w:uiPriority w:val="32"/>
    <w:qFormat/>
    <w:rsid w:val="00594F42"/>
    <w:rPr>
      <w:b/>
      <w:bCs/>
      <w:smallCaps/>
      <w:color w:val="2E74B5" w:themeColor="accent1" w:themeShade="BF"/>
      <w:spacing w:val="5"/>
    </w:rPr>
  </w:style>
  <w:style w:type="character" w:customStyle="1" w:styleId="ListparagChar">
    <w:name w:val="List parag Char"/>
    <w:basedOn w:val="DefaultParagraphFont"/>
    <w:link w:val="Listparag"/>
    <w:locked/>
    <w:rsid w:val="00594F42"/>
    <w:rPr>
      <w:rFonts w:ascii="Times New Roman" w:eastAsia="Times New Roman" w:hAnsi="Times New Roman" w:cstheme="minorHAnsi"/>
      <w:color w:val="000000"/>
      <w:lang w:eastAsia="en-GB"/>
    </w:rPr>
  </w:style>
  <w:style w:type="paragraph" w:customStyle="1" w:styleId="Listparag">
    <w:name w:val="List parag"/>
    <w:basedOn w:val="ListParagraph"/>
    <w:link w:val="ListparagChar"/>
    <w:qFormat/>
    <w:rsid w:val="00594F42"/>
    <w:pPr>
      <w:spacing w:after="120" w:line="264" w:lineRule="auto"/>
      <w:ind w:left="0"/>
      <w:contextualSpacing w:val="0"/>
    </w:pPr>
    <w:rPr>
      <w:rFonts w:ascii="Times New Roman" w:eastAsia="Times New Roman" w:hAnsi="Times New Roman" w:cstheme="minorHAnsi"/>
      <w:color w:val="000000"/>
      <w:lang w:eastAsia="en-GB"/>
    </w:rPr>
  </w:style>
  <w:style w:type="character" w:styleId="Hyperlink">
    <w:name w:val="Hyperlink"/>
    <w:basedOn w:val="DefaultParagraphFont"/>
    <w:uiPriority w:val="99"/>
    <w:unhideWhenUsed/>
    <w:rsid w:val="00F00046"/>
    <w:rPr>
      <w:color w:val="0000FF"/>
      <w:u w:val="single"/>
    </w:rPr>
  </w:style>
  <w:style w:type="paragraph" w:styleId="NormalWeb">
    <w:name w:val="Normal (Web)"/>
    <w:basedOn w:val="Normal"/>
    <w:uiPriority w:val="99"/>
    <w:unhideWhenUsed/>
    <w:rsid w:val="002858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671F2"/>
    <w:rPr>
      <w:color w:val="954F72" w:themeColor="followedHyperlink"/>
      <w:u w:val="single"/>
    </w:rPr>
  </w:style>
  <w:style w:type="character" w:styleId="UnresolvedMention">
    <w:name w:val="Unresolved Mention"/>
    <w:basedOn w:val="DefaultParagraphFont"/>
    <w:uiPriority w:val="99"/>
    <w:semiHidden/>
    <w:unhideWhenUsed/>
    <w:rsid w:val="001964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3074">
      <w:bodyDiv w:val="1"/>
      <w:marLeft w:val="0"/>
      <w:marRight w:val="0"/>
      <w:marTop w:val="0"/>
      <w:marBottom w:val="0"/>
      <w:divBdr>
        <w:top w:val="none" w:sz="0" w:space="0" w:color="auto"/>
        <w:left w:val="none" w:sz="0" w:space="0" w:color="auto"/>
        <w:bottom w:val="none" w:sz="0" w:space="0" w:color="auto"/>
        <w:right w:val="none" w:sz="0" w:space="0" w:color="auto"/>
      </w:divBdr>
    </w:div>
    <w:div w:id="71902863">
      <w:bodyDiv w:val="1"/>
      <w:marLeft w:val="0"/>
      <w:marRight w:val="0"/>
      <w:marTop w:val="0"/>
      <w:marBottom w:val="0"/>
      <w:divBdr>
        <w:top w:val="none" w:sz="0" w:space="0" w:color="auto"/>
        <w:left w:val="none" w:sz="0" w:space="0" w:color="auto"/>
        <w:bottom w:val="none" w:sz="0" w:space="0" w:color="auto"/>
        <w:right w:val="none" w:sz="0" w:space="0" w:color="auto"/>
      </w:divBdr>
    </w:div>
    <w:div w:id="148715670">
      <w:bodyDiv w:val="1"/>
      <w:marLeft w:val="0"/>
      <w:marRight w:val="0"/>
      <w:marTop w:val="0"/>
      <w:marBottom w:val="0"/>
      <w:divBdr>
        <w:top w:val="none" w:sz="0" w:space="0" w:color="auto"/>
        <w:left w:val="none" w:sz="0" w:space="0" w:color="auto"/>
        <w:bottom w:val="none" w:sz="0" w:space="0" w:color="auto"/>
        <w:right w:val="none" w:sz="0" w:space="0" w:color="auto"/>
      </w:divBdr>
    </w:div>
    <w:div w:id="341975711">
      <w:bodyDiv w:val="1"/>
      <w:marLeft w:val="0"/>
      <w:marRight w:val="0"/>
      <w:marTop w:val="0"/>
      <w:marBottom w:val="0"/>
      <w:divBdr>
        <w:top w:val="none" w:sz="0" w:space="0" w:color="auto"/>
        <w:left w:val="none" w:sz="0" w:space="0" w:color="auto"/>
        <w:bottom w:val="none" w:sz="0" w:space="0" w:color="auto"/>
        <w:right w:val="none" w:sz="0" w:space="0" w:color="auto"/>
      </w:divBdr>
    </w:div>
    <w:div w:id="371615881">
      <w:bodyDiv w:val="1"/>
      <w:marLeft w:val="0"/>
      <w:marRight w:val="0"/>
      <w:marTop w:val="0"/>
      <w:marBottom w:val="0"/>
      <w:divBdr>
        <w:top w:val="none" w:sz="0" w:space="0" w:color="auto"/>
        <w:left w:val="none" w:sz="0" w:space="0" w:color="auto"/>
        <w:bottom w:val="none" w:sz="0" w:space="0" w:color="auto"/>
        <w:right w:val="none" w:sz="0" w:space="0" w:color="auto"/>
      </w:divBdr>
    </w:div>
    <w:div w:id="431170365">
      <w:bodyDiv w:val="1"/>
      <w:marLeft w:val="0"/>
      <w:marRight w:val="0"/>
      <w:marTop w:val="0"/>
      <w:marBottom w:val="0"/>
      <w:divBdr>
        <w:top w:val="none" w:sz="0" w:space="0" w:color="auto"/>
        <w:left w:val="none" w:sz="0" w:space="0" w:color="auto"/>
        <w:bottom w:val="none" w:sz="0" w:space="0" w:color="auto"/>
        <w:right w:val="none" w:sz="0" w:space="0" w:color="auto"/>
      </w:divBdr>
    </w:div>
    <w:div w:id="458031106">
      <w:bodyDiv w:val="1"/>
      <w:marLeft w:val="0"/>
      <w:marRight w:val="0"/>
      <w:marTop w:val="0"/>
      <w:marBottom w:val="0"/>
      <w:divBdr>
        <w:top w:val="none" w:sz="0" w:space="0" w:color="auto"/>
        <w:left w:val="none" w:sz="0" w:space="0" w:color="auto"/>
        <w:bottom w:val="none" w:sz="0" w:space="0" w:color="auto"/>
        <w:right w:val="none" w:sz="0" w:space="0" w:color="auto"/>
      </w:divBdr>
    </w:div>
    <w:div w:id="607664785">
      <w:bodyDiv w:val="1"/>
      <w:marLeft w:val="0"/>
      <w:marRight w:val="0"/>
      <w:marTop w:val="0"/>
      <w:marBottom w:val="0"/>
      <w:divBdr>
        <w:top w:val="none" w:sz="0" w:space="0" w:color="auto"/>
        <w:left w:val="none" w:sz="0" w:space="0" w:color="auto"/>
        <w:bottom w:val="none" w:sz="0" w:space="0" w:color="auto"/>
        <w:right w:val="none" w:sz="0" w:space="0" w:color="auto"/>
      </w:divBdr>
    </w:div>
    <w:div w:id="802966508">
      <w:bodyDiv w:val="1"/>
      <w:marLeft w:val="0"/>
      <w:marRight w:val="0"/>
      <w:marTop w:val="0"/>
      <w:marBottom w:val="0"/>
      <w:divBdr>
        <w:top w:val="none" w:sz="0" w:space="0" w:color="auto"/>
        <w:left w:val="none" w:sz="0" w:space="0" w:color="auto"/>
        <w:bottom w:val="none" w:sz="0" w:space="0" w:color="auto"/>
        <w:right w:val="none" w:sz="0" w:space="0" w:color="auto"/>
      </w:divBdr>
    </w:div>
    <w:div w:id="891503571">
      <w:bodyDiv w:val="1"/>
      <w:marLeft w:val="0"/>
      <w:marRight w:val="0"/>
      <w:marTop w:val="0"/>
      <w:marBottom w:val="0"/>
      <w:divBdr>
        <w:top w:val="none" w:sz="0" w:space="0" w:color="auto"/>
        <w:left w:val="none" w:sz="0" w:space="0" w:color="auto"/>
        <w:bottom w:val="none" w:sz="0" w:space="0" w:color="auto"/>
        <w:right w:val="none" w:sz="0" w:space="0" w:color="auto"/>
      </w:divBdr>
    </w:div>
    <w:div w:id="892350829">
      <w:bodyDiv w:val="1"/>
      <w:marLeft w:val="0"/>
      <w:marRight w:val="0"/>
      <w:marTop w:val="0"/>
      <w:marBottom w:val="0"/>
      <w:divBdr>
        <w:top w:val="none" w:sz="0" w:space="0" w:color="auto"/>
        <w:left w:val="none" w:sz="0" w:space="0" w:color="auto"/>
        <w:bottom w:val="none" w:sz="0" w:space="0" w:color="auto"/>
        <w:right w:val="none" w:sz="0" w:space="0" w:color="auto"/>
      </w:divBdr>
    </w:div>
    <w:div w:id="955255382">
      <w:bodyDiv w:val="1"/>
      <w:marLeft w:val="0"/>
      <w:marRight w:val="0"/>
      <w:marTop w:val="0"/>
      <w:marBottom w:val="0"/>
      <w:divBdr>
        <w:top w:val="none" w:sz="0" w:space="0" w:color="auto"/>
        <w:left w:val="none" w:sz="0" w:space="0" w:color="auto"/>
        <w:bottom w:val="none" w:sz="0" w:space="0" w:color="auto"/>
        <w:right w:val="none" w:sz="0" w:space="0" w:color="auto"/>
      </w:divBdr>
    </w:div>
    <w:div w:id="1104691435">
      <w:bodyDiv w:val="1"/>
      <w:marLeft w:val="0"/>
      <w:marRight w:val="0"/>
      <w:marTop w:val="0"/>
      <w:marBottom w:val="0"/>
      <w:divBdr>
        <w:top w:val="none" w:sz="0" w:space="0" w:color="auto"/>
        <w:left w:val="none" w:sz="0" w:space="0" w:color="auto"/>
        <w:bottom w:val="none" w:sz="0" w:space="0" w:color="auto"/>
        <w:right w:val="none" w:sz="0" w:space="0" w:color="auto"/>
      </w:divBdr>
    </w:div>
    <w:div w:id="1116799506">
      <w:bodyDiv w:val="1"/>
      <w:marLeft w:val="0"/>
      <w:marRight w:val="0"/>
      <w:marTop w:val="0"/>
      <w:marBottom w:val="0"/>
      <w:divBdr>
        <w:top w:val="none" w:sz="0" w:space="0" w:color="auto"/>
        <w:left w:val="none" w:sz="0" w:space="0" w:color="auto"/>
        <w:bottom w:val="none" w:sz="0" w:space="0" w:color="auto"/>
        <w:right w:val="none" w:sz="0" w:space="0" w:color="auto"/>
      </w:divBdr>
    </w:div>
    <w:div w:id="1127239131">
      <w:bodyDiv w:val="1"/>
      <w:marLeft w:val="0"/>
      <w:marRight w:val="0"/>
      <w:marTop w:val="0"/>
      <w:marBottom w:val="0"/>
      <w:divBdr>
        <w:top w:val="none" w:sz="0" w:space="0" w:color="auto"/>
        <w:left w:val="none" w:sz="0" w:space="0" w:color="auto"/>
        <w:bottom w:val="none" w:sz="0" w:space="0" w:color="auto"/>
        <w:right w:val="none" w:sz="0" w:space="0" w:color="auto"/>
      </w:divBdr>
    </w:div>
    <w:div w:id="1146699386">
      <w:bodyDiv w:val="1"/>
      <w:marLeft w:val="0"/>
      <w:marRight w:val="0"/>
      <w:marTop w:val="0"/>
      <w:marBottom w:val="0"/>
      <w:divBdr>
        <w:top w:val="none" w:sz="0" w:space="0" w:color="auto"/>
        <w:left w:val="none" w:sz="0" w:space="0" w:color="auto"/>
        <w:bottom w:val="none" w:sz="0" w:space="0" w:color="auto"/>
        <w:right w:val="none" w:sz="0" w:space="0" w:color="auto"/>
      </w:divBdr>
    </w:div>
    <w:div w:id="1212771335">
      <w:bodyDiv w:val="1"/>
      <w:marLeft w:val="0"/>
      <w:marRight w:val="0"/>
      <w:marTop w:val="0"/>
      <w:marBottom w:val="0"/>
      <w:divBdr>
        <w:top w:val="none" w:sz="0" w:space="0" w:color="auto"/>
        <w:left w:val="none" w:sz="0" w:space="0" w:color="auto"/>
        <w:bottom w:val="none" w:sz="0" w:space="0" w:color="auto"/>
        <w:right w:val="none" w:sz="0" w:space="0" w:color="auto"/>
      </w:divBdr>
    </w:div>
    <w:div w:id="1406414590">
      <w:bodyDiv w:val="1"/>
      <w:marLeft w:val="0"/>
      <w:marRight w:val="0"/>
      <w:marTop w:val="0"/>
      <w:marBottom w:val="0"/>
      <w:divBdr>
        <w:top w:val="none" w:sz="0" w:space="0" w:color="auto"/>
        <w:left w:val="none" w:sz="0" w:space="0" w:color="auto"/>
        <w:bottom w:val="none" w:sz="0" w:space="0" w:color="auto"/>
        <w:right w:val="none" w:sz="0" w:space="0" w:color="auto"/>
      </w:divBdr>
    </w:div>
    <w:div w:id="1429697906">
      <w:bodyDiv w:val="1"/>
      <w:marLeft w:val="0"/>
      <w:marRight w:val="0"/>
      <w:marTop w:val="0"/>
      <w:marBottom w:val="0"/>
      <w:divBdr>
        <w:top w:val="none" w:sz="0" w:space="0" w:color="auto"/>
        <w:left w:val="none" w:sz="0" w:space="0" w:color="auto"/>
        <w:bottom w:val="none" w:sz="0" w:space="0" w:color="auto"/>
        <w:right w:val="none" w:sz="0" w:space="0" w:color="auto"/>
      </w:divBdr>
    </w:div>
    <w:div w:id="1692146553">
      <w:bodyDiv w:val="1"/>
      <w:marLeft w:val="0"/>
      <w:marRight w:val="0"/>
      <w:marTop w:val="0"/>
      <w:marBottom w:val="0"/>
      <w:divBdr>
        <w:top w:val="none" w:sz="0" w:space="0" w:color="auto"/>
        <w:left w:val="none" w:sz="0" w:space="0" w:color="auto"/>
        <w:bottom w:val="none" w:sz="0" w:space="0" w:color="auto"/>
        <w:right w:val="none" w:sz="0" w:space="0" w:color="auto"/>
      </w:divBdr>
    </w:div>
    <w:div w:id="1766684187">
      <w:bodyDiv w:val="1"/>
      <w:marLeft w:val="0"/>
      <w:marRight w:val="0"/>
      <w:marTop w:val="0"/>
      <w:marBottom w:val="0"/>
      <w:divBdr>
        <w:top w:val="none" w:sz="0" w:space="0" w:color="auto"/>
        <w:left w:val="none" w:sz="0" w:space="0" w:color="auto"/>
        <w:bottom w:val="none" w:sz="0" w:space="0" w:color="auto"/>
        <w:right w:val="none" w:sz="0" w:space="0" w:color="auto"/>
      </w:divBdr>
    </w:div>
    <w:div w:id="1773939424">
      <w:bodyDiv w:val="1"/>
      <w:marLeft w:val="0"/>
      <w:marRight w:val="0"/>
      <w:marTop w:val="0"/>
      <w:marBottom w:val="0"/>
      <w:divBdr>
        <w:top w:val="none" w:sz="0" w:space="0" w:color="auto"/>
        <w:left w:val="none" w:sz="0" w:space="0" w:color="auto"/>
        <w:bottom w:val="none" w:sz="0" w:space="0" w:color="auto"/>
        <w:right w:val="none" w:sz="0" w:space="0" w:color="auto"/>
      </w:divBdr>
    </w:div>
    <w:div w:id="1854494869">
      <w:bodyDiv w:val="1"/>
      <w:marLeft w:val="0"/>
      <w:marRight w:val="0"/>
      <w:marTop w:val="0"/>
      <w:marBottom w:val="0"/>
      <w:divBdr>
        <w:top w:val="none" w:sz="0" w:space="0" w:color="auto"/>
        <w:left w:val="none" w:sz="0" w:space="0" w:color="auto"/>
        <w:bottom w:val="none" w:sz="0" w:space="0" w:color="auto"/>
        <w:right w:val="none" w:sz="0" w:space="0" w:color="auto"/>
      </w:divBdr>
    </w:div>
    <w:div w:id="2027440061">
      <w:bodyDiv w:val="1"/>
      <w:marLeft w:val="0"/>
      <w:marRight w:val="0"/>
      <w:marTop w:val="0"/>
      <w:marBottom w:val="0"/>
      <w:divBdr>
        <w:top w:val="none" w:sz="0" w:space="0" w:color="auto"/>
        <w:left w:val="none" w:sz="0" w:space="0" w:color="auto"/>
        <w:bottom w:val="none" w:sz="0" w:space="0" w:color="auto"/>
        <w:right w:val="none" w:sz="0" w:space="0" w:color="auto"/>
      </w:divBdr>
    </w:div>
    <w:div w:id="211952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se.gov.uk/stres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4AB3E-A3A7-412B-B75E-D2E86B41C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2196</TotalTime>
  <Pages>10</Pages>
  <Words>4420</Words>
  <Characters>25194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Deakin (1103833)</dc:creator>
  <cp:keywords/>
  <dc:description/>
  <cp:lastModifiedBy>Deakin, Ceri</cp:lastModifiedBy>
  <cp:revision>702</cp:revision>
  <dcterms:created xsi:type="dcterms:W3CDTF">2025-05-08T16:58:00Z</dcterms:created>
  <dcterms:modified xsi:type="dcterms:W3CDTF">2025-07-21T16:41:00Z</dcterms:modified>
</cp:coreProperties>
</file>