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4DF3C2" w14:textId="77777777" w:rsidR="000F28C0" w:rsidRPr="00585EE1" w:rsidRDefault="000F28C0" w:rsidP="00585EE1">
      <w:pPr>
        <w:pStyle w:val="Heading1"/>
      </w:pPr>
      <w:r w:rsidRPr="00585EE1">
        <w:rPr>
          <w:rStyle w:val="Strong"/>
          <w:b w:val="0"/>
          <w:bCs w:val="0"/>
        </w:rPr>
        <w:t>Introduction</w:t>
      </w:r>
    </w:p>
    <w:p w14:paraId="7B8EAEB0" w14:textId="77777777" w:rsidR="00585EE1" w:rsidRPr="00585EE1" w:rsidRDefault="00585EE1" w:rsidP="00585EE1">
      <w:pPr>
        <w:pStyle w:val="NormalWeb"/>
        <w:spacing w:line="360" w:lineRule="auto"/>
        <w:rPr>
          <w:rFonts w:ascii="Arial" w:hAnsi="Arial" w:cs="Arial"/>
          <w:color w:val="000000"/>
          <w:sz w:val="22"/>
          <w:szCs w:val="22"/>
          <w:lang w:val="en-GB"/>
        </w:rPr>
      </w:pPr>
    </w:p>
    <w:p w14:paraId="048D4FCB" w14:textId="08016EC3"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 xml:space="preserve">This reflective report delves into my personal experiences within the roles of both coaching and mentoring, aiming to </w:t>
      </w:r>
      <w:r w:rsidR="00585EE1" w:rsidRPr="00585EE1">
        <w:rPr>
          <w:rFonts w:ascii="Arial" w:hAnsi="Arial" w:cs="Arial"/>
          <w:color w:val="000000"/>
          <w:sz w:val="22"/>
          <w:szCs w:val="22"/>
          <w:lang w:val="en-GB"/>
        </w:rPr>
        <w:t>analyse</w:t>
      </w:r>
      <w:r w:rsidRPr="00585EE1">
        <w:rPr>
          <w:rFonts w:ascii="Arial" w:hAnsi="Arial" w:cs="Arial"/>
          <w:color w:val="000000"/>
          <w:sz w:val="22"/>
          <w:szCs w:val="22"/>
          <w:lang w:val="en-GB"/>
        </w:rPr>
        <w:t xml:space="preserve"> and improve my approach and effectiveness in these areas. It provides an in-depth look at my journey, highlighting both challenges and accomplishments. This report adopts a reflective approach, using Kolb’s Experiential Learning Cycle (1984) as a framework, which encourages learning through concrete experiences, reflective observation, abstract conceptualization, and active experimentation. This model supports a structured reflection on the developmental process, allowing me to identify areas for growth and apply theoretical insights to practical experiences.</w:t>
      </w:r>
    </w:p>
    <w:p w14:paraId="3C3ACB07" w14:textId="77777777"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Coaching and mentoring, while closely related, differ in approach and purpose. Coaching is typically a structured process aimed at enhancing specific skills, performance, or personal development through targeted questioning and feedback (Whitmore, 2009). Mentoring, in contrast, involves a more holistic guidance approach where an experienced mentor supports the mentee’s broader professional and personal development through relationship-building and advice-sharing (Clutterbuck, 2004). Despite their similarities, coaching often focuses on short-term objectives, while mentoring emphasizes long-term growth and relationship-building (Cox, Bachkirova, &amp; Clutterbuck, 2018). Effective coaches and mentors share key attributes, including active listening, empathy, patience, and the ability to foster self-confidence and autonomy (Passmore, 2010).</w:t>
      </w:r>
    </w:p>
    <w:p w14:paraId="368BB2CC" w14:textId="77777777"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In this report, I will discuss relevant theories and literature that inform coaching and mentoring practices, including GROW (Whitmore, 2009) and transformational leadership principles (Burns, 1978). This examination will include an exploration of the key attributes and skills essential for effective coaching and mentoring, as well as the differences in application within various professional contexts. The report ultimately aims to provide insights that will improve my coaching and mentoring capabilities, guiding my ongoing professional development.</w:t>
      </w:r>
    </w:p>
    <w:p w14:paraId="5AE4A4D3" w14:textId="77777777" w:rsidR="000F28C0" w:rsidRPr="00585EE1" w:rsidRDefault="000F28C0" w:rsidP="00585EE1">
      <w:pPr>
        <w:spacing w:line="360" w:lineRule="auto"/>
        <w:rPr>
          <w:rFonts w:ascii="Arial" w:hAnsi="Arial" w:cs="Arial"/>
          <w:b/>
          <w:bCs/>
          <w:sz w:val="22"/>
          <w:szCs w:val="22"/>
        </w:rPr>
      </w:pPr>
    </w:p>
    <w:p w14:paraId="1AD84DA3" w14:textId="77777777" w:rsidR="000F28C0" w:rsidRPr="00585EE1" w:rsidRDefault="000F28C0" w:rsidP="00585EE1">
      <w:pPr>
        <w:spacing w:line="360" w:lineRule="auto"/>
        <w:rPr>
          <w:rFonts w:ascii="Arial" w:hAnsi="Arial" w:cs="Arial"/>
          <w:b/>
          <w:bCs/>
          <w:sz w:val="22"/>
          <w:szCs w:val="22"/>
        </w:rPr>
      </w:pPr>
    </w:p>
    <w:p w14:paraId="34DA4CE7" w14:textId="77777777" w:rsidR="000F28C0" w:rsidRPr="00585EE1" w:rsidRDefault="000F28C0" w:rsidP="00585EE1">
      <w:pPr>
        <w:spacing w:line="360" w:lineRule="auto"/>
        <w:rPr>
          <w:rFonts w:ascii="Arial" w:hAnsi="Arial" w:cs="Arial"/>
          <w:b/>
          <w:bCs/>
          <w:sz w:val="22"/>
          <w:szCs w:val="22"/>
        </w:rPr>
      </w:pPr>
    </w:p>
    <w:p w14:paraId="60D97615" w14:textId="77777777" w:rsidR="000F28C0" w:rsidRPr="00585EE1" w:rsidRDefault="000F28C0" w:rsidP="00585EE1">
      <w:pPr>
        <w:spacing w:line="360" w:lineRule="auto"/>
        <w:rPr>
          <w:rFonts w:ascii="Arial" w:hAnsi="Arial" w:cs="Arial"/>
          <w:b/>
          <w:bCs/>
          <w:sz w:val="22"/>
          <w:szCs w:val="22"/>
        </w:rPr>
      </w:pPr>
    </w:p>
    <w:p w14:paraId="1B1B95D3" w14:textId="77777777" w:rsidR="00585EE1" w:rsidRDefault="00585EE1" w:rsidP="00585EE1">
      <w:pPr>
        <w:spacing w:before="100" w:beforeAutospacing="1" w:after="100" w:afterAutospacing="1" w:line="360" w:lineRule="auto"/>
        <w:rPr>
          <w:rFonts w:ascii="Arial" w:hAnsi="Arial" w:cs="Arial"/>
          <w:b/>
          <w:bCs/>
          <w:color w:val="000000"/>
          <w:sz w:val="22"/>
          <w:szCs w:val="22"/>
        </w:rPr>
      </w:pPr>
    </w:p>
    <w:p w14:paraId="498DD91D" w14:textId="3A02DE6C" w:rsidR="000F28C0" w:rsidRPr="00585EE1" w:rsidRDefault="000F28C0" w:rsidP="00585EE1">
      <w:pPr>
        <w:pStyle w:val="Heading1"/>
      </w:pPr>
      <w:r w:rsidRPr="00585EE1">
        <w:lastRenderedPageBreak/>
        <w:t>Critical Evaluation of the Purpose of Coaching and Mentoring in the Workplace</w:t>
      </w:r>
    </w:p>
    <w:p w14:paraId="61CF1575"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Coaching and mentoring are pivotal developmental practices in the workplace, aimed at fostering employee growth, performance, and organizational effectiveness. While the two practices share similarities, they have distinct purposes and applications, supporting employees in different, yet complementary ways (Cox, Bachkirova, &amp; Clutterbuck, 2018). Coaching generally aims to enhance specific skills or performance areas, often with structured, short-term goals. In contrast, mentoring provides broader guidance and personal development, often within a long-term, supportive relationship (Clutterbuck, 2004).</w:t>
      </w:r>
    </w:p>
    <w:p w14:paraId="6077273B"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In the workplace, coaching is used primarily to increase productivity and performance through targeted skills enhancement (Passmore, 2010). This approach is often goal-oriented, with coaches guiding employees to reflect, develop, and apply skills directly to job-specific challenges. For instance, according to Whitmore (2009), coaching in the workplace encourages individuals to unlock their potential, focusing on immediate improvements by engaging in structured processes like the GROW model, which stands for Goal, Reality, Options, and Way Forward. By focusing on self-reflection and achievable goals, coaching can lead to quick performance improvements and a more adaptable, motivated workforce.</w:t>
      </w:r>
    </w:p>
    <w:p w14:paraId="5628FAB1"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Mentoring, on the other hand, serves a broader purpose, supporting long-term career development, leadership skills, and personal growth. Mentors often share their own professional experiences and insights, guiding mentees through broader career challenges, networking, and personal development over an extended period (Ragins &amp; Kram, 2007). Mentoring thus builds institutional knowledge and cultural alignment within organizations, providing employees with role models for career progression and enhancing retention through a supportive relationship (Clutterbuck, 2004). This approach is especially useful for leadership development, as it fosters critical thinking, strategic insight, and ethical decision-making.</w:t>
      </w:r>
    </w:p>
    <w:p w14:paraId="7D264698" w14:textId="5401B4F4"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Despite their distinct purposes, coaching and mentoring share common ground in fostering employee engagement, motivation, and resilience. According to Garvey, Stokes, and Megginson (2014), both approaches encourage reflective practice and self-awareness, enhancing employees’ ability to navigate workplace complexities independently. However, they differ in their application: coaching is typically time-limited, focusing on immediate challenges, whereas mentoring is relationship-</w:t>
      </w:r>
      <w:r w:rsidR="00585EE1" w:rsidRPr="00585EE1">
        <w:rPr>
          <w:rFonts w:ascii="Arial" w:hAnsi="Arial" w:cs="Arial"/>
          <w:color w:val="000000"/>
          <w:sz w:val="22"/>
          <w:szCs w:val="22"/>
        </w:rPr>
        <w:t>centred</w:t>
      </w:r>
      <w:r w:rsidRPr="00585EE1">
        <w:rPr>
          <w:rFonts w:ascii="Arial" w:hAnsi="Arial" w:cs="Arial"/>
          <w:color w:val="000000"/>
          <w:sz w:val="22"/>
          <w:szCs w:val="22"/>
        </w:rPr>
        <w:t xml:space="preserve"> and often spans a mentee’s career, providing continuous support and guidance (Megginson &amp; Clutterbuck, 2005). This distinction makes coaching suitable for resolving specific issues or achieving rapid </w:t>
      </w:r>
      <w:r w:rsidRPr="00585EE1">
        <w:rPr>
          <w:rFonts w:ascii="Arial" w:hAnsi="Arial" w:cs="Arial"/>
          <w:color w:val="000000"/>
          <w:sz w:val="22"/>
          <w:szCs w:val="22"/>
        </w:rPr>
        <w:lastRenderedPageBreak/>
        <w:t>performance gains, while mentoring is more appropriate for cultivating long-term competencies and loyalty.</w:t>
      </w:r>
    </w:p>
    <w:p w14:paraId="406F1D72"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Critics argue that coaching’s structured, goal-oriented nature may sometimes overlook employees' broader career needs, limiting personal growth potential (Cox et al., 2018). Additionally, because coaches may not have direct experience in the employee’s field, the applicability of guidance can be limited. Mentoring, while more holistic, also faces challenges: it requires significant time investment and is often informal, which can lead to inconsistencies in mentorship quality and outcomes (Ragins &amp; Kram, 2007). Furthermore, mentoring may unintentionally reinforce hierarchical structures, limiting creativity if mentors impose their perspectives too rigidly.</w:t>
      </w:r>
    </w:p>
    <w:p w14:paraId="31041512" w14:textId="77777777" w:rsidR="000F28C0" w:rsidRPr="00585EE1" w:rsidRDefault="000F28C0" w:rsidP="00585EE1">
      <w:pPr>
        <w:spacing w:before="100" w:beforeAutospacing="1" w:after="100" w:afterAutospacing="1" w:line="360" w:lineRule="auto"/>
        <w:rPr>
          <w:rFonts w:ascii="Arial" w:hAnsi="Arial" w:cs="Arial"/>
          <w:color w:val="000000"/>
          <w:sz w:val="22"/>
          <w:szCs w:val="22"/>
        </w:rPr>
      </w:pPr>
    </w:p>
    <w:p w14:paraId="6E5EB8C9" w14:textId="77777777" w:rsidR="000F28C0" w:rsidRPr="00585EE1" w:rsidRDefault="000F28C0" w:rsidP="00585EE1">
      <w:pPr>
        <w:pStyle w:val="Heading1"/>
      </w:pPr>
      <w:r w:rsidRPr="00585EE1">
        <w:t>Critical Analysis of the GROW Model of Coaching</w:t>
      </w:r>
    </w:p>
    <w:p w14:paraId="42E3F3B3" w14:textId="61641830"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The GROW model, developed by Sir John Whitmore in the 1980s, is one of the most recognized frameworks in coaching. The acronym GROW stands for Goal, Reality, Options, and Will. This model is designed to provide a structured approach to coaching conversations, facilitating personal and professional development through a clear progression of thought and action (Whitmore, 2009). The first stage, </w:t>
      </w:r>
      <w:r w:rsidRPr="00585EE1">
        <w:rPr>
          <w:rFonts w:ascii="Arial" w:hAnsi="Arial" w:cs="Arial"/>
          <w:i/>
          <w:iCs/>
          <w:color w:val="000000"/>
          <w:sz w:val="22"/>
          <w:szCs w:val="22"/>
        </w:rPr>
        <w:t>Goal</w:t>
      </w:r>
      <w:r w:rsidRPr="00585EE1">
        <w:rPr>
          <w:rFonts w:ascii="Arial" w:hAnsi="Arial" w:cs="Arial"/>
          <w:color w:val="000000"/>
          <w:sz w:val="22"/>
          <w:szCs w:val="22"/>
        </w:rPr>
        <w:t>, involves defining what the coachee wants to achieve; the second stage, </w:t>
      </w:r>
      <w:r w:rsidRPr="00585EE1">
        <w:rPr>
          <w:rFonts w:ascii="Arial" w:hAnsi="Arial" w:cs="Arial"/>
          <w:i/>
          <w:iCs/>
          <w:color w:val="000000"/>
          <w:sz w:val="22"/>
          <w:szCs w:val="22"/>
        </w:rPr>
        <w:t>Reality</w:t>
      </w:r>
      <w:r w:rsidRPr="00585EE1">
        <w:rPr>
          <w:rFonts w:ascii="Arial" w:hAnsi="Arial" w:cs="Arial"/>
          <w:color w:val="000000"/>
          <w:sz w:val="22"/>
          <w:szCs w:val="22"/>
        </w:rPr>
        <w:t>, assesses the current situation and identifies barriers; the third stage, </w:t>
      </w:r>
      <w:r w:rsidRPr="00585EE1">
        <w:rPr>
          <w:rFonts w:ascii="Arial" w:hAnsi="Arial" w:cs="Arial"/>
          <w:i/>
          <w:iCs/>
          <w:color w:val="000000"/>
          <w:sz w:val="22"/>
          <w:szCs w:val="22"/>
        </w:rPr>
        <w:t>Options</w:t>
      </w:r>
      <w:r w:rsidRPr="00585EE1">
        <w:rPr>
          <w:rFonts w:ascii="Arial" w:hAnsi="Arial" w:cs="Arial"/>
          <w:color w:val="000000"/>
          <w:sz w:val="22"/>
          <w:szCs w:val="22"/>
        </w:rPr>
        <w:t>, explores possible solutions; and the final stage, </w:t>
      </w:r>
      <w:r w:rsidRPr="00585EE1">
        <w:rPr>
          <w:rFonts w:ascii="Arial" w:hAnsi="Arial" w:cs="Arial"/>
          <w:i/>
          <w:iCs/>
          <w:color w:val="000000"/>
          <w:sz w:val="22"/>
          <w:szCs w:val="22"/>
        </w:rPr>
        <w:t>Will</w:t>
      </w:r>
      <w:r w:rsidRPr="00585EE1">
        <w:rPr>
          <w:rFonts w:ascii="Arial" w:hAnsi="Arial" w:cs="Arial"/>
          <w:color w:val="000000"/>
          <w:sz w:val="22"/>
          <w:szCs w:val="22"/>
        </w:rPr>
        <w:t>, determines the actions the coachee will commit to taking to reach their goal.</w:t>
      </w:r>
    </w:p>
    <w:p w14:paraId="3E08FD75"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The GROW model has several advantages that contribute to its popularity in various coaching contexts. First, its structured format helps create clarity and focus during coaching sessions, allowing both coach and coachee to maintain direction and motivation throughout the process (Neenan &amp; Palmer, 2001). By breaking down the coaching conversation into manageable segments, coachees can effectively navigate complex problems and develop actionable plans. Additionally, the GROW model fosters self-discovery and accountability, as it encourages coachees to explore their thoughts and feelings while ultimately taking ownership of their development (Grant, 2010).</w:t>
      </w:r>
    </w:p>
    <w:p w14:paraId="79F04CC3" w14:textId="27359775"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 xml:space="preserve">Moreover, the versatility of the GROW model makes it suitable for a range of coaching situations, from executive coaching to personal development. It can be applied in diverse settings, such as corporate environments, educational institutions, and sports coaching, providing a universal language for coaches and coachees to communicate goals </w:t>
      </w:r>
      <w:r w:rsidRPr="00585EE1">
        <w:rPr>
          <w:rFonts w:ascii="Arial" w:hAnsi="Arial" w:cs="Arial"/>
          <w:color w:val="000000"/>
          <w:sz w:val="22"/>
          <w:szCs w:val="22"/>
        </w:rPr>
        <w:lastRenderedPageBreak/>
        <w:t xml:space="preserve">and strategies effectively (Whitmore, 2009). For instance, in a corporate setting, a manager might use the GROW model to help an employee identify professional growth goals, </w:t>
      </w:r>
      <w:r w:rsidR="00585EE1" w:rsidRPr="00585EE1">
        <w:rPr>
          <w:rFonts w:ascii="Arial" w:hAnsi="Arial" w:cs="Arial"/>
          <w:color w:val="000000"/>
          <w:sz w:val="22"/>
          <w:szCs w:val="22"/>
        </w:rPr>
        <w:t>analyse</w:t>
      </w:r>
      <w:r w:rsidRPr="00585EE1">
        <w:rPr>
          <w:rFonts w:ascii="Arial" w:hAnsi="Arial" w:cs="Arial"/>
          <w:color w:val="000000"/>
          <w:sz w:val="22"/>
          <w:szCs w:val="22"/>
        </w:rPr>
        <w:t xml:space="preserve"> their current performance, explore development options, and commit to actionable steps for improvement.</w:t>
      </w:r>
    </w:p>
    <w:p w14:paraId="12BDDE30" w14:textId="5E0492C9"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 xml:space="preserve">However, the GROW model is not without its disadvantages. One significant limitation is its potential oversimplification of complex issues. By focusing primarily on </w:t>
      </w:r>
      <w:r w:rsidR="00585EE1" w:rsidRPr="00585EE1">
        <w:rPr>
          <w:rFonts w:ascii="Arial" w:hAnsi="Arial" w:cs="Arial"/>
          <w:color w:val="000000"/>
          <w:sz w:val="22"/>
          <w:szCs w:val="22"/>
        </w:rPr>
        <w:t>goal setting</w:t>
      </w:r>
      <w:r w:rsidRPr="00585EE1">
        <w:rPr>
          <w:rFonts w:ascii="Arial" w:hAnsi="Arial" w:cs="Arial"/>
          <w:color w:val="000000"/>
          <w:sz w:val="22"/>
          <w:szCs w:val="22"/>
        </w:rPr>
        <w:t xml:space="preserve"> and action-planning, the model may neglect deeper psychological factors that influence performance and motivation (Stober &amp; Grant, 2006). This can be particularly problematic in situations where emotional barriers or interpersonal dynamics are at play. Additionally, the GROW model assumes that the coachee is intrinsically motivated and ready to change, which may not always be the case. In scenarios where resistance to change is prevalent, the model’s effectiveness may be diminished, as the coachee might not fully engage in the process.</w:t>
      </w:r>
    </w:p>
    <w:p w14:paraId="190188F8"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Another critique of the GROW model is its linear progression, which may not suit all coaching scenarios. Real-life situations often require a more fluid approach, where coaches and coachees revisit earlier stages to adapt to new insights or shifting contexts (Cox, Bachkirova, &amp; Clutterbuck, 2018). For instance, during a coaching session, a coachee may realize that their initial goals were unrealistic or misaligned with their values, necessitating a return to the goal-setting stage.</w:t>
      </w:r>
    </w:p>
    <w:p w14:paraId="6AF0480A" w14:textId="77777777" w:rsidR="000F28C0" w:rsidRPr="00585EE1" w:rsidRDefault="000F28C0" w:rsidP="00585EE1">
      <w:pPr>
        <w:spacing w:before="100" w:beforeAutospacing="1" w:after="100" w:afterAutospacing="1" w:line="360" w:lineRule="auto"/>
        <w:ind w:firstLine="720"/>
        <w:rPr>
          <w:rFonts w:ascii="Arial" w:hAnsi="Arial" w:cs="Arial"/>
          <w:color w:val="000000"/>
          <w:sz w:val="22"/>
          <w:szCs w:val="22"/>
        </w:rPr>
      </w:pPr>
      <w:r w:rsidRPr="00585EE1">
        <w:rPr>
          <w:rFonts w:ascii="Arial" w:hAnsi="Arial" w:cs="Arial"/>
          <w:color w:val="000000"/>
          <w:sz w:val="22"/>
          <w:szCs w:val="22"/>
        </w:rPr>
        <w:t>In summary, the GROW model offers a structured and effective framework for coaching, promoting clarity and self-discovery in personal and professional development. Its strengths lie in its simplicity and versatility, making it applicable across various settings. However, its limitations include potential oversimplification of complex issues and a rigid linear structure that may not accommodate the dynamic nature of coaching conversations. Coaches can leverage the GROW model effectively while remaining mindful of its constraints, adapting their approach to fit the unique needs and circumstances of each coachee. Ultimately, understanding when and how to apply the GROW model can enhance its effectiveness and facilitate meaningful growth.</w:t>
      </w:r>
    </w:p>
    <w:p w14:paraId="6513A18A" w14:textId="77777777" w:rsidR="000F28C0" w:rsidRPr="00585EE1" w:rsidRDefault="000F28C0" w:rsidP="00585EE1">
      <w:pPr>
        <w:spacing w:line="360" w:lineRule="auto"/>
        <w:rPr>
          <w:rFonts w:ascii="Arial" w:hAnsi="Arial" w:cs="Arial"/>
          <w:b/>
          <w:bCs/>
          <w:sz w:val="22"/>
          <w:szCs w:val="22"/>
        </w:rPr>
      </w:pPr>
    </w:p>
    <w:p w14:paraId="6E090414" w14:textId="77777777" w:rsidR="000F28C0" w:rsidRPr="00585EE1" w:rsidRDefault="000F28C0" w:rsidP="00585EE1">
      <w:pPr>
        <w:spacing w:line="360" w:lineRule="auto"/>
        <w:rPr>
          <w:rFonts w:ascii="Arial" w:hAnsi="Arial" w:cs="Arial"/>
          <w:b/>
          <w:bCs/>
          <w:sz w:val="22"/>
          <w:szCs w:val="22"/>
        </w:rPr>
      </w:pPr>
    </w:p>
    <w:p w14:paraId="0D0BBED6" w14:textId="77777777" w:rsidR="000F28C0" w:rsidRPr="00585EE1" w:rsidRDefault="000F28C0" w:rsidP="00585EE1">
      <w:pPr>
        <w:spacing w:line="360" w:lineRule="auto"/>
        <w:rPr>
          <w:rFonts w:ascii="Arial" w:hAnsi="Arial" w:cs="Arial"/>
          <w:b/>
          <w:bCs/>
          <w:sz w:val="22"/>
          <w:szCs w:val="22"/>
        </w:rPr>
      </w:pPr>
    </w:p>
    <w:p w14:paraId="4D5C7AC3" w14:textId="77777777" w:rsidR="000F28C0" w:rsidRPr="00585EE1" w:rsidRDefault="000F28C0" w:rsidP="00585EE1">
      <w:pPr>
        <w:spacing w:line="360" w:lineRule="auto"/>
        <w:rPr>
          <w:rFonts w:ascii="Arial" w:hAnsi="Arial" w:cs="Arial"/>
          <w:b/>
          <w:bCs/>
          <w:sz w:val="22"/>
          <w:szCs w:val="22"/>
        </w:rPr>
      </w:pPr>
    </w:p>
    <w:p w14:paraId="7DCBD79F" w14:textId="77777777" w:rsidR="00585EE1" w:rsidRDefault="00585EE1" w:rsidP="00585EE1">
      <w:pPr>
        <w:pStyle w:val="NormalWeb"/>
        <w:spacing w:line="360" w:lineRule="auto"/>
        <w:rPr>
          <w:rStyle w:val="Strong"/>
          <w:rFonts w:ascii="Arial" w:hAnsi="Arial" w:cs="Arial"/>
          <w:color w:val="000000"/>
          <w:sz w:val="22"/>
          <w:szCs w:val="22"/>
          <w:lang w:val="en-GB"/>
        </w:rPr>
      </w:pPr>
    </w:p>
    <w:p w14:paraId="0FFB97EF" w14:textId="70801C55" w:rsidR="000F28C0" w:rsidRPr="00585EE1" w:rsidRDefault="000F28C0" w:rsidP="00585EE1">
      <w:pPr>
        <w:pStyle w:val="Heading1"/>
      </w:pPr>
      <w:r w:rsidRPr="00585EE1">
        <w:rPr>
          <w:rStyle w:val="Strong"/>
          <w:b w:val="0"/>
          <w:bCs w:val="0"/>
        </w:rPr>
        <w:lastRenderedPageBreak/>
        <w:t>Reflection on Practical 1: Coaching and Goal Setting Using the GROW Model</w:t>
      </w:r>
    </w:p>
    <w:p w14:paraId="4200769A" w14:textId="77777777"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Reflecting on my first assessed experience of coaching and goal setting through the GROW model has provided invaluable insights into my coaching practice and personal development. This reflection will follow the GROW framework itself—Goal, Reality, Options, and Will—to structure my learning and growth from this initial experience.</w:t>
      </w:r>
    </w:p>
    <w:p w14:paraId="00C0DDBC"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Goal:</w:t>
      </w:r>
      <w:r w:rsidRPr="00585EE1">
        <w:rPr>
          <w:rFonts w:ascii="Arial" w:hAnsi="Arial" w:cs="Arial"/>
          <w:color w:val="000000"/>
          <w:sz w:val="22"/>
          <w:szCs w:val="22"/>
          <w:lang w:val="en-GB"/>
        </w:rPr>
        <w:br/>
      </w:r>
    </w:p>
    <w:p w14:paraId="26D2D66D" w14:textId="1122D7E3"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At the outset of the coaching session, my primary goal was to help the coachee clarify their professional objectives and develop a structured plan for achieving them. The coachee, a mid-level manager seeking to enhance their leadership skills, expressed a desire to improve team communication and engagement. My aim was to facilitate a process where they could articulate specific goals, explore potential barriers, and identify actionable steps toward achieving these goals.</w:t>
      </w:r>
    </w:p>
    <w:p w14:paraId="6760A95A"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Reality:</w:t>
      </w:r>
      <w:r w:rsidRPr="00585EE1">
        <w:rPr>
          <w:rFonts w:ascii="Arial" w:hAnsi="Arial" w:cs="Arial"/>
          <w:color w:val="000000"/>
          <w:sz w:val="22"/>
          <w:szCs w:val="22"/>
          <w:lang w:val="en-GB"/>
        </w:rPr>
        <w:br/>
      </w:r>
    </w:p>
    <w:p w14:paraId="0178DD55" w14:textId="0207269B"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As the session unfolded, I assessed the current reality by encouraging the coachee to share their perspectives on their leadership challenges. I observed that they faced difficulties in communicating effectively with team members, resulting in misunderstandings and a lack of engagement. This part of the session was enlightening; the coachee exhibited a willingness to share their experiences, but there was also an underlying reluctance to confront certain issues, such as their communication style and its impact on the team. This realization highlighted the importance of creating a safe and trusting environment in coaching, as it can significantly influence the openness and honesty of the coachee.</w:t>
      </w:r>
    </w:p>
    <w:p w14:paraId="7D71C6C4"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Options:</w:t>
      </w:r>
      <w:r w:rsidRPr="00585EE1">
        <w:rPr>
          <w:rFonts w:ascii="Arial" w:hAnsi="Arial" w:cs="Arial"/>
          <w:color w:val="000000"/>
          <w:sz w:val="22"/>
          <w:szCs w:val="22"/>
          <w:lang w:val="en-GB"/>
        </w:rPr>
        <w:br/>
      </w:r>
    </w:p>
    <w:p w14:paraId="14CFAF2B" w14:textId="024DCB02"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 xml:space="preserve">With a clear understanding of the coachee's current situation, we moved to explore various options for addressing the identified challenges. I guided the coachee through brainstorming potential strategies, such as implementing regular team check-ins, soliciting feedback, and utilizing active listening techniques. I also introduced the idea of setting SMART (Specific, Measurable, Achievable, Relevant, Time-bound) goals to help them </w:t>
      </w:r>
      <w:r w:rsidRPr="00585EE1">
        <w:rPr>
          <w:rFonts w:ascii="Arial" w:hAnsi="Arial" w:cs="Arial"/>
          <w:color w:val="000000"/>
          <w:sz w:val="22"/>
          <w:szCs w:val="22"/>
          <w:lang w:val="en-GB"/>
        </w:rPr>
        <w:lastRenderedPageBreak/>
        <w:t>formulate more concrete and manageable objectives. This collaborative exploration allowed the coachee to take ownership of the solutions and feel empowered to implement changes, reinforcing the coaching relationship and building their confidence.</w:t>
      </w:r>
    </w:p>
    <w:p w14:paraId="7BE0EEA9"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Will:</w:t>
      </w:r>
      <w:r w:rsidRPr="00585EE1">
        <w:rPr>
          <w:rFonts w:ascii="Arial" w:hAnsi="Arial" w:cs="Arial"/>
          <w:color w:val="000000"/>
          <w:sz w:val="22"/>
          <w:szCs w:val="22"/>
          <w:lang w:val="en-GB"/>
        </w:rPr>
        <w:br/>
      </w:r>
    </w:p>
    <w:p w14:paraId="7E7FBB51" w14:textId="10E35282"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Finally, we transitioned to the ‘Will’ phase, where the coachee committed to specific actions they would undertake before our next session. They decided to initiate weekly team meetings focused on open communication and feedback. This commitment was pivotal as it not only set a clear timeline for implementation but also instilled accountability. However, I recognized the need to support the coachee in maintaining motivation and overcoming potential obstacles, such as time constraints and resistance from team members. We discussed strategies to navigate these challenges, reinforcing the importance of adaptability and resilience in their leadership journey.</w:t>
      </w:r>
    </w:p>
    <w:p w14:paraId="05420EB3" w14:textId="77777777"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In reflecting on this coaching experience, I realized the effectiveness of the GROW model in providing a structured yet flexible framework for coaching conversations. It facilitated a comprehensive exploration of the coachee's goals and circumstances while fostering a sense of collaboration and empowerment. However, I also acknowledged areas for improvement. I need to enhance my skills in building rapport and trust more rapidly to ensure deeper engagement from the outset. Additionally, I plan to develop my ability to ask more probing questions to help coachees confront their challenges more directly.</w:t>
      </w:r>
    </w:p>
    <w:p w14:paraId="3F25B642" w14:textId="77777777" w:rsidR="00585EE1" w:rsidRDefault="00585EE1" w:rsidP="00585EE1">
      <w:pPr>
        <w:pStyle w:val="Heading1"/>
        <w:rPr>
          <w:rStyle w:val="Strong"/>
          <w:b w:val="0"/>
          <w:bCs w:val="0"/>
        </w:rPr>
      </w:pPr>
    </w:p>
    <w:p w14:paraId="79707FFA" w14:textId="066DD8E0" w:rsidR="000F28C0" w:rsidRPr="00585EE1" w:rsidRDefault="000F28C0" w:rsidP="00585EE1">
      <w:pPr>
        <w:pStyle w:val="Heading1"/>
      </w:pPr>
      <w:r w:rsidRPr="00585EE1">
        <w:rPr>
          <w:rStyle w:val="Strong"/>
          <w:b w:val="0"/>
          <w:bCs w:val="0"/>
        </w:rPr>
        <w:t>Reflection on Practical 2: Mentoring and Providing Feedback Using the GROW Model</w:t>
      </w:r>
    </w:p>
    <w:p w14:paraId="6BEA93CD" w14:textId="77777777"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Reflecting on my assessed experience of mentoring and providing feedback through the GROW model has been an enlightening process. This reflection will follow the stages of the GROW framework—Goal, Reality, Options, and Will—to structure my learning and insights from this mentoring session.</w:t>
      </w:r>
    </w:p>
    <w:p w14:paraId="07545FAA"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Goal:</w:t>
      </w:r>
      <w:r w:rsidRPr="00585EE1">
        <w:rPr>
          <w:rFonts w:ascii="Arial" w:hAnsi="Arial" w:cs="Arial"/>
          <w:color w:val="000000"/>
          <w:sz w:val="22"/>
          <w:szCs w:val="22"/>
          <w:lang w:val="en-GB"/>
        </w:rPr>
        <w:br/>
      </w:r>
    </w:p>
    <w:p w14:paraId="21351496" w14:textId="24CDD440"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 xml:space="preserve">At the beginning of the mentoring session, my primary goal was to support my mentee in developing their critical thinking and decision-making skills, particularly in their </w:t>
      </w:r>
      <w:r w:rsidRPr="00585EE1">
        <w:rPr>
          <w:rFonts w:ascii="Arial" w:hAnsi="Arial" w:cs="Arial"/>
          <w:color w:val="000000"/>
          <w:sz w:val="22"/>
          <w:szCs w:val="22"/>
          <w:lang w:val="en-GB"/>
        </w:rPr>
        <w:lastRenderedPageBreak/>
        <w:t>role as a junior project manager. The mentee expressed a desire to improve their ability to evaluate project risks and present solutions to stakeholders effectively. My aim was to facilitate a constructive dialogue that would help them articulate specific goals and create a roadmap for enhancing these essential skills.</w:t>
      </w:r>
    </w:p>
    <w:p w14:paraId="0E152A35"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Reality:</w:t>
      </w:r>
      <w:r w:rsidRPr="00585EE1">
        <w:rPr>
          <w:rFonts w:ascii="Arial" w:hAnsi="Arial" w:cs="Arial"/>
          <w:color w:val="000000"/>
          <w:sz w:val="22"/>
          <w:szCs w:val="22"/>
          <w:lang w:val="en-GB"/>
        </w:rPr>
        <w:br/>
      </w:r>
    </w:p>
    <w:p w14:paraId="0C6394BD" w14:textId="4AE6AA04"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As we explored the current reality of the mentee's situation, it became apparent that they faced challenges in assessing project risks and communicating their evaluations clearly. During our conversation, the mentee shared specific instances where they struggled to present their ideas confidently in team meetings, leading to missed opportunities for input and collaboration. This reflection phase was crucial; it illuminated not only their current capabilities but also the underlying factors contributing to their hesitance, such as a lack of experience and fear of negative feedback from peers and superiors. Acknowledging these feelings allowed us to address them directly, fostering a more supportive and open mentoring environment.</w:t>
      </w:r>
    </w:p>
    <w:p w14:paraId="06138BF2"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Options:</w:t>
      </w:r>
      <w:r w:rsidRPr="00585EE1">
        <w:rPr>
          <w:rFonts w:ascii="Arial" w:hAnsi="Arial" w:cs="Arial"/>
          <w:color w:val="000000"/>
          <w:sz w:val="22"/>
          <w:szCs w:val="22"/>
          <w:lang w:val="en-GB"/>
        </w:rPr>
        <w:br/>
      </w:r>
    </w:p>
    <w:p w14:paraId="634DCCC2" w14:textId="5D00E30F"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With a clear understanding of the mentee's current position, we moved to explore various options for addressing the identified challenges. I encouraged the mentee to consider different strategies, such as seeking feedback from colleagues on their presentations, participating in training sessions focused on risk assessment, and practicing their communication skills in low-stakes environments. Additionally, I introduced the idea of developing a risk assessment framework that they could use to systematically evaluate projects, making the process less overwhelming. This brainstorming session was collaborative, empowering the mentee to take ownership of their learning journey and identify solutions that resonated with them.</w:t>
      </w:r>
    </w:p>
    <w:p w14:paraId="29F97B52" w14:textId="77777777" w:rsidR="00585EE1" w:rsidRDefault="000F28C0" w:rsidP="00585EE1">
      <w:pPr>
        <w:pStyle w:val="NormalWeb"/>
        <w:spacing w:line="360" w:lineRule="auto"/>
        <w:rPr>
          <w:rFonts w:ascii="Arial" w:hAnsi="Arial" w:cs="Arial"/>
          <w:color w:val="000000"/>
          <w:sz w:val="22"/>
          <w:szCs w:val="22"/>
          <w:lang w:val="en-GB"/>
        </w:rPr>
      </w:pPr>
      <w:r w:rsidRPr="00585EE1">
        <w:rPr>
          <w:rStyle w:val="Strong"/>
          <w:rFonts w:ascii="Arial" w:hAnsi="Arial" w:cs="Arial"/>
          <w:color w:val="000000"/>
          <w:sz w:val="22"/>
          <w:szCs w:val="22"/>
          <w:lang w:val="en-GB"/>
        </w:rPr>
        <w:t>Will:</w:t>
      </w:r>
      <w:r w:rsidRPr="00585EE1">
        <w:rPr>
          <w:rFonts w:ascii="Arial" w:hAnsi="Arial" w:cs="Arial"/>
          <w:color w:val="000000"/>
          <w:sz w:val="22"/>
          <w:szCs w:val="22"/>
          <w:lang w:val="en-GB"/>
        </w:rPr>
        <w:br/>
      </w:r>
    </w:p>
    <w:p w14:paraId="3AB50DDC" w14:textId="36EC800E"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 xml:space="preserve">In the final stage of our session, we focused on the 'Will' component, where the mentee committed to specific actions before our next meeting. They agreed to practice their presentation skills by presenting a project update in a team meeting and to use the risk assessment framework we discussed. We also established a timeline for follow-up feedback </w:t>
      </w:r>
      <w:r w:rsidRPr="00585EE1">
        <w:rPr>
          <w:rFonts w:ascii="Arial" w:hAnsi="Arial" w:cs="Arial"/>
          <w:color w:val="000000"/>
          <w:sz w:val="22"/>
          <w:szCs w:val="22"/>
          <w:lang w:val="en-GB"/>
        </w:rPr>
        <w:lastRenderedPageBreak/>
        <w:t>sessions to review their progress and refine their skills further. This commitment to action not only instilled a sense of accountability but also reinforced their determination to improve.</w:t>
      </w:r>
    </w:p>
    <w:p w14:paraId="5D7EFFC5" w14:textId="62FCB148"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Upon reflecting on this mentoring experience, I recognized the effectiveness of the GROW model in facilitating structured yet flexible conversations. It provided a clear pathway for exploring the mentee’s goals while ensuring that the session remained focused and productive. However, I also identified areas for my improvement as a mentor. I realized that I could enhance my active listening skills to better understand my mentee's concerns and aspirations. Additionally, I recognized the importance of providing timely and constructive feedback that encourages growth while minimizing defensiveness.</w:t>
      </w:r>
    </w:p>
    <w:p w14:paraId="6F30B6D4" w14:textId="77777777" w:rsidR="000F28C0" w:rsidRPr="00585EE1" w:rsidRDefault="000F28C0" w:rsidP="00585EE1">
      <w:pPr>
        <w:spacing w:line="360" w:lineRule="auto"/>
        <w:rPr>
          <w:rFonts w:ascii="Arial" w:hAnsi="Arial" w:cs="Arial"/>
          <w:b/>
          <w:bCs/>
          <w:sz w:val="22"/>
          <w:szCs w:val="22"/>
        </w:rPr>
      </w:pPr>
    </w:p>
    <w:p w14:paraId="177F3A14" w14:textId="77777777" w:rsidR="000F28C0" w:rsidRPr="00585EE1" w:rsidRDefault="000F28C0" w:rsidP="00585EE1">
      <w:pPr>
        <w:pStyle w:val="Heading1"/>
      </w:pPr>
      <w:r w:rsidRPr="00585EE1">
        <w:rPr>
          <w:rStyle w:val="Strong"/>
          <w:b w:val="0"/>
          <w:bCs w:val="0"/>
        </w:rPr>
        <w:t>Conclusion</w:t>
      </w:r>
    </w:p>
    <w:p w14:paraId="71616A5E" w14:textId="77777777" w:rsidR="00585EE1" w:rsidRDefault="00585EE1" w:rsidP="00585EE1">
      <w:pPr>
        <w:pStyle w:val="NormalWeb"/>
        <w:spacing w:line="360" w:lineRule="auto"/>
        <w:rPr>
          <w:rFonts w:ascii="Arial" w:hAnsi="Arial" w:cs="Arial"/>
          <w:color w:val="000000"/>
          <w:sz w:val="22"/>
          <w:szCs w:val="22"/>
          <w:lang w:val="en-GB"/>
        </w:rPr>
      </w:pPr>
    </w:p>
    <w:p w14:paraId="06E3BCBA" w14:textId="37FFF4DC"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In summary, this report has explored the significance of coaching and mentoring within the workplace, emphasizing the structured methodologies that underpin effective practices. Through the examination of the GROW model, a widely recognized coaching framework, I highlighted its role in facilitating goal setting, reality assessment, exploring options, and establishing actionable commitments. The literature by Whitmore (2009) and Grant (2010) supports the model’s effectiveness in promoting self-discovery and accountability, which are crucial for fostering employee engagement and performance.</w:t>
      </w:r>
    </w:p>
    <w:p w14:paraId="69CBEC88" w14:textId="77777777" w:rsidR="000F28C0" w:rsidRPr="00585EE1" w:rsidRDefault="000F28C0" w:rsidP="00585EE1">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Additionally, I reflected on my practical experiences in coaching and mentoring, utilizing the GROW model to structure these interactions. In my coaching experience, I recognized the importance of creating a trusting environment to encourage openness, while in mentoring, I emphasized the value of collaborative problem-solving and empowering my mentee to take ownership of their development. These reflections underscored the balance between guidance and independence, as noted by Clutterbuck (2004) and Cox et al. (2018).</w:t>
      </w:r>
    </w:p>
    <w:p w14:paraId="2AAFCA10" w14:textId="464CD493" w:rsidR="000F28C0" w:rsidRPr="007F30CA" w:rsidRDefault="000F28C0" w:rsidP="007F30CA">
      <w:pPr>
        <w:pStyle w:val="NormalWeb"/>
        <w:spacing w:line="360" w:lineRule="auto"/>
        <w:ind w:firstLine="720"/>
        <w:rPr>
          <w:rFonts w:ascii="Arial" w:hAnsi="Arial" w:cs="Arial"/>
          <w:color w:val="000000"/>
          <w:sz w:val="22"/>
          <w:szCs w:val="22"/>
          <w:lang w:val="en-GB"/>
        </w:rPr>
      </w:pPr>
      <w:r w:rsidRPr="00585EE1">
        <w:rPr>
          <w:rFonts w:ascii="Arial" w:hAnsi="Arial" w:cs="Arial"/>
          <w:color w:val="000000"/>
          <w:sz w:val="22"/>
          <w:szCs w:val="22"/>
          <w:lang w:val="en-GB"/>
        </w:rPr>
        <w:t xml:space="preserve">Looking ahead, my experiences will inform my future practice by encouraging me to adapt my coaching and mentoring approaches based on individual needs and situational contexts. I plan to integrate more active listening and constructive feedback techniques, ensuring that I foster an environment conducive to growth and learning. By continually applying reflective practices, I aim to enhance my effectiveness as a coach and mentor, ultimately contributing to a more engaged and capable workforce in my future professional </w:t>
      </w:r>
      <w:r w:rsidR="00585EE1" w:rsidRPr="00585EE1">
        <w:rPr>
          <w:rFonts w:ascii="Arial" w:hAnsi="Arial" w:cs="Arial"/>
          <w:color w:val="000000"/>
          <w:sz w:val="22"/>
          <w:szCs w:val="22"/>
          <w:lang w:val="en-GB"/>
        </w:rPr>
        <w:t>endeavours</w:t>
      </w:r>
      <w:r w:rsidR="007F30CA">
        <w:rPr>
          <w:rFonts w:ascii="Arial" w:hAnsi="Arial" w:cs="Arial"/>
          <w:color w:val="000000"/>
          <w:sz w:val="22"/>
          <w:szCs w:val="22"/>
          <w:lang w:val="en-GB"/>
        </w:rPr>
        <w:t>.</w:t>
      </w:r>
    </w:p>
    <w:p w14:paraId="30C7A82B" w14:textId="77777777" w:rsidR="000F28C0" w:rsidRPr="00585EE1" w:rsidRDefault="000F28C0" w:rsidP="00585EE1">
      <w:pPr>
        <w:spacing w:line="360" w:lineRule="auto"/>
        <w:rPr>
          <w:rFonts w:ascii="Arial" w:hAnsi="Arial" w:cs="Arial"/>
          <w:b/>
          <w:bCs/>
          <w:sz w:val="22"/>
          <w:szCs w:val="22"/>
        </w:rPr>
      </w:pPr>
    </w:p>
    <w:p w14:paraId="733D5602" w14:textId="34E78435" w:rsidR="000F28C0" w:rsidRPr="00585EE1" w:rsidRDefault="000F28C0" w:rsidP="00585EE1">
      <w:pPr>
        <w:pStyle w:val="Heading1"/>
      </w:pPr>
      <w:r w:rsidRPr="00585EE1">
        <w:t xml:space="preserve">Reference list </w:t>
      </w:r>
    </w:p>
    <w:p w14:paraId="568077CB" w14:textId="77777777" w:rsidR="000F28C0" w:rsidRPr="00585EE1" w:rsidRDefault="000F28C0" w:rsidP="00585EE1">
      <w:pPr>
        <w:spacing w:line="360" w:lineRule="auto"/>
        <w:rPr>
          <w:rFonts w:ascii="Arial" w:hAnsi="Arial" w:cs="Arial"/>
          <w:sz w:val="22"/>
          <w:szCs w:val="22"/>
        </w:rPr>
      </w:pPr>
    </w:p>
    <w:p w14:paraId="7BB2BCDF" w14:textId="174C256A"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Burns, J. M. (1978). Leadership. New York: Harper &amp; Row.</w:t>
      </w:r>
    </w:p>
    <w:p w14:paraId="0A71913C" w14:textId="77777777" w:rsidR="00585EE1" w:rsidRDefault="00585EE1" w:rsidP="00585EE1">
      <w:pPr>
        <w:spacing w:line="360" w:lineRule="auto"/>
        <w:rPr>
          <w:rFonts w:ascii="Arial" w:hAnsi="Arial" w:cs="Arial"/>
          <w:sz w:val="22"/>
          <w:szCs w:val="22"/>
        </w:rPr>
      </w:pPr>
    </w:p>
    <w:p w14:paraId="1304A1A3" w14:textId="08BB09BF"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Clutterbuck, D. (2004). Everyone Needs a Mentor: Fostering Talent in Your Organisation (4th ed.). London: Chartered Institute of Personnel and Development.</w:t>
      </w:r>
    </w:p>
    <w:p w14:paraId="65AE5711" w14:textId="77777777" w:rsidR="00585EE1" w:rsidRDefault="00585EE1" w:rsidP="00585EE1">
      <w:pPr>
        <w:spacing w:line="360" w:lineRule="auto"/>
        <w:rPr>
          <w:rFonts w:ascii="Arial" w:hAnsi="Arial" w:cs="Arial"/>
          <w:sz w:val="22"/>
          <w:szCs w:val="22"/>
        </w:rPr>
      </w:pPr>
    </w:p>
    <w:p w14:paraId="33B9AFF9" w14:textId="41DD6667"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Cox, E., Bachkirova, T., &amp; Clutterbuck, D. (Eds.). (2018). The Complete Handbook of Coaching (3rd ed.). London: Sage Publications.</w:t>
      </w:r>
    </w:p>
    <w:p w14:paraId="32B230E7" w14:textId="77777777" w:rsidR="00585EE1" w:rsidRDefault="00585EE1" w:rsidP="00585EE1">
      <w:pPr>
        <w:spacing w:line="360" w:lineRule="auto"/>
        <w:rPr>
          <w:rFonts w:ascii="Arial" w:hAnsi="Arial" w:cs="Arial"/>
          <w:sz w:val="22"/>
          <w:szCs w:val="22"/>
        </w:rPr>
      </w:pPr>
    </w:p>
    <w:p w14:paraId="056E7F8C" w14:textId="77777777" w:rsidR="00585EE1" w:rsidRDefault="00585EE1" w:rsidP="00585EE1">
      <w:pPr>
        <w:spacing w:line="360" w:lineRule="auto"/>
        <w:rPr>
          <w:rFonts w:ascii="Arial" w:hAnsi="Arial" w:cs="Arial"/>
          <w:sz w:val="22"/>
          <w:szCs w:val="22"/>
        </w:rPr>
      </w:pPr>
      <w:r w:rsidRPr="00585EE1">
        <w:rPr>
          <w:rFonts w:ascii="Arial" w:hAnsi="Arial" w:cs="Arial"/>
          <w:sz w:val="22"/>
          <w:szCs w:val="22"/>
        </w:rPr>
        <w:t>Clutterbuck, D. (2004). Everyone Needs a Mentor: Fostering Talent in Your Organisation (4th ed.). London: Chartered Institute of Personnel and Development.</w:t>
      </w:r>
    </w:p>
    <w:p w14:paraId="0D38F2BB" w14:textId="77777777" w:rsidR="00585EE1" w:rsidRPr="00585EE1" w:rsidRDefault="00585EE1" w:rsidP="00585EE1">
      <w:pPr>
        <w:spacing w:line="360" w:lineRule="auto"/>
        <w:rPr>
          <w:rFonts w:ascii="Arial" w:hAnsi="Arial" w:cs="Arial"/>
          <w:sz w:val="22"/>
          <w:szCs w:val="22"/>
        </w:rPr>
      </w:pPr>
    </w:p>
    <w:p w14:paraId="12F808C3" w14:textId="77777777" w:rsidR="00585EE1" w:rsidRDefault="00585EE1" w:rsidP="00585EE1">
      <w:pPr>
        <w:spacing w:line="360" w:lineRule="auto"/>
        <w:rPr>
          <w:rFonts w:ascii="Arial" w:hAnsi="Arial" w:cs="Arial"/>
          <w:sz w:val="22"/>
          <w:szCs w:val="22"/>
        </w:rPr>
      </w:pPr>
      <w:r w:rsidRPr="00585EE1">
        <w:rPr>
          <w:rFonts w:ascii="Arial" w:hAnsi="Arial" w:cs="Arial"/>
          <w:sz w:val="22"/>
          <w:szCs w:val="22"/>
        </w:rPr>
        <w:t>Garvey, R., Stokes, P., &amp; Megginson, D. (2014). Coaching and Mentoring: Theory and Practice (2nd ed.). London: Sage Publications.</w:t>
      </w:r>
    </w:p>
    <w:p w14:paraId="0B443C59" w14:textId="77777777" w:rsidR="00585EE1" w:rsidRPr="00585EE1" w:rsidRDefault="00585EE1" w:rsidP="00585EE1">
      <w:pPr>
        <w:spacing w:line="360" w:lineRule="auto"/>
        <w:rPr>
          <w:rFonts w:ascii="Arial" w:hAnsi="Arial" w:cs="Arial"/>
          <w:sz w:val="22"/>
          <w:szCs w:val="22"/>
        </w:rPr>
      </w:pPr>
    </w:p>
    <w:p w14:paraId="1D664898" w14:textId="77777777"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Grant, A. M. (2010). Coaching and Positive Psychology: The Science of Coaching. In S. J. Lopez (Ed.), The Oxford Handbook of Positive Psychology (2nd ed., pp. 218-232). New York: Oxford University Press.</w:t>
      </w:r>
    </w:p>
    <w:p w14:paraId="6AAC82CE" w14:textId="77777777" w:rsidR="00585EE1" w:rsidRDefault="00585EE1" w:rsidP="00585EE1">
      <w:pPr>
        <w:spacing w:line="360" w:lineRule="auto"/>
        <w:rPr>
          <w:rFonts w:ascii="Arial" w:hAnsi="Arial" w:cs="Arial"/>
          <w:sz w:val="22"/>
          <w:szCs w:val="22"/>
        </w:rPr>
      </w:pPr>
    </w:p>
    <w:p w14:paraId="75A0C16A" w14:textId="104964CB"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Kolb, D. A. (1984). Experiential Learning: Experience as the Source of Learning and Development. Englewood Cliffs, NJ: Prentice Hall.</w:t>
      </w:r>
    </w:p>
    <w:p w14:paraId="331C0722" w14:textId="77777777" w:rsidR="00585EE1" w:rsidRDefault="00585EE1" w:rsidP="00585EE1">
      <w:pPr>
        <w:spacing w:line="360" w:lineRule="auto"/>
        <w:rPr>
          <w:rFonts w:ascii="Arial" w:hAnsi="Arial" w:cs="Arial"/>
          <w:sz w:val="22"/>
          <w:szCs w:val="22"/>
        </w:rPr>
      </w:pPr>
    </w:p>
    <w:p w14:paraId="6A5B623B" w14:textId="77777777"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Megginson, D., &amp; Clutterbuck, D. (2005). Techniques for Coaching and Mentoring. Oxford: Butterworth-Heinemann.</w:t>
      </w:r>
    </w:p>
    <w:p w14:paraId="55AEB30F" w14:textId="77777777" w:rsidR="007F30CA" w:rsidRPr="00585EE1" w:rsidRDefault="007F30CA" w:rsidP="007F30CA">
      <w:pPr>
        <w:spacing w:line="360" w:lineRule="auto"/>
        <w:rPr>
          <w:rFonts w:ascii="Arial" w:hAnsi="Arial" w:cs="Arial"/>
          <w:sz w:val="22"/>
          <w:szCs w:val="22"/>
        </w:rPr>
      </w:pPr>
    </w:p>
    <w:p w14:paraId="2A18254F" w14:textId="77777777" w:rsidR="007F30CA" w:rsidRPr="00585EE1" w:rsidRDefault="007F30CA" w:rsidP="007F30CA">
      <w:pPr>
        <w:spacing w:line="360" w:lineRule="auto"/>
        <w:rPr>
          <w:rFonts w:ascii="Arial" w:hAnsi="Arial" w:cs="Arial"/>
          <w:sz w:val="22"/>
          <w:szCs w:val="22"/>
        </w:rPr>
      </w:pPr>
      <w:r w:rsidRPr="00585EE1">
        <w:rPr>
          <w:rFonts w:ascii="Arial" w:hAnsi="Arial" w:cs="Arial"/>
          <w:sz w:val="22"/>
          <w:szCs w:val="22"/>
        </w:rPr>
        <w:t>Neenan, M., &amp; Palmer, S. (2001). Cognitive Behavioural Coaching. Counselling at Work, 1(1), 3-10.</w:t>
      </w:r>
    </w:p>
    <w:p w14:paraId="2212446E" w14:textId="77777777" w:rsidR="00585EE1" w:rsidRDefault="00585EE1" w:rsidP="00585EE1">
      <w:pPr>
        <w:spacing w:line="360" w:lineRule="auto"/>
        <w:rPr>
          <w:rFonts w:ascii="Arial" w:hAnsi="Arial" w:cs="Arial"/>
          <w:sz w:val="22"/>
          <w:szCs w:val="22"/>
        </w:rPr>
      </w:pPr>
    </w:p>
    <w:p w14:paraId="4ED45D2E" w14:textId="710D30B3"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Passmore, J. (2010). Excellence in Coaching: The Industry Guide (2nd ed.). London: Kogan Page.</w:t>
      </w:r>
    </w:p>
    <w:p w14:paraId="463C6352" w14:textId="77777777" w:rsidR="00585EE1" w:rsidRDefault="00585EE1" w:rsidP="00585EE1">
      <w:pPr>
        <w:spacing w:line="360" w:lineRule="auto"/>
        <w:rPr>
          <w:rFonts w:ascii="Arial" w:hAnsi="Arial" w:cs="Arial"/>
          <w:sz w:val="22"/>
          <w:szCs w:val="22"/>
        </w:rPr>
      </w:pPr>
    </w:p>
    <w:p w14:paraId="44078F31" w14:textId="31D7FE1D" w:rsidR="00585EE1" w:rsidRPr="00585EE1" w:rsidRDefault="00585EE1" w:rsidP="00585EE1">
      <w:pPr>
        <w:spacing w:line="360" w:lineRule="auto"/>
        <w:rPr>
          <w:rFonts w:ascii="Arial" w:hAnsi="Arial" w:cs="Arial"/>
          <w:sz w:val="22"/>
          <w:szCs w:val="22"/>
        </w:rPr>
      </w:pPr>
      <w:r w:rsidRPr="00585EE1">
        <w:rPr>
          <w:rFonts w:ascii="Arial" w:hAnsi="Arial" w:cs="Arial"/>
          <w:sz w:val="22"/>
          <w:szCs w:val="22"/>
        </w:rPr>
        <w:t>Ragins, B. R., &amp; Kram, K. E. (2007). The Handbook of Mentoring at Work: Theory, Research, and Practice. Thousand Oaks, CA: Sage Publications.</w:t>
      </w:r>
    </w:p>
    <w:p w14:paraId="6698C7FB" w14:textId="77777777" w:rsidR="007F30CA" w:rsidRDefault="007F30CA" w:rsidP="007F30CA">
      <w:pPr>
        <w:spacing w:line="360" w:lineRule="auto"/>
        <w:rPr>
          <w:rFonts w:ascii="Arial" w:hAnsi="Arial" w:cs="Arial"/>
          <w:sz w:val="22"/>
          <w:szCs w:val="22"/>
        </w:rPr>
      </w:pPr>
    </w:p>
    <w:p w14:paraId="0E3CD941" w14:textId="77777777" w:rsidR="007F30CA" w:rsidRPr="00585EE1" w:rsidRDefault="007F30CA" w:rsidP="007F30CA">
      <w:pPr>
        <w:spacing w:line="360" w:lineRule="auto"/>
        <w:rPr>
          <w:rFonts w:ascii="Arial" w:hAnsi="Arial" w:cs="Arial"/>
          <w:sz w:val="22"/>
          <w:szCs w:val="22"/>
        </w:rPr>
      </w:pPr>
      <w:r w:rsidRPr="00585EE1">
        <w:rPr>
          <w:rFonts w:ascii="Arial" w:hAnsi="Arial" w:cs="Arial"/>
          <w:sz w:val="22"/>
          <w:szCs w:val="22"/>
        </w:rPr>
        <w:lastRenderedPageBreak/>
        <w:t>Stober, D. R., &amp; Grant, A. M. (2006). Evidence Based Coaching Handbook: Putting Best Practices to Work for Your Clients. Hoboken, NJ: Wiley.</w:t>
      </w:r>
    </w:p>
    <w:p w14:paraId="21D4BEF6" w14:textId="77777777" w:rsidR="00585EE1" w:rsidRDefault="00585EE1" w:rsidP="00585EE1">
      <w:pPr>
        <w:spacing w:line="360" w:lineRule="auto"/>
        <w:rPr>
          <w:rFonts w:ascii="Arial" w:hAnsi="Arial" w:cs="Arial"/>
          <w:sz w:val="22"/>
          <w:szCs w:val="22"/>
        </w:rPr>
      </w:pPr>
    </w:p>
    <w:p w14:paraId="2901D3C5" w14:textId="77777777" w:rsidR="00585EE1" w:rsidRDefault="00585EE1" w:rsidP="00585EE1">
      <w:pPr>
        <w:spacing w:line="360" w:lineRule="auto"/>
        <w:rPr>
          <w:rFonts w:ascii="Arial" w:hAnsi="Arial" w:cs="Arial"/>
          <w:sz w:val="22"/>
          <w:szCs w:val="22"/>
        </w:rPr>
      </w:pPr>
      <w:r w:rsidRPr="00585EE1">
        <w:rPr>
          <w:rFonts w:ascii="Arial" w:hAnsi="Arial" w:cs="Arial"/>
          <w:sz w:val="22"/>
          <w:szCs w:val="22"/>
        </w:rPr>
        <w:t>Whitmore, J. (2009). Coaching for Performance: GROWing Human Potential and Purpose - The Principles and Practice of Coaching and Leadership (4th ed.). London: Nicholas Brealey Publishing.</w:t>
      </w:r>
    </w:p>
    <w:p w14:paraId="160922E3" w14:textId="77777777" w:rsidR="00585EE1" w:rsidRDefault="00585EE1" w:rsidP="00585EE1">
      <w:pPr>
        <w:spacing w:line="360" w:lineRule="auto"/>
        <w:rPr>
          <w:rFonts w:ascii="Arial" w:hAnsi="Arial" w:cs="Arial"/>
          <w:sz w:val="22"/>
          <w:szCs w:val="22"/>
        </w:rPr>
      </w:pPr>
    </w:p>
    <w:p w14:paraId="0A2D448B" w14:textId="77777777" w:rsidR="00BE0DE3" w:rsidRPr="00585EE1" w:rsidRDefault="00BE0DE3" w:rsidP="00585EE1">
      <w:pPr>
        <w:spacing w:line="360" w:lineRule="auto"/>
        <w:rPr>
          <w:rFonts w:ascii="Arial" w:hAnsi="Arial" w:cs="Arial"/>
          <w:sz w:val="22"/>
          <w:szCs w:val="22"/>
        </w:rPr>
      </w:pPr>
    </w:p>
    <w:sectPr w:rsidR="00BE0DE3" w:rsidRPr="00585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ED0767"/>
    <w:multiLevelType w:val="multilevel"/>
    <w:tmpl w:val="66A64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83E697C"/>
    <w:multiLevelType w:val="hybridMultilevel"/>
    <w:tmpl w:val="35EC0442"/>
    <w:lvl w:ilvl="0" w:tplc="69FA28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BD4C11"/>
    <w:multiLevelType w:val="hybridMultilevel"/>
    <w:tmpl w:val="F452B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0A24525"/>
    <w:multiLevelType w:val="multilevel"/>
    <w:tmpl w:val="BE0EA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27849211">
    <w:abstractNumId w:val="7"/>
  </w:num>
  <w:num w:numId="2" w16cid:durableId="1755055455">
    <w:abstractNumId w:val="6"/>
  </w:num>
  <w:num w:numId="3" w16cid:durableId="785465319">
    <w:abstractNumId w:val="1"/>
  </w:num>
  <w:num w:numId="4" w16cid:durableId="1188639200">
    <w:abstractNumId w:val="4"/>
  </w:num>
  <w:num w:numId="5" w16cid:durableId="884872307">
    <w:abstractNumId w:val="5"/>
  </w:num>
  <w:num w:numId="6" w16cid:durableId="904219358">
    <w:abstractNumId w:val="0"/>
  </w:num>
  <w:num w:numId="7" w16cid:durableId="1630354978">
    <w:abstractNumId w:val="3"/>
  </w:num>
  <w:num w:numId="8" w16cid:durableId="664630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C0"/>
    <w:rsid w:val="000F28C0"/>
    <w:rsid w:val="00315B41"/>
    <w:rsid w:val="00585EE1"/>
    <w:rsid w:val="00662B9C"/>
    <w:rsid w:val="007F30CA"/>
    <w:rsid w:val="00BE0DE3"/>
    <w:rsid w:val="00CC6F68"/>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063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8C0"/>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585E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28C0"/>
    <w:pPr>
      <w:ind w:left="720"/>
      <w:contextualSpacing/>
    </w:pPr>
  </w:style>
  <w:style w:type="paragraph" w:styleId="NormalWeb">
    <w:name w:val="Normal (Web)"/>
    <w:basedOn w:val="Normal"/>
    <w:uiPriority w:val="99"/>
    <w:unhideWhenUsed/>
    <w:rsid w:val="000F28C0"/>
    <w:pPr>
      <w:spacing w:before="100" w:beforeAutospacing="1" w:after="100" w:afterAutospacing="1"/>
    </w:pPr>
    <w:rPr>
      <w:sz w:val="24"/>
      <w:szCs w:val="24"/>
      <w:lang/>
    </w:rPr>
  </w:style>
  <w:style w:type="character" w:styleId="Strong">
    <w:name w:val="Strong"/>
    <w:basedOn w:val="DefaultParagraphFont"/>
    <w:uiPriority w:val="22"/>
    <w:qFormat/>
    <w:rsid w:val="000F28C0"/>
    <w:rPr>
      <w:b/>
      <w:bCs/>
    </w:rPr>
  </w:style>
  <w:style w:type="character" w:customStyle="1" w:styleId="apple-converted-space">
    <w:name w:val="apple-converted-space"/>
    <w:basedOn w:val="DefaultParagraphFont"/>
    <w:rsid w:val="000F28C0"/>
  </w:style>
  <w:style w:type="character" w:styleId="Emphasis">
    <w:name w:val="Emphasis"/>
    <w:basedOn w:val="DefaultParagraphFont"/>
    <w:uiPriority w:val="20"/>
    <w:qFormat/>
    <w:rsid w:val="000F28C0"/>
    <w:rPr>
      <w:i/>
      <w:iCs/>
    </w:rPr>
  </w:style>
  <w:style w:type="character" w:customStyle="1" w:styleId="Heading1Char">
    <w:name w:val="Heading 1 Char"/>
    <w:basedOn w:val="DefaultParagraphFont"/>
    <w:link w:val="Heading1"/>
    <w:uiPriority w:val="9"/>
    <w:rsid w:val="00585EE1"/>
    <w:rPr>
      <w:rFonts w:asciiTheme="majorHAnsi" w:eastAsiaTheme="majorEastAsia" w:hAnsiTheme="majorHAnsi" w:cstheme="majorBidi"/>
      <w:color w:val="2F5496" w:themeColor="accent1" w:themeShade="BF"/>
      <w:kern w:val="0"/>
      <w:sz w:val="32"/>
      <w:szCs w:val="3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725353">
      <w:bodyDiv w:val="1"/>
      <w:marLeft w:val="0"/>
      <w:marRight w:val="0"/>
      <w:marTop w:val="0"/>
      <w:marBottom w:val="0"/>
      <w:divBdr>
        <w:top w:val="none" w:sz="0" w:space="0" w:color="auto"/>
        <w:left w:val="none" w:sz="0" w:space="0" w:color="auto"/>
        <w:bottom w:val="none" w:sz="0" w:space="0" w:color="auto"/>
        <w:right w:val="none" w:sz="0" w:space="0" w:color="auto"/>
      </w:divBdr>
    </w:div>
    <w:div w:id="110512538">
      <w:bodyDiv w:val="1"/>
      <w:marLeft w:val="0"/>
      <w:marRight w:val="0"/>
      <w:marTop w:val="0"/>
      <w:marBottom w:val="0"/>
      <w:divBdr>
        <w:top w:val="none" w:sz="0" w:space="0" w:color="auto"/>
        <w:left w:val="none" w:sz="0" w:space="0" w:color="auto"/>
        <w:bottom w:val="none" w:sz="0" w:space="0" w:color="auto"/>
        <w:right w:val="none" w:sz="0" w:space="0" w:color="auto"/>
      </w:divBdr>
    </w:div>
    <w:div w:id="116265996">
      <w:bodyDiv w:val="1"/>
      <w:marLeft w:val="0"/>
      <w:marRight w:val="0"/>
      <w:marTop w:val="0"/>
      <w:marBottom w:val="0"/>
      <w:divBdr>
        <w:top w:val="none" w:sz="0" w:space="0" w:color="auto"/>
        <w:left w:val="none" w:sz="0" w:space="0" w:color="auto"/>
        <w:bottom w:val="none" w:sz="0" w:space="0" w:color="auto"/>
        <w:right w:val="none" w:sz="0" w:space="0" w:color="auto"/>
      </w:divBdr>
    </w:div>
    <w:div w:id="1054811466">
      <w:bodyDiv w:val="1"/>
      <w:marLeft w:val="0"/>
      <w:marRight w:val="0"/>
      <w:marTop w:val="0"/>
      <w:marBottom w:val="0"/>
      <w:divBdr>
        <w:top w:val="none" w:sz="0" w:space="0" w:color="auto"/>
        <w:left w:val="none" w:sz="0" w:space="0" w:color="auto"/>
        <w:bottom w:val="none" w:sz="0" w:space="0" w:color="auto"/>
        <w:right w:val="none" w:sz="0" w:space="0" w:color="auto"/>
      </w:divBdr>
    </w:div>
    <w:div w:id="1338535647">
      <w:bodyDiv w:val="1"/>
      <w:marLeft w:val="0"/>
      <w:marRight w:val="0"/>
      <w:marTop w:val="0"/>
      <w:marBottom w:val="0"/>
      <w:divBdr>
        <w:top w:val="none" w:sz="0" w:space="0" w:color="auto"/>
        <w:left w:val="none" w:sz="0" w:space="0" w:color="auto"/>
        <w:bottom w:val="none" w:sz="0" w:space="0" w:color="auto"/>
        <w:right w:val="none" w:sz="0" w:space="0" w:color="auto"/>
      </w:divBdr>
    </w:div>
    <w:div w:id="1672756881">
      <w:bodyDiv w:val="1"/>
      <w:marLeft w:val="0"/>
      <w:marRight w:val="0"/>
      <w:marTop w:val="0"/>
      <w:marBottom w:val="0"/>
      <w:divBdr>
        <w:top w:val="none" w:sz="0" w:space="0" w:color="auto"/>
        <w:left w:val="none" w:sz="0" w:space="0" w:color="auto"/>
        <w:bottom w:val="none" w:sz="0" w:space="0" w:color="auto"/>
        <w:right w:val="none" w:sz="0" w:space="0" w:color="auto"/>
      </w:divBdr>
    </w:div>
    <w:div w:id="1692607416">
      <w:bodyDiv w:val="1"/>
      <w:marLeft w:val="0"/>
      <w:marRight w:val="0"/>
      <w:marTop w:val="0"/>
      <w:marBottom w:val="0"/>
      <w:divBdr>
        <w:top w:val="none" w:sz="0" w:space="0" w:color="auto"/>
        <w:left w:val="none" w:sz="0" w:space="0" w:color="auto"/>
        <w:bottom w:val="none" w:sz="0" w:space="0" w:color="auto"/>
        <w:right w:val="none" w:sz="0" w:space="0" w:color="auto"/>
      </w:divBdr>
    </w:div>
    <w:div w:id="1704554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3015</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2024-11-17T20:47:00Z</dcterms:created>
  <dcterms:modified xsi:type="dcterms:W3CDTF">2024-11-17T20:47:00Z</dcterms:modified>
</cp:coreProperties>
</file>