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A5564" w:rsidRPr="005A27DE" w:rsidRDefault="005A5564">
      <w:pPr>
        <w:pStyle w:val="Normal1"/>
        <w:spacing w:line="360" w:lineRule="auto"/>
        <w:jc w:val="center"/>
        <w:rPr>
          <w:rFonts w:ascii="Times New Roman" w:eastAsia="Times New Roman" w:hAnsi="Times New Roman" w:cs="Times New Roman"/>
          <w:b/>
          <w:sz w:val="32"/>
          <w:szCs w:val="32"/>
          <w:lang w:val="en-GB"/>
        </w:rPr>
      </w:pPr>
    </w:p>
    <w:p w14:paraId="00000002" w14:textId="77777777" w:rsidR="005A5564" w:rsidRPr="005A27DE" w:rsidRDefault="005A5564">
      <w:pPr>
        <w:pStyle w:val="Normal1"/>
        <w:spacing w:line="360" w:lineRule="auto"/>
        <w:jc w:val="center"/>
        <w:rPr>
          <w:rFonts w:ascii="Times New Roman" w:eastAsia="Times New Roman" w:hAnsi="Times New Roman" w:cs="Times New Roman"/>
          <w:b/>
          <w:sz w:val="32"/>
          <w:szCs w:val="32"/>
          <w:lang w:val="en-GB"/>
        </w:rPr>
      </w:pPr>
    </w:p>
    <w:p w14:paraId="00000003" w14:textId="189FC152" w:rsidR="005A5564" w:rsidRPr="005A27DE" w:rsidRDefault="005A5564">
      <w:pPr>
        <w:pStyle w:val="Normal1"/>
        <w:spacing w:line="360" w:lineRule="auto"/>
        <w:jc w:val="center"/>
        <w:rPr>
          <w:rFonts w:ascii="Times New Roman" w:eastAsia="Times New Roman" w:hAnsi="Times New Roman" w:cs="Times New Roman"/>
          <w:b/>
          <w:sz w:val="32"/>
          <w:szCs w:val="32"/>
          <w:lang w:val="en-GB"/>
        </w:rPr>
      </w:pPr>
    </w:p>
    <w:p w14:paraId="00000009" w14:textId="77777777" w:rsidR="005A5564" w:rsidRPr="005A27DE" w:rsidRDefault="005A5564" w:rsidP="00A32EB1">
      <w:pPr>
        <w:pStyle w:val="Normal1"/>
        <w:spacing w:line="360" w:lineRule="auto"/>
        <w:rPr>
          <w:rFonts w:ascii="Times New Roman" w:eastAsia="Times New Roman" w:hAnsi="Times New Roman" w:cs="Times New Roman"/>
          <w:b/>
          <w:sz w:val="32"/>
          <w:szCs w:val="32"/>
          <w:lang w:val="en-GB"/>
        </w:rPr>
      </w:pPr>
    </w:p>
    <w:p w14:paraId="0000000B" w14:textId="77777777" w:rsidR="005A5564" w:rsidRPr="005A27DE" w:rsidRDefault="005A5564" w:rsidP="005A27DE">
      <w:pPr>
        <w:pStyle w:val="Normal1"/>
        <w:spacing w:line="360" w:lineRule="auto"/>
        <w:rPr>
          <w:rFonts w:ascii="Times New Roman" w:eastAsia="Times New Roman" w:hAnsi="Times New Roman" w:cs="Times New Roman"/>
          <w:b/>
          <w:sz w:val="32"/>
          <w:szCs w:val="32"/>
          <w:lang w:val="en-GB"/>
        </w:rPr>
      </w:pPr>
    </w:p>
    <w:p w14:paraId="0000000C" w14:textId="77777777" w:rsidR="005A5564" w:rsidRPr="005A27DE" w:rsidRDefault="005A5564">
      <w:pPr>
        <w:pStyle w:val="Normal1"/>
        <w:spacing w:line="360" w:lineRule="auto"/>
        <w:jc w:val="center"/>
        <w:rPr>
          <w:rFonts w:ascii="Times New Roman" w:eastAsia="Times New Roman" w:hAnsi="Times New Roman" w:cs="Times New Roman"/>
          <w:b/>
          <w:sz w:val="32"/>
          <w:szCs w:val="32"/>
          <w:lang w:val="en-GB"/>
        </w:rPr>
      </w:pPr>
    </w:p>
    <w:p w14:paraId="0000000D" w14:textId="43C82E0C" w:rsidR="005A5564" w:rsidRDefault="00343D39">
      <w:pPr>
        <w:pStyle w:val="Normal1"/>
        <w:spacing w:line="360" w:lineRule="auto"/>
        <w:jc w:val="center"/>
        <w:rPr>
          <w:rFonts w:ascii="Times New Roman" w:eastAsia="Times New Roman" w:hAnsi="Times New Roman" w:cs="Times New Roman"/>
          <w:b/>
          <w:sz w:val="32"/>
          <w:szCs w:val="32"/>
          <w:lang w:val="en-GB"/>
        </w:rPr>
      </w:pPr>
      <w:r w:rsidRPr="005A27DE">
        <w:rPr>
          <w:rFonts w:ascii="Times New Roman" w:eastAsia="Times New Roman" w:hAnsi="Times New Roman" w:cs="Times New Roman"/>
          <w:b/>
          <w:sz w:val="32"/>
          <w:szCs w:val="32"/>
          <w:lang w:val="en-GB"/>
        </w:rPr>
        <w:t>THE ENGLISH LEGAL SYSTEM IS BASED UPON COMMON LAW PRINCIPLES</w:t>
      </w:r>
    </w:p>
    <w:p w14:paraId="719B523B" w14:textId="6EAE9366" w:rsidR="00A32EB1" w:rsidRDefault="00A32EB1">
      <w:pPr>
        <w:pStyle w:val="Normal1"/>
        <w:spacing w:line="360" w:lineRule="auto"/>
        <w:jc w:val="center"/>
        <w:rPr>
          <w:rFonts w:ascii="Times New Roman" w:eastAsia="Times New Roman" w:hAnsi="Times New Roman" w:cs="Times New Roman"/>
          <w:b/>
          <w:sz w:val="32"/>
          <w:szCs w:val="32"/>
          <w:lang w:val="en-GB"/>
        </w:rPr>
      </w:pPr>
    </w:p>
    <w:p w14:paraId="3A599489" w14:textId="6F2E92CB" w:rsidR="00A32EB1" w:rsidRDefault="00A32EB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Kaiyum Ahmed Khan</w:t>
      </w:r>
    </w:p>
    <w:p w14:paraId="68C27306" w14:textId="69667F7C" w:rsidR="00A32EB1" w:rsidRPr="005A27DE" w:rsidRDefault="00A32EB1">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32"/>
          <w:szCs w:val="32"/>
          <w:lang w:val="en-GB"/>
        </w:rPr>
        <w:t>2028296</w:t>
      </w:r>
    </w:p>
    <w:p w14:paraId="4E2B3EF4" w14:textId="1AF3BBCD" w:rsidR="00A32EB1" w:rsidRPr="00A32EB1" w:rsidRDefault="00343D39">
      <w:pPr>
        <w:pStyle w:val="Normal1"/>
        <w:spacing w:line="360" w:lineRule="auto"/>
        <w:jc w:val="both"/>
        <w:rPr>
          <w:lang w:val="en-GB"/>
        </w:rPr>
      </w:pPr>
      <w:r w:rsidRPr="005A27DE">
        <w:rPr>
          <w:lang w:val="en-GB"/>
        </w:rPr>
        <w:br w:type="page"/>
      </w:r>
    </w:p>
    <w:sdt>
      <w:sdtPr>
        <w:rPr>
          <w:rFonts w:ascii="Arial" w:eastAsia="Arial" w:hAnsi="Arial" w:cs="Arial"/>
          <w:color w:val="auto"/>
          <w:sz w:val="22"/>
          <w:szCs w:val="22"/>
          <w:lang w:val="en-GB"/>
        </w:rPr>
        <w:id w:val="-1476142960"/>
        <w:docPartObj>
          <w:docPartGallery w:val="Table of Contents"/>
          <w:docPartUnique/>
        </w:docPartObj>
      </w:sdtPr>
      <w:sdtEndPr>
        <w:rPr>
          <w:b/>
          <w:bCs/>
          <w:noProof/>
        </w:rPr>
      </w:sdtEndPr>
      <w:sdtContent>
        <w:p w14:paraId="4CA8C404" w14:textId="1AA8AD03" w:rsidR="005A27DE" w:rsidRPr="005A27DE" w:rsidRDefault="005A27DE" w:rsidP="005A27DE">
          <w:pPr>
            <w:pStyle w:val="TOCHeading"/>
            <w:jc w:val="center"/>
            <w:rPr>
              <w:rFonts w:ascii="Times New Roman" w:hAnsi="Times New Roman" w:cs="Times New Roman"/>
              <w:b/>
              <w:bCs/>
              <w:color w:val="000000" w:themeColor="text1"/>
              <w:sz w:val="28"/>
              <w:szCs w:val="28"/>
            </w:rPr>
          </w:pPr>
          <w:r w:rsidRPr="005A27DE">
            <w:rPr>
              <w:rFonts w:ascii="Times New Roman" w:hAnsi="Times New Roman" w:cs="Times New Roman"/>
              <w:b/>
              <w:bCs/>
              <w:color w:val="000000" w:themeColor="text1"/>
              <w:sz w:val="28"/>
              <w:szCs w:val="28"/>
            </w:rPr>
            <w:t>Table of Contents</w:t>
          </w:r>
        </w:p>
        <w:p w14:paraId="35827696" w14:textId="7B0865B5" w:rsidR="005A27DE" w:rsidRPr="005A27DE" w:rsidRDefault="005A27DE" w:rsidP="005A27DE">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8657605" w:history="1">
            <w:r w:rsidRPr="005A27DE">
              <w:rPr>
                <w:rStyle w:val="Hyperlink"/>
                <w:rFonts w:ascii="Times New Roman" w:hAnsi="Times New Roman" w:cs="Times New Roman"/>
                <w:noProof/>
                <w:sz w:val="24"/>
                <w:szCs w:val="24"/>
              </w:rPr>
              <w:t>Introduction</w:t>
            </w:r>
            <w:r w:rsidRPr="005A27DE">
              <w:rPr>
                <w:rFonts w:ascii="Times New Roman" w:hAnsi="Times New Roman" w:cs="Times New Roman"/>
                <w:noProof/>
                <w:webHidden/>
                <w:sz w:val="24"/>
                <w:szCs w:val="24"/>
              </w:rPr>
              <w:tab/>
            </w:r>
            <w:r w:rsidRPr="005A27DE">
              <w:rPr>
                <w:rFonts w:ascii="Times New Roman" w:hAnsi="Times New Roman" w:cs="Times New Roman"/>
                <w:noProof/>
                <w:webHidden/>
                <w:sz w:val="24"/>
                <w:szCs w:val="24"/>
              </w:rPr>
              <w:fldChar w:fldCharType="begin"/>
            </w:r>
            <w:r w:rsidRPr="005A27DE">
              <w:rPr>
                <w:rFonts w:ascii="Times New Roman" w:hAnsi="Times New Roman" w:cs="Times New Roman"/>
                <w:noProof/>
                <w:webHidden/>
                <w:sz w:val="24"/>
                <w:szCs w:val="24"/>
              </w:rPr>
              <w:instrText xml:space="preserve"> PAGEREF _Toc128657605 \h </w:instrText>
            </w:r>
            <w:r w:rsidRPr="005A27DE">
              <w:rPr>
                <w:rFonts w:ascii="Times New Roman" w:hAnsi="Times New Roman" w:cs="Times New Roman"/>
                <w:noProof/>
                <w:webHidden/>
                <w:sz w:val="24"/>
                <w:szCs w:val="24"/>
              </w:rPr>
            </w:r>
            <w:r w:rsidRPr="005A27DE">
              <w:rPr>
                <w:rFonts w:ascii="Times New Roman" w:hAnsi="Times New Roman" w:cs="Times New Roman"/>
                <w:noProof/>
                <w:webHidden/>
                <w:sz w:val="24"/>
                <w:szCs w:val="24"/>
              </w:rPr>
              <w:fldChar w:fldCharType="separate"/>
            </w:r>
            <w:r w:rsidRPr="005A27DE">
              <w:rPr>
                <w:rFonts w:ascii="Times New Roman" w:hAnsi="Times New Roman" w:cs="Times New Roman"/>
                <w:noProof/>
                <w:webHidden/>
                <w:sz w:val="24"/>
                <w:szCs w:val="24"/>
              </w:rPr>
              <w:t>2</w:t>
            </w:r>
            <w:r w:rsidRPr="005A27DE">
              <w:rPr>
                <w:rFonts w:ascii="Times New Roman" w:hAnsi="Times New Roman" w:cs="Times New Roman"/>
                <w:noProof/>
                <w:webHidden/>
                <w:sz w:val="24"/>
                <w:szCs w:val="24"/>
              </w:rPr>
              <w:fldChar w:fldCharType="end"/>
            </w:r>
          </w:hyperlink>
        </w:p>
        <w:p w14:paraId="690C2CB6" w14:textId="19C15BC5"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06" w:history="1">
            <w:r w:rsidR="005A27DE" w:rsidRPr="005A27DE">
              <w:rPr>
                <w:rStyle w:val="Hyperlink"/>
                <w:rFonts w:ascii="Times New Roman" w:hAnsi="Times New Roman" w:cs="Times New Roman"/>
                <w:noProof/>
                <w:sz w:val="24"/>
                <w:szCs w:val="24"/>
              </w:rPr>
              <w:t>What is common law?</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_Toc128657606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2</w:t>
            </w:r>
            <w:r w:rsidR="005A27DE" w:rsidRPr="005A27DE">
              <w:rPr>
                <w:rFonts w:ascii="Times New Roman" w:hAnsi="Times New Roman" w:cs="Times New Roman"/>
                <w:noProof/>
                <w:webHidden/>
                <w:sz w:val="24"/>
                <w:szCs w:val="24"/>
              </w:rPr>
              <w:fldChar w:fldCharType="end"/>
            </w:r>
          </w:hyperlink>
        </w:p>
        <w:p w14:paraId="131C2241" w14:textId="232D53C4"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07" w:history="1">
            <w:r w:rsidR="005A27DE" w:rsidRPr="005A27DE">
              <w:rPr>
                <w:rStyle w:val="Hyperlink"/>
                <w:rFonts w:ascii="Times New Roman" w:hAnsi="Times New Roman" w:cs="Times New Roman"/>
                <w:noProof/>
                <w:sz w:val="24"/>
                <w:szCs w:val="24"/>
              </w:rPr>
              <w:t>What is civil law?</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_Toc128657607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2</w:t>
            </w:r>
            <w:r w:rsidR="005A27DE" w:rsidRPr="005A27DE">
              <w:rPr>
                <w:rFonts w:ascii="Times New Roman" w:hAnsi="Times New Roman" w:cs="Times New Roman"/>
                <w:noProof/>
                <w:webHidden/>
                <w:sz w:val="24"/>
                <w:szCs w:val="24"/>
              </w:rPr>
              <w:fldChar w:fldCharType="end"/>
            </w:r>
          </w:hyperlink>
        </w:p>
        <w:p w14:paraId="395ACCD0" w14:textId="1A97A3B5"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08" w:history="1">
            <w:r w:rsidR="005A27DE" w:rsidRPr="005A27DE">
              <w:rPr>
                <w:rStyle w:val="Hyperlink"/>
                <w:rFonts w:ascii="Times New Roman" w:hAnsi="Times New Roman" w:cs="Times New Roman"/>
                <w:noProof/>
                <w:sz w:val="24"/>
                <w:szCs w:val="24"/>
              </w:rPr>
              <w:t>Contrast the two systems</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_Toc128657608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3</w:t>
            </w:r>
            <w:r w:rsidR="005A27DE" w:rsidRPr="005A27DE">
              <w:rPr>
                <w:rFonts w:ascii="Times New Roman" w:hAnsi="Times New Roman" w:cs="Times New Roman"/>
                <w:noProof/>
                <w:webHidden/>
                <w:sz w:val="24"/>
                <w:szCs w:val="24"/>
              </w:rPr>
              <w:fldChar w:fldCharType="end"/>
            </w:r>
          </w:hyperlink>
        </w:p>
        <w:p w14:paraId="6B70200D" w14:textId="75062B2A"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09" w:history="1">
            <w:r w:rsidR="005A27DE" w:rsidRPr="005A27DE">
              <w:rPr>
                <w:rStyle w:val="Hyperlink"/>
                <w:rFonts w:ascii="Times New Roman" w:hAnsi="Times New Roman" w:cs="Times New Roman"/>
                <w:noProof/>
                <w:sz w:val="24"/>
                <w:szCs w:val="24"/>
              </w:rPr>
              <w:t>Analysis of the English legal system focusing on the principle of common law principle</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_Toc128657609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3</w:t>
            </w:r>
            <w:r w:rsidR="005A27DE" w:rsidRPr="005A27DE">
              <w:rPr>
                <w:rFonts w:ascii="Times New Roman" w:hAnsi="Times New Roman" w:cs="Times New Roman"/>
                <w:noProof/>
                <w:webHidden/>
                <w:sz w:val="24"/>
                <w:szCs w:val="24"/>
              </w:rPr>
              <w:fldChar w:fldCharType="end"/>
            </w:r>
          </w:hyperlink>
        </w:p>
        <w:p w14:paraId="478A806B" w14:textId="4C188710"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10" w:history="1">
            <w:r w:rsidR="005A27DE" w:rsidRPr="005A27DE">
              <w:rPr>
                <w:rStyle w:val="Hyperlink"/>
                <w:rFonts w:ascii="Times New Roman" w:hAnsi="Times New Roman" w:cs="Times New Roman"/>
                <w:noProof/>
                <w:sz w:val="24"/>
                <w:szCs w:val="24"/>
              </w:rPr>
              <w:t>Outline the history of the common law</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_Toc128657610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4</w:t>
            </w:r>
            <w:r w:rsidR="005A27DE" w:rsidRPr="005A27DE">
              <w:rPr>
                <w:rFonts w:ascii="Times New Roman" w:hAnsi="Times New Roman" w:cs="Times New Roman"/>
                <w:noProof/>
                <w:webHidden/>
                <w:sz w:val="24"/>
                <w:szCs w:val="24"/>
              </w:rPr>
              <w:fldChar w:fldCharType="end"/>
            </w:r>
          </w:hyperlink>
        </w:p>
        <w:p w14:paraId="276D5FB7" w14:textId="6498F4F7"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11" w:history="1">
            <w:r w:rsidR="005A27DE" w:rsidRPr="005A27DE">
              <w:rPr>
                <w:rStyle w:val="Hyperlink"/>
                <w:rFonts w:ascii="Times New Roman" w:hAnsi="Times New Roman" w:cs="Times New Roman"/>
                <w:noProof/>
                <w:sz w:val="24"/>
                <w:szCs w:val="24"/>
              </w:rPr>
              <w:t>Are there examples of the common law working in practice?</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_Toc128657611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5</w:t>
            </w:r>
            <w:r w:rsidR="005A27DE" w:rsidRPr="005A27DE">
              <w:rPr>
                <w:rFonts w:ascii="Times New Roman" w:hAnsi="Times New Roman" w:cs="Times New Roman"/>
                <w:noProof/>
                <w:webHidden/>
                <w:sz w:val="24"/>
                <w:szCs w:val="24"/>
              </w:rPr>
              <w:fldChar w:fldCharType="end"/>
            </w:r>
          </w:hyperlink>
        </w:p>
        <w:p w14:paraId="29FDB6F7" w14:textId="62C07551"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12" w:history="1">
            <w:r w:rsidR="005A27DE" w:rsidRPr="005A27DE">
              <w:rPr>
                <w:rStyle w:val="Hyperlink"/>
                <w:rFonts w:ascii="Times New Roman" w:hAnsi="Times New Roman" w:cs="Times New Roman"/>
                <w:noProof/>
                <w:sz w:val="24"/>
                <w:szCs w:val="24"/>
              </w:rPr>
              <w:t>Conclusion</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_Toc128657612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6</w:t>
            </w:r>
            <w:r w:rsidR="005A27DE" w:rsidRPr="005A27DE">
              <w:rPr>
                <w:rFonts w:ascii="Times New Roman" w:hAnsi="Times New Roman" w:cs="Times New Roman"/>
                <w:noProof/>
                <w:webHidden/>
                <w:sz w:val="24"/>
                <w:szCs w:val="24"/>
              </w:rPr>
              <w:fldChar w:fldCharType="end"/>
            </w:r>
          </w:hyperlink>
        </w:p>
        <w:p w14:paraId="0560E026" w14:textId="67725D36" w:rsidR="005A27DE" w:rsidRPr="005A27DE" w:rsidRDefault="00343D39" w:rsidP="005A27DE">
          <w:pPr>
            <w:pStyle w:val="TOC1"/>
            <w:tabs>
              <w:tab w:val="right" w:leader="dot" w:pos="9350"/>
            </w:tabs>
            <w:spacing w:line="360" w:lineRule="auto"/>
            <w:jc w:val="both"/>
            <w:rPr>
              <w:rFonts w:ascii="Times New Roman" w:hAnsi="Times New Roman" w:cs="Times New Roman"/>
              <w:noProof/>
              <w:sz w:val="24"/>
              <w:szCs w:val="24"/>
            </w:rPr>
          </w:pPr>
          <w:hyperlink w:anchor="_Toc128657613" w:history="1">
            <w:r w:rsidR="005A27DE" w:rsidRPr="005A27DE">
              <w:rPr>
                <w:rStyle w:val="Hyperlink"/>
                <w:rFonts w:ascii="Times New Roman" w:hAnsi="Times New Roman" w:cs="Times New Roman"/>
                <w:noProof/>
                <w:sz w:val="24"/>
                <w:szCs w:val="24"/>
              </w:rPr>
              <w:t>Reference list</w:t>
            </w:r>
            <w:r w:rsidR="005A27DE" w:rsidRPr="005A27DE">
              <w:rPr>
                <w:rFonts w:ascii="Times New Roman" w:hAnsi="Times New Roman" w:cs="Times New Roman"/>
                <w:noProof/>
                <w:webHidden/>
                <w:sz w:val="24"/>
                <w:szCs w:val="24"/>
              </w:rPr>
              <w:tab/>
            </w:r>
            <w:r w:rsidR="005A27DE" w:rsidRPr="005A27DE">
              <w:rPr>
                <w:rFonts w:ascii="Times New Roman" w:hAnsi="Times New Roman" w:cs="Times New Roman"/>
                <w:noProof/>
                <w:webHidden/>
                <w:sz w:val="24"/>
                <w:szCs w:val="24"/>
              </w:rPr>
              <w:fldChar w:fldCharType="begin"/>
            </w:r>
            <w:r w:rsidR="005A27DE" w:rsidRPr="005A27DE">
              <w:rPr>
                <w:rFonts w:ascii="Times New Roman" w:hAnsi="Times New Roman" w:cs="Times New Roman"/>
                <w:noProof/>
                <w:webHidden/>
                <w:sz w:val="24"/>
                <w:szCs w:val="24"/>
              </w:rPr>
              <w:instrText xml:space="preserve"> PAGEREF _Toc128657613 \h </w:instrText>
            </w:r>
            <w:r w:rsidR="005A27DE" w:rsidRPr="005A27DE">
              <w:rPr>
                <w:rFonts w:ascii="Times New Roman" w:hAnsi="Times New Roman" w:cs="Times New Roman"/>
                <w:noProof/>
                <w:webHidden/>
                <w:sz w:val="24"/>
                <w:szCs w:val="24"/>
              </w:rPr>
            </w:r>
            <w:r w:rsidR="005A27DE" w:rsidRPr="005A27DE">
              <w:rPr>
                <w:rFonts w:ascii="Times New Roman" w:hAnsi="Times New Roman" w:cs="Times New Roman"/>
                <w:noProof/>
                <w:webHidden/>
                <w:sz w:val="24"/>
                <w:szCs w:val="24"/>
              </w:rPr>
              <w:fldChar w:fldCharType="separate"/>
            </w:r>
            <w:r w:rsidR="005A27DE" w:rsidRPr="005A27DE">
              <w:rPr>
                <w:rFonts w:ascii="Times New Roman" w:hAnsi="Times New Roman" w:cs="Times New Roman"/>
                <w:noProof/>
                <w:webHidden/>
                <w:sz w:val="24"/>
                <w:szCs w:val="24"/>
              </w:rPr>
              <w:t>7</w:t>
            </w:r>
            <w:r w:rsidR="005A27DE" w:rsidRPr="005A27DE">
              <w:rPr>
                <w:rFonts w:ascii="Times New Roman" w:hAnsi="Times New Roman" w:cs="Times New Roman"/>
                <w:noProof/>
                <w:webHidden/>
                <w:sz w:val="24"/>
                <w:szCs w:val="24"/>
              </w:rPr>
              <w:fldChar w:fldCharType="end"/>
            </w:r>
          </w:hyperlink>
        </w:p>
        <w:p w14:paraId="0174A62C" w14:textId="296ECC84" w:rsidR="005A27DE" w:rsidRDefault="005A27DE">
          <w:r>
            <w:rPr>
              <w:b/>
              <w:bCs/>
              <w:noProof/>
            </w:rPr>
            <w:fldChar w:fldCharType="end"/>
          </w:r>
        </w:p>
      </w:sdtContent>
    </w:sdt>
    <w:p w14:paraId="22977BC6" w14:textId="77777777" w:rsidR="005A27DE" w:rsidRDefault="005A27DE">
      <w:pPr>
        <w:rPr>
          <w:rFonts w:ascii="Times New Roman" w:hAnsi="Times New Roman"/>
          <w:b/>
          <w:color w:val="000000" w:themeColor="text1"/>
          <w:sz w:val="28"/>
          <w:szCs w:val="40"/>
          <w:lang w:val="en"/>
        </w:rPr>
      </w:pPr>
      <w:bookmarkStart w:id="0" w:name="_Toc128657605"/>
      <w:r>
        <w:br w:type="page"/>
      </w:r>
    </w:p>
    <w:p w14:paraId="0000000F" w14:textId="3F4A5B25" w:rsidR="005A5564" w:rsidRPr="005A27DE" w:rsidRDefault="00343D39" w:rsidP="005A27DE">
      <w:pPr>
        <w:pStyle w:val="Heading1"/>
      </w:pPr>
      <w:r w:rsidRPr="005A27DE">
        <w:lastRenderedPageBreak/>
        <w:t>Introduction</w:t>
      </w:r>
      <w:bookmarkEnd w:id="0"/>
    </w:p>
    <w:p w14:paraId="00000010" w14:textId="77777777"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The approach of English law presents the legal system of England and Wales as compromises the criminal and civil law focusing on the roles and responsibilities of the courts and procedures. The approach of the English legal system helps in analysing the cr</w:t>
      </w:r>
      <w:r w:rsidRPr="005A27DE">
        <w:rPr>
          <w:rFonts w:ascii="Times New Roman" w:eastAsia="Times New Roman" w:hAnsi="Times New Roman" w:cs="Times New Roman"/>
          <w:sz w:val="24"/>
          <w:szCs w:val="24"/>
          <w:lang w:val="en-GB"/>
        </w:rPr>
        <w:t xml:space="preserve">iminal justice systems which includes a brief description of the common and civil law.  </w:t>
      </w:r>
    </w:p>
    <w:p w14:paraId="00000011" w14:textId="77777777" w:rsidR="005A5564" w:rsidRPr="005A27DE" w:rsidRDefault="00343D39" w:rsidP="005A27DE">
      <w:pPr>
        <w:pStyle w:val="Heading1"/>
      </w:pPr>
      <w:bookmarkStart w:id="1" w:name="_Toc128657606"/>
      <w:r w:rsidRPr="005A27DE">
        <w:t>What is common law?</w:t>
      </w:r>
      <w:bookmarkEnd w:id="1"/>
    </w:p>
    <w:p w14:paraId="00000012" w14:textId="77777777"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The approach of common law is defined as the effective law declared by the judges, derived from the consumer along with the precedent. The aspect o</w:t>
      </w:r>
      <w:r w:rsidRPr="005A27DE">
        <w:rPr>
          <w:rFonts w:ascii="Times New Roman" w:eastAsia="Times New Roman" w:hAnsi="Times New Roman" w:cs="Times New Roman"/>
          <w:sz w:val="24"/>
          <w:szCs w:val="24"/>
          <w:lang w:val="en-GB"/>
        </w:rPr>
        <w:t xml:space="preserve">f common law presents its orientation from the legal reforms of King Henry II in the 12th century which can be effectively analysed across the entire country. The approach of common law presents the body of law created by the judges focusing on the virtue </w:t>
      </w:r>
      <w:r w:rsidRPr="005A27DE">
        <w:rPr>
          <w:rFonts w:ascii="Times New Roman" w:eastAsia="Times New Roman" w:hAnsi="Times New Roman" w:cs="Times New Roman"/>
          <w:sz w:val="24"/>
          <w:szCs w:val="24"/>
          <w:lang w:val="en-GB"/>
        </w:rPr>
        <w:t>of being stated in the context of written opinions. The effective and defining characteristics of common law present the precedent where the approach of common law helps in analysing the past decisions and judgement made by the courts to synthesise the leg</w:t>
      </w:r>
      <w:r w:rsidRPr="005A27DE">
        <w:rPr>
          <w:rFonts w:ascii="Times New Roman" w:eastAsia="Times New Roman" w:hAnsi="Times New Roman" w:cs="Times New Roman"/>
          <w:sz w:val="24"/>
          <w:szCs w:val="24"/>
          <w:lang w:val="en-GB"/>
        </w:rPr>
        <w:t>al principles of the past cases. The approach of common law presents the legal system which is based on judicial decisions along with providing a common set of rules and regulations to solve arising issues in the context of statutes and codes (</w:t>
      </w:r>
      <w:proofErr w:type="spellStart"/>
      <w:r w:rsidRPr="005A27DE">
        <w:rPr>
          <w:rFonts w:ascii="Times New Roman" w:eastAsia="Times New Roman" w:hAnsi="Times New Roman" w:cs="Times New Roman"/>
          <w:sz w:val="24"/>
          <w:szCs w:val="24"/>
          <w:lang w:val="en-GB"/>
        </w:rPr>
        <w:t>Entrikin</w:t>
      </w:r>
      <w:proofErr w:type="spellEnd"/>
      <w:r w:rsidRPr="005A27DE">
        <w:rPr>
          <w:rFonts w:ascii="Times New Roman" w:eastAsia="Times New Roman" w:hAnsi="Times New Roman" w:cs="Times New Roman"/>
          <w:sz w:val="24"/>
          <w:szCs w:val="24"/>
          <w:lang w:val="en-GB"/>
        </w:rPr>
        <w:t>, 20</w:t>
      </w:r>
      <w:r w:rsidRPr="005A27DE">
        <w:rPr>
          <w:rFonts w:ascii="Times New Roman" w:eastAsia="Times New Roman" w:hAnsi="Times New Roman" w:cs="Times New Roman"/>
          <w:sz w:val="24"/>
          <w:szCs w:val="24"/>
          <w:lang w:val="en-GB"/>
        </w:rPr>
        <w:t xml:space="preserve">19).   </w:t>
      </w:r>
    </w:p>
    <w:p w14:paraId="00000013" w14:textId="77777777" w:rsidR="005A5564" w:rsidRPr="005A27DE" w:rsidRDefault="00343D39" w:rsidP="005A27DE">
      <w:pPr>
        <w:pStyle w:val="Heading1"/>
      </w:pPr>
      <w:bookmarkStart w:id="2" w:name="_Toc128657607"/>
      <w:r w:rsidRPr="005A27DE">
        <w:t>What is civil law?</w:t>
      </w:r>
      <w:bookmarkEnd w:id="2"/>
    </w:p>
    <w:p w14:paraId="00000014" w14:textId="77777777"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The approach of civil law aims to deal with disputes between individuals and organisations. The process of civil law involves compensation and agreement along with effective judgement which further relates to finances. The aspect</w:t>
      </w:r>
      <w:r w:rsidRPr="005A27DE">
        <w:rPr>
          <w:rFonts w:ascii="Times New Roman" w:eastAsia="Times New Roman" w:hAnsi="Times New Roman" w:cs="Times New Roman"/>
          <w:sz w:val="24"/>
          <w:szCs w:val="24"/>
          <w:lang w:val="en-GB"/>
        </w:rPr>
        <w:t xml:space="preserve"> of civil law cases presents the inclusion of the private parties where criminal cases are usually filed by the government of England. The aspect of civil law is defined in opposition to three major alternatives focusing the civil as opposed to criminal la</w:t>
      </w:r>
      <w:r w:rsidRPr="005A27DE">
        <w:rPr>
          <w:rFonts w:ascii="Times New Roman" w:eastAsia="Times New Roman" w:hAnsi="Times New Roman" w:cs="Times New Roman"/>
          <w:sz w:val="24"/>
          <w:szCs w:val="24"/>
          <w:lang w:val="en-GB"/>
        </w:rPr>
        <w:t>w where the context of civil presents the sense of secular law as opposed to ecclesiastical or other forms of religious law (Chaney and Sahoo, 2020). The aspects of civil law present the legal system based on the code laws as opposed to the common law syst</w:t>
      </w:r>
      <w:r w:rsidRPr="005A27DE">
        <w:rPr>
          <w:rFonts w:ascii="Times New Roman" w:eastAsia="Times New Roman" w:hAnsi="Times New Roman" w:cs="Times New Roman"/>
          <w:sz w:val="24"/>
          <w:szCs w:val="24"/>
          <w:lang w:val="en-GB"/>
        </w:rPr>
        <w:t xml:space="preserve">ems based on the approach of the doctrine of precedent. The significance of civil law presents the restoration of the rights of the aggrieved party to protect them.  </w:t>
      </w:r>
    </w:p>
    <w:p w14:paraId="00000015" w14:textId="77777777" w:rsidR="005A5564" w:rsidRPr="005A27DE" w:rsidRDefault="00343D39" w:rsidP="005A27DE">
      <w:pPr>
        <w:pStyle w:val="Heading1"/>
      </w:pPr>
      <w:bookmarkStart w:id="3" w:name="_Toc128657608"/>
      <w:r w:rsidRPr="005A27DE">
        <w:lastRenderedPageBreak/>
        <w:t>Contrast the two systems</w:t>
      </w:r>
      <w:bookmarkEnd w:id="3"/>
    </w:p>
    <w:p w14:paraId="00000016" w14:textId="53AA8216"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 xml:space="preserve">The approach of civil law systems presents the significant task </w:t>
      </w:r>
      <w:r w:rsidRPr="005A27DE">
        <w:rPr>
          <w:rFonts w:ascii="Times New Roman" w:eastAsia="Times New Roman" w:hAnsi="Times New Roman" w:cs="Times New Roman"/>
          <w:sz w:val="24"/>
          <w:szCs w:val="24"/>
          <w:lang w:val="en-GB"/>
        </w:rPr>
        <w:t>of the court which helps in deciding specific cases by effective application and interpretation of the legal norms. The aspect of the common law system presents the role of the court to decide the disputes between the specific parties but also helps in gui</w:t>
      </w:r>
      <w:r w:rsidRPr="005A27DE">
        <w:rPr>
          <w:rFonts w:ascii="Times New Roman" w:eastAsia="Times New Roman" w:hAnsi="Times New Roman" w:cs="Times New Roman"/>
          <w:sz w:val="24"/>
          <w:szCs w:val="24"/>
          <w:lang w:val="en-GB"/>
        </w:rPr>
        <w:t xml:space="preserve">ding similar issues and disputes to resolve the issue for the future. The aspect of civil law presents the legal system which presents originated in Europe where the most prevalent feature involves </w:t>
      </w:r>
      <w:r w:rsidR="005A27DE" w:rsidRPr="005A27DE">
        <w:rPr>
          <w:rFonts w:ascii="Times New Roman" w:eastAsia="Times New Roman" w:hAnsi="Times New Roman" w:cs="Times New Roman"/>
          <w:sz w:val="24"/>
          <w:szCs w:val="24"/>
          <w:lang w:val="en-GB"/>
        </w:rPr>
        <w:t>the</w:t>
      </w:r>
      <w:r w:rsidRPr="005A27DE">
        <w:rPr>
          <w:rFonts w:ascii="Times New Roman" w:eastAsia="Times New Roman" w:hAnsi="Times New Roman" w:cs="Times New Roman"/>
          <w:sz w:val="24"/>
          <w:szCs w:val="24"/>
          <w:lang w:val="en-GB"/>
        </w:rPr>
        <w:t xml:space="preserve"> core principle codified into the referable system serv</w:t>
      </w:r>
      <w:r w:rsidRPr="005A27DE">
        <w:rPr>
          <w:rFonts w:ascii="Times New Roman" w:eastAsia="Times New Roman" w:hAnsi="Times New Roman" w:cs="Times New Roman"/>
          <w:sz w:val="24"/>
          <w:szCs w:val="24"/>
          <w:lang w:val="en-GB"/>
        </w:rPr>
        <w:t>ing as the primary source of law (</w:t>
      </w:r>
      <w:proofErr w:type="spellStart"/>
      <w:r w:rsidRPr="005A27DE">
        <w:rPr>
          <w:rFonts w:ascii="Times New Roman" w:eastAsia="Times New Roman" w:hAnsi="Times New Roman" w:cs="Times New Roman"/>
          <w:sz w:val="24"/>
          <w:szCs w:val="24"/>
          <w:lang w:val="en-GB"/>
        </w:rPr>
        <w:t>Sinenko</w:t>
      </w:r>
      <w:proofErr w:type="spellEnd"/>
      <w:r w:rsidRPr="005A27DE">
        <w:rPr>
          <w:rFonts w:ascii="Times New Roman" w:eastAsia="Times New Roman" w:hAnsi="Times New Roman" w:cs="Times New Roman"/>
          <w:sz w:val="24"/>
          <w:szCs w:val="24"/>
          <w:lang w:val="en-GB"/>
        </w:rPr>
        <w:t xml:space="preserve">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2020). The difference in the context of common law explains the characterisation of case law which presents the development of the judgement by the judges with the help of effective decisions of the court a</w:t>
      </w:r>
      <w:r w:rsidRPr="005A27DE">
        <w:rPr>
          <w:rFonts w:ascii="Times New Roman" w:eastAsia="Times New Roman" w:hAnsi="Times New Roman" w:cs="Times New Roman"/>
          <w:sz w:val="24"/>
          <w:szCs w:val="24"/>
          <w:lang w:val="en-GB"/>
        </w:rPr>
        <w:t>long with other similar tribunals. In the context of the judge's role, the approach of civil law includes the chief investigator which helps in fostering effective ruling along with non-binding to the third parties. The aspect of the civil law system prese</w:t>
      </w:r>
      <w:r w:rsidRPr="005A27DE">
        <w:rPr>
          <w:rFonts w:ascii="Times New Roman" w:eastAsia="Times New Roman" w:hAnsi="Times New Roman" w:cs="Times New Roman"/>
          <w:sz w:val="24"/>
          <w:szCs w:val="24"/>
          <w:lang w:val="en-GB"/>
        </w:rPr>
        <w:t>nts the role of the judge which helps in the establishment of the facts in the context of the case and application of the provisions of the applicable code. The role of the judge in the context of civil law involves the judge which helps in bringing formal</w:t>
      </w:r>
      <w:r w:rsidRPr="005A27DE">
        <w:rPr>
          <w:rFonts w:ascii="Times New Roman" w:eastAsia="Times New Roman" w:hAnsi="Times New Roman" w:cs="Times New Roman"/>
          <w:sz w:val="24"/>
          <w:szCs w:val="24"/>
          <w:lang w:val="en-GB"/>
        </w:rPr>
        <w:t xml:space="preserve"> charges. The role of the judge in the context of the common law presents the outlining of effective rulings setting the precedent along with deciding the matters of law in the absence of the jury (Willmott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2021). The role of the judge involves the</w:t>
      </w:r>
      <w:r w:rsidRPr="005A27DE">
        <w:rPr>
          <w:rFonts w:ascii="Times New Roman" w:eastAsia="Times New Roman" w:hAnsi="Times New Roman" w:cs="Times New Roman"/>
          <w:sz w:val="24"/>
          <w:szCs w:val="24"/>
          <w:lang w:val="en-GB"/>
        </w:rPr>
        <w:t xml:space="preserve"> rare inquiring into the extensive matter along with relying on the arguments presented by the counterparts. The precedent of civil law presents the approach to determine the administration of constitutional court matters. The precedent of the common law p</w:t>
      </w:r>
      <w:r w:rsidRPr="005A27DE">
        <w:rPr>
          <w:rFonts w:ascii="Times New Roman" w:eastAsia="Times New Roman" w:hAnsi="Times New Roman" w:cs="Times New Roman"/>
          <w:sz w:val="24"/>
          <w:szCs w:val="24"/>
          <w:lang w:val="en-GB"/>
        </w:rPr>
        <w:t>resents the use of the rules for the management of the future and presents cases.</w:t>
      </w:r>
    </w:p>
    <w:p w14:paraId="00000017" w14:textId="77777777" w:rsidR="005A5564" w:rsidRPr="005A27DE" w:rsidRDefault="00343D39" w:rsidP="005A27DE">
      <w:pPr>
        <w:pStyle w:val="Heading1"/>
      </w:pPr>
      <w:bookmarkStart w:id="4" w:name="_Toc128657609"/>
      <w:r w:rsidRPr="005A27DE">
        <w:t>Analysis of the English legal system focusing on the principle of common law principle</w:t>
      </w:r>
      <w:bookmarkEnd w:id="4"/>
    </w:p>
    <w:p w14:paraId="00000018" w14:textId="42A1B102" w:rsidR="005A5564" w:rsidRPr="005A27DE" w:rsidRDefault="00343D39">
      <w:pPr>
        <w:pStyle w:val="Normal1"/>
        <w:spacing w:line="360" w:lineRule="auto"/>
        <w:jc w:val="both"/>
        <w:rPr>
          <w:color w:val="9AA0A6"/>
          <w:sz w:val="18"/>
          <w:szCs w:val="18"/>
          <w:lang w:val="en-GB"/>
        </w:rPr>
      </w:pPr>
      <w:r w:rsidRPr="005A27DE">
        <w:rPr>
          <w:rFonts w:ascii="Times New Roman" w:eastAsia="Times New Roman" w:hAnsi="Times New Roman" w:cs="Times New Roman"/>
          <w:sz w:val="24"/>
          <w:szCs w:val="24"/>
          <w:lang w:val="en-GB"/>
        </w:rPr>
        <w:t>Analysing the principal characteristics of the English legal system presents the aspect</w:t>
      </w:r>
      <w:r w:rsidRPr="005A27DE">
        <w:rPr>
          <w:rFonts w:ascii="Times New Roman" w:eastAsia="Times New Roman" w:hAnsi="Times New Roman" w:cs="Times New Roman"/>
          <w:sz w:val="24"/>
          <w:szCs w:val="24"/>
          <w:lang w:val="en-GB"/>
        </w:rPr>
        <w:t xml:space="preserve"> of common law inheritance which leads to the examination of the single most distinctive characteristic of English legal systems along with the management of common law heritage. The aspect of the English legal system presents the feature of popularly asso</w:t>
      </w:r>
      <w:r w:rsidRPr="005A27DE">
        <w:rPr>
          <w:rFonts w:ascii="Times New Roman" w:eastAsia="Times New Roman" w:hAnsi="Times New Roman" w:cs="Times New Roman"/>
          <w:sz w:val="24"/>
          <w:szCs w:val="24"/>
          <w:lang w:val="en-GB"/>
        </w:rPr>
        <w:t>ciated English law along with the administration of justice which presents the attribution for early development within the Europe of the civil and common law traditions (</w:t>
      </w:r>
      <w:proofErr w:type="spellStart"/>
      <w:r w:rsidRPr="005A27DE">
        <w:rPr>
          <w:rFonts w:ascii="Times New Roman" w:eastAsia="Times New Roman" w:hAnsi="Times New Roman" w:cs="Times New Roman"/>
          <w:sz w:val="24"/>
          <w:szCs w:val="24"/>
          <w:lang w:val="en-GB"/>
        </w:rPr>
        <w:t>Tsuvina</w:t>
      </w:r>
      <w:proofErr w:type="spellEnd"/>
      <w:r w:rsidRPr="005A27DE">
        <w:rPr>
          <w:rFonts w:ascii="Times New Roman" w:eastAsia="Times New Roman" w:hAnsi="Times New Roman" w:cs="Times New Roman"/>
          <w:sz w:val="24"/>
          <w:szCs w:val="24"/>
          <w:lang w:val="en-GB"/>
        </w:rPr>
        <w:t xml:space="preserve">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xml:space="preserve">., 2023). The approach of English law presents </w:t>
      </w:r>
      <w:r w:rsidRPr="005A27DE">
        <w:rPr>
          <w:rFonts w:ascii="Times New Roman" w:eastAsia="Times New Roman" w:hAnsi="Times New Roman" w:cs="Times New Roman"/>
          <w:sz w:val="24"/>
          <w:szCs w:val="24"/>
          <w:lang w:val="en-GB"/>
        </w:rPr>
        <w:lastRenderedPageBreak/>
        <w:t>the approach of common la</w:t>
      </w:r>
      <w:r w:rsidRPr="005A27DE">
        <w:rPr>
          <w:rFonts w:ascii="Times New Roman" w:eastAsia="Times New Roman" w:hAnsi="Times New Roman" w:cs="Times New Roman"/>
          <w:sz w:val="24"/>
          <w:szCs w:val="24"/>
          <w:lang w:val="en-GB"/>
        </w:rPr>
        <w:t>w systems. This aspect presents the development of effective information in the context of Normal conquest focusing on the various legal systems which help in governing the various parts of the British Isles reflecting the influence of the particular invad</w:t>
      </w:r>
      <w:r w:rsidRPr="005A27DE">
        <w:rPr>
          <w:rFonts w:ascii="Times New Roman" w:eastAsia="Times New Roman" w:hAnsi="Times New Roman" w:cs="Times New Roman"/>
          <w:sz w:val="24"/>
          <w:szCs w:val="24"/>
          <w:lang w:val="en-GB"/>
        </w:rPr>
        <w:t>ers. The significance of common law is considered a crucial source of the UK constitution. The characteristics of the common law help in the effective functioning of the adversarial systems explaining the contest between two opposing parties before the eff</w:t>
      </w:r>
      <w:r w:rsidRPr="005A27DE">
        <w:rPr>
          <w:rFonts w:ascii="Times New Roman" w:eastAsia="Times New Roman" w:hAnsi="Times New Roman" w:cs="Times New Roman"/>
          <w:sz w:val="24"/>
          <w:szCs w:val="24"/>
          <w:lang w:val="en-GB"/>
        </w:rPr>
        <w:t>ective judge who tends to moderate the decisions (</w:t>
      </w:r>
      <w:proofErr w:type="spellStart"/>
      <w:r w:rsidRPr="005A27DE">
        <w:rPr>
          <w:rFonts w:ascii="Times New Roman" w:eastAsia="Times New Roman" w:hAnsi="Times New Roman" w:cs="Times New Roman"/>
          <w:sz w:val="24"/>
          <w:szCs w:val="24"/>
          <w:lang w:val="en-GB"/>
        </w:rPr>
        <w:t>Kukovec</w:t>
      </w:r>
      <w:proofErr w:type="spellEnd"/>
      <w:r w:rsidRPr="005A27DE">
        <w:rPr>
          <w:rFonts w:ascii="Times New Roman" w:eastAsia="Times New Roman" w:hAnsi="Times New Roman" w:cs="Times New Roman"/>
          <w:sz w:val="24"/>
          <w:szCs w:val="24"/>
          <w:lang w:val="en-GB"/>
        </w:rPr>
        <w:t xml:space="preserve">, 2021). The defining characteristics of common law present the precedent which presents the role of the common law court to analyse the past </w:t>
      </w:r>
      <w:r w:rsidR="005A27DE" w:rsidRPr="005A27DE">
        <w:rPr>
          <w:rFonts w:ascii="Times New Roman" w:eastAsia="Times New Roman" w:hAnsi="Times New Roman" w:cs="Times New Roman"/>
          <w:sz w:val="24"/>
          <w:szCs w:val="24"/>
          <w:lang w:val="en-GB"/>
        </w:rPr>
        <w:t>decision</w:t>
      </w:r>
      <w:r w:rsidR="005A27DE">
        <w:rPr>
          <w:rFonts w:ascii="Times New Roman" w:eastAsia="Times New Roman" w:hAnsi="Times New Roman" w:cs="Times New Roman"/>
          <w:sz w:val="24"/>
          <w:szCs w:val="24"/>
          <w:lang w:val="en-GB"/>
        </w:rPr>
        <w:t>s</w:t>
      </w:r>
      <w:r w:rsidRPr="005A27DE">
        <w:rPr>
          <w:rFonts w:ascii="Times New Roman" w:eastAsia="Times New Roman" w:hAnsi="Times New Roman" w:cs="Times New Roman"/>
          <w:sz w:val="24"/>
          <w:szCs w:val="24"/>
          <w:lang w:val="en-GB"/>
        </w:rPr>
        <w:t xml:space="preserve"> for synthesizing the legal principles of the previous cases (Hudson and Eves, 2021). Analysing the principle of common law presents the operation of the English common law system which helps the judges to foster effective authority for the interpretation </w:t>
      </w:r>
      <w:r w:rsidRPr="005A27DE">
        <w:rPr>
          <w:rFonts w:ascii="Times New Roman" w:eastAsia="Times New Roman" w:hAnsi="Times New Roman" w:cs="Times New Roman"/>
          <w:sz w:val="24"/>
          <w:szCs w:val="24"/>
          <w:lang w:val="en-GB"/>
        </w:rPr>
        <w:t>of the law. Analysing the context of judgement from the English law system presents the legal position for the management of decisions. The approach of common law constitutes the legal systems of England, Wales, and Northern Ireland along with the United S</w:t>
      </w:r>
      <w:r w:rsidRPr="005A27DE">
        <w:rPr>
          <w:rFonts w:ascii="Times New Roman" w:eastAsia="Times New Roman" w:hAnsi="Times New Roman" w:cs="Times New Roman"/>
          <w:sz w:val="24"/>
          <w:szCs w:val="24"/>
          <w:lang w:val="en-GB"/>
        </w:rPr>
        <w:t xml:space="preserve">tates of America. Analysing the England and Wales judicial system presents the operation of the common law which helps in combining the passing of legislation along with the creation of precedents with the help of effective case laws (Job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xml:space="preserve">., 2022).   </w:t>
      </w:r>
    </w:p>
    <w:p w14:paraId="00000019" w14:textId="77777777" w:rsidR="005A5564" w:rsidRPr="005A27DE" w:rsidRDefault="00343D39" w:rsidP="005A27DE">
      <w:pPr>
        <w:pStyle w:val="Heading1"/>
      </w:pPr>
      <w:bookmarkStart w:id="5" w:name="_Toc128657610"/>
      <w:r w:rsidRPr="005A27DE">
        <w:t>Outline the history of the common law</w:t>
      </w:r>
      <w:bookmarkEnd w:id="5"/>
    </w:p>
    <w:p w14:paraId="0000001A" w14:textId="24C6557A"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 xml:space="preserve">The history of common law presents the origination of the law from the early </w:t>
      </w:r>
      <w:r w:rsidR="005A27DE" w:rsidRPr="005A27DE">
        <w:rPr>
          <w:rFonts w:ascii="Times New Roman" w:eastAsia="Times New Roman" w:hAnsi="Times New Roman" w:cs="Times New Roman"/>
          <w:sz w:val="24"/>
          <w:szCs w:val="24"/>
          <w:lang w:val="en-GB"/>
        </w:rPr>
        <w:t>Middle Ages</w:t>
      </w:r>
      <w:r w:rsidRPr="005A27DE">
        <w:rPr>
          <w:rFonts w:ascii="Times New Roman" w:eastAsia="Times New Roman" w:hAnsi="Times New Roman" w:cs="Times New Roman"/>
          <w:sz w:val="24"/>
          <w:szCs w:val="24"/>
          <w:lang w:val="en-GB"/>
        </w:rPr>
        <w:t xml:space="preserve"> in the King’s court. Initially, the approach of common law presents no substantive rights which involve procedural remedies. Unt</w:t>
      </w:r>
      <w:r w:rsidRPr="005A27DE">
        <w:rPr>
          <w:rFonts w:ascii="Times New Roman" w:eastAsia="Times New Roman" w:hAnsi="Times New Roman" w:cs="Times New Roman"/>
          <w:sz w:val="24"/>
          <w:szCs w:val="24"/>
          <w:lang w:val="en-GB"/>
        </w:rPr>
        <w:t>il the 19th century, the approach of English common law presents the continuation of development with the help of the primary role of the judges as compared to that of the legislature. The brief history of the common law system presents the fundamental asp</w:t>
      </w:r>
      <w:r w:rsidRPr="005A27DE">
        <w:rPr>
          <w:rFonts w:ascii="Times New Roman" w:eastAsia="Times New Roman" w:hAnsi="Times New Roman" w:cs="Times New Roman"/>
          <w:sz w:val="24"/>
          <w:szCs w:val="24"/>
          <w:lang w:val="en-GB"/>
        </w:rPr>
        <w:t>ect which presents the recording of judicial precedents. The origination of the English Common Law presents the origination in the early Middle Ages in the King’s court consisting of the substantive rights along with the inclusion of procedural remedies (</w:t>
      </w:r>
      <w:proofErr w:type="spellStart"/>
      <w:r w:rsidRPr="005A27DE">
        <w:rPr>
          <w:rFonts w:ascii="Times New Roman" w:eastAsia="Times New Roman" w:hAnsi="Times New Roman" w:cs="Times New Roman"/>
          <w:sz w:val="24"/>
          <w:szCs w:val="24"/>
          <w:lang w:val="en-GB"/>
        </w:rPr>
        <w:t>P</w:t>
      </w:r>
      <w:r w:rsidRPr="005A27DE">
        <w:rPr>
          <w:rFonts w:ascii="Times New Roman" w:eastAsia="Times New Roman" w:hAnsi="Times New Roman" w:cs="Times New Roman"/>
          <w:sz w:val="24"/>
          <w:szCs w:val="24"/>
          <w:lang w:val="en-GB"/>
        </w:rPr>
        <w:t>fander</w:t>
      </w:r>
      <w:proofErr w:type="spellEnd"/>
      <w:r w:rsidRPr="005A27DE">
        <w:rPr>
          <w:rFonts w:ascii="Times New Roman" w:eastAsia="Times New Roman" w:hAnsi="Times New Roman" w:cs="Times New Roman"/>
          <w:sz w:val="24"/>
          <w:szCs w:val="24"/>
          <w:lang w:val="en-GB"/>
        </w:rPr>
        <w:t xml:space="preserve"> and Wentzel, 2019). In this context, it can be stated that England and Wales present the operation of the common law system which helps in combining the passing and effective operation of the legislation along with the creation of precedents with th</w:t>
      </w:r>
      <w:r w:rsidRPr="005A27DE">
        <w:rPr>
          <w:rFonts w:ascii="Times New Roman" w:eastAsia="Times New Roman" w:hAnsi="Times New Roman" w:cs="Times New Roman"/>
          <w:sz w:val="24"/>
          <w:szCs w:val="24"/>
          <w:lang w:val="en-GB"/>
        </w:rPr>
        <w:t xml:space="preserve">e inclusion of case laws. The origination and establishment of the laws were done by the passing legislation by the parliament focusing on the role of the Monarchs, the House </w:t>
      </w:r>
      <w:r w:rsidRPr="005A27DE">
        <w:rPr>
          <w:rFonts w:ascii="Times New Roman" w:eastAsia="Times New Roman" w:hAnsi="Times New Roman" w:cs="Times New Roman"/>
          <w:sz w:val="24"/>
          <w:szCs w:val="24"/>
          <w:lang w:val="en-GB"/>
        </w:rPr>
        <w:lastRenderedPageBreak/>
        <w:t>of the Commons and the House of the Lords. The history of the common law of Engla</w:t>
      </w:r>
      <w:r w:rsidRPr="005A27DE">
        <w:rPr>
          <w:rFonts w:ascii="Times New Roman" w:eastAsia="Times New Roman" w:hAnsi="Times New Roman" w:cs="Times New Roman"/>
          <w:sz w:val="24"/>
          <w:szCs w:val="24"/>
          <w:lang w:val="en-GB"/>
        </w:rPr>
        <w:t xml:space="preserve">nd presents the creation of the set of rules and regulations created in northern Europe and local customs. The aspect of common law presents the effective sense of customary and case law focusing on both statutory law and regulatory law (Rohr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2019)</w:t>
      </w:r>
      <w:r w:rsidRPr="005A27DE">
        <w:rPr>
          <w:rFonts w:ascii="Times New Roman" w:eastAsia="Times New Roman" w:hAnsi="Times New Roman" w:cs="Times New Roman"/>
          <w:sz w:val="24"/>
          <w:szCs w:val="24"/>
          <w:lang w:val="en-GB"/>
        </w:rPr>
        <w:t xml:space="preserve">. The aspect of common law presents the sophistication of customary law along with the use of effective written documentation. </w:t>
      </w:r>
    </w:p>
    <w:p w14:paraId="0000001B" w14:textId="77777777" w:rsidR="005A5564" w:rsidRPr="005A27DE" w:rsidRDefault="00343D39" w:rsidP="005A27DE">
      <w:pPr>
        <w:pStyle w:val="Heading1"/>
      </w:pPr>
      <w:bookmarkStart w:id="6" w:name="_Toc128657611"/>
      <w:r w:rsidRPr="005A27DE">
        <w:t>Are there examples of the common law working in practice?</w:t>
      </w:r>
      <w:bookmarkEnd w:id="6"/>
    </w:p>
    <w:p w14:paraId="0000001C" w14:textId="4349CDA1"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The effective illustration of the common law presents the previous leg</w:t>
      </w:r>
      <w:r w:rsidRPr="005A27DE">
        <w:rPr>
          <w:rFonts w:ascii="Times New Roman" w:eastAsia="Times New Roman" w:hAnsi="Times New Roman" w:cs="Times New Roman"/>
          <w:sz w:val="24"/>
          <w:szCs w:val="24"/>
          <w:lang w:val="en-GB"/>
        </w:rPr>
        <w:t>al rulings created by the judges in the common law court. The significant use of the Common Law presents the requirement of the common law which helps people to read contracts, management of doctor-patient confidentiality, analysis of the issue of copyrigh</w:t>
      </w:r>
      <w:r w:rsidRPr="005A27DE">
        <w:rPr>
          <w:rFonts w:ascii="Times New Roman" w:eastAsia="Times New Roman" w:hAnsi="Times New Roman" w:cs="Times New Roman"/>
          <w:sz w:val="24"/>
          <w:szCs w:val="24"/>
          <w:lang w:val="en-GB"/>
        </w:rPr>
        <w:t>t issues along with ensuring common law marriage. The illustration of the UK written constitution presents the analysis of the rights of individual citizens along with the inclusion of the roles of Government. The UK constitution is compromises of a variet</w:t>
      </w:r>
      <w:r w:rsidRPr="005A27DE">
        <w:rPr>
          <w:rFonts w:ascii="Times New Roman" w:eastAsia="Times New Roman" w:hAnsi="Times New Roman" w:cs="Times New Roman"/>
          <w:sz w:val="24"/>
          <w:szCs w:val="24"/>
          <w:lang w:val="en-GB"/>
        </w:rPr>
        <w:t>y of effective sources such as statutes and constitutional conventions to manage the prevailing legal challenges (</w:t>
      </w:r>
      <w:proofErr w:type="spellStart"/>
      <w:r w:rsidRPr="005A27DE">
        <w:rPr>
          <w:rFonts w:ascii="Times New Roman" w:eastAsia="Times New Roman" w:hAnsi="Times New Roman" w:cs="Times New Roman"/>
          <w:sz w:val="24"/>
          <w:szCs w:val="24"/>
          <w:lang w:val="en-GB"/>
        </w:rPr>
        <w:t>Negretto</w:t>
      </w:r>
      <w:proofErr w:type="spellEnd"/>
      <w:r w:rsidRPr="005A27DE">
        <w:rPr>
          <w:rFonts w:ascii="Times New Roman" w:eastAsia="Times New Roman" w:hAnsi="Times New Roman" w:cs="Times New Roman"/>
          <w:sz w:val="24"/>
          <w:szCs w:val="24"/>
          <w:lang w:val="en-GB"/>
        </w:rPr>
        <w:t xml:space="preserve">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xml:space="preserve">., 2021). The significant illustration of the common law presents the cases in which the court makes </w:t>
      </w:r>
      <w:r w:rsidR="005A27DE" w:rsidRPr="005A27DE">
        <w:rPr>
          <w:rFonts w:ascii="Times New Roman" w:eastAsia="Times New Roman" w:hAnsi="Times New Roman" w:cs="Times New Roman"/>
          <w:sz w:val="24"/>
          <w:szCs w:val="24"/>
          <w:lang w:val="en-GB"/>
        </w:rPr>
        <w:t>decisions</w:t>
      </w:r>
      <w:r w:rsidRPr="005A27DE">
        <w:rPr>
          <w:rFonts w:ascii="Times New Roman" w:eastAsia="Times New Roman" w:hAnsi="Times New Roman" w:cs="Times New Roman"/>
          <w:sz w:val="24"/>
          <w:szCs w:val="24"/>
          <w:lang w:val="en-GB"/>
        </w:rPr>
        <w:t xml:space="preserve"> based on an effec</w:t>
      </w:r>
      <w:r w:rsidRPr="005A27DE">
        <w:rPr>
          <w:rFonts w:ascii="Times New Roman" w:eastAsia="Times New Roman" w:hAnsi="Times New Roman" w:cs="Times New Roman"/>
          <w:sz w:val="24"/>
          <w:szCs w:val="24"/>
          <w:lang w:val="en-GB"/>
        </w:rPr>
        <w:t>tive decision where the judge analyses the legal precedents to decide the justification of the cases. The illustration of the common law can be observed in countries focusing on the legal systems based on common law such as the United States and Australia.</w:t>
      </w:r>
      <w:r w:rsidRPr="005A27DE">
        <w:rPr>
          <w:rFonts w:ascii="Times New Roman" w:eastAsia="Times New Roman" w:hAnsi="Times New Roman" w:cs="Times New Roman"/>
          <w:sz w:val="24"/>
          <w:szCs w:val="24"/>
          <w:lang w:val="en-GB"/>
        </w:rPr>
        <w:t xml:space="preserve"> In this context, the approach of common law marriage presents the practical illustration of common law. The approach of common law marriage presents a relationship of marriage formally registered as a civil or religious marriage presenting the partners wi</w:t>
      </w:r>
      <w:r w:rsidRPr="005A27DE">
        <w:rPr>
          <w:rFonts w:ascii="Times New Roman" w:eastAsia="Times New Roman" w:hAnsi="Times New Roman" w:cs="Times New Roman"/>
          <w:sz w:val="24"/>
          <w:szCs w:val="24"/>
          <w:lang w:val="en-GB"/>
        </w:rPr>
        <w:t xml:space="preserve">th the same rights (Bone </w:t>
      </w:r>
      <w:r w:rsidR="005A27DE" w:rsidRPr="005A27DE">
        <w:rPr>
          <w:rFonts w:ascii="Times New Roman" w:eastAsia="Times New Roman" w:hAnsi="Times New Roman" w:cs="Times New Roman"/>
          <w:i/>
          <w:iCs/>
          <w:sz w:val="24"/>
          <w:szCs w:val="24"/>
          <w:lang w:val="en-GB"/>
        </w:rPr>
        <w:t>et al</w:t>
      </w:r>
      <w:r w:rsidRPr="005A27DE">
        <w:rPr>
          <w:rFonts w:ascii="Times New Roman" w:eastAsia="Times New Roman" w:hAnsi="Times New Roman" w:cs="Times New Roman"/>
          <w:sz w:val="24"/>
          <w:szCs w:val="24"/>
          <w:lang w:val="en-GB"/>
        </w:rPr>
        <w:t xml:space="preserve">., 2020). The illustration of common law marriage presents the cohabitants of the partners which helps in the analysis and evaluation of the benefits of being married without being specifically and formally married. </w:t>
      </w:r>
      <w:r w:rsidR="005A27DE" w:rsidRPr="005A27DE">
        <w:rPr>
          <w:rFonts w:ascii="Times New Roman" w:eastAsia="Times New Roman" w:hAnsi="Times New Roman" w:cs="Times New Roman"/>
          <w:sz w:val="24"/>
          <w:szCs w:val="24"/>
          <w:lang w:val="en-GB"/>
        </w:rPr>
        <w:t>Thus,</w:t>
      </w:r>
      <w:r w:rsidRPr="005A27DE">
        <w:rPr>
          <w:rFonts w:ascii="Times New Roman" w:eastAsia="Times New Roman" w:hAnsi="Times New Roman" w:cs="Times New Roman"/>
          <w:sz w:val="24"/>
          <w:szCs w:val="24"/>
          <w:lang w:val="en-GB"/>
        </w:rPr>
        <w:t xml:space="preserve"> the </w:t>
      </w:r>
      <w:r w:rsidRPr="005A27DE">
        <w:rPr>
          <w:rFonts w:ascii="Times New Roman" w:eastAsia="Times New Roman" w:hAnsi="Times New Roman" w:cs="Times New Roman"/>
          <w:sz w:val="24"/>
          <w:szCs w:val="24"/>
          <w:lang w:val="en-GB"/>
        </w:rPr>
        <w:t xml:space="preserve">illustration of these marriages is further not recorded by the state registries representing the effective use of the common law regulations.     </w:t>
      </w:r>
    </w:p>
    <w:p w14:paraId="0000001D" w14:textId="77777777" w:rsidR="005A5564" w:rsidRPr="005A27DE" w:rsidRDefault="00343D39" w:rsidP="005A27DE">
      <w:pPr>
        <w:pStyle w:val="Heading1"/>
      </w:pPr>
      <w:bookmarkStart w:id="7" w:name="_Toc128657612"/>
      <w:r w:rsidRPr="005A27DE">
        <w:lastRenderedPageBreak/>
        <w:t>Conclusion</w:t>
      </w:r>
      <w:bookmarkEnd w:id="7"/>
    </w:p>
    <w:p w14:paraId="0000001E" w14:textId="77777777"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rFonts w:ascii="Times New Roman" w:eastAsia="Times New Roman" w:hAnsi="Times New Roman" w:cs="Times New Roman"/>
          <w:sz w:val="24"/>
          <w:szCs w:val="24"/>
          <w:lang w:val="en-GB"/>
        </w:rPr>
        <w:t>Th study summarises the key approach and definition of the English legal system which is further b</w:t>
      </w:r>
      <w:r w:rsidRPr="005A27DE">
        <w:rPr>
          <w:rFonts w:ascii="Times New Roman" w:eastAsia="Times New Roman" w:hAnsi="Times New Roman" w:cs="Times New Roman"/>
          <w:sz w:val="24"/>
          <w:szCs w:val="24"/>
          <w:lang w:val="en-GB"/>
        </w:rPr>
        <w:t xml:space="preserve">ased on the principles of common law. With the in-depth analysis of the civil and common law definitions, the differences in the context of both laws are effectively presented in the study.  </w:t>
      </w:r>
    </w:p>
    <w:p w14:paraId="0000001F" w14:textId="77777777" w:rsidR="005A5564" w:rsidRPr="005A27DE" w:rsidRDefault="00343D39">
      <w:pPr>
        <w:pStyle w:val="Normal1"/>
        <w:spacing w:line="360" w:lineRule="auto"/>
        <w:jc w:val="both"/>
        <w:rPr>
          <w:rFonts w:ascii="Times New Roman" w:eastAsia="Times New Roman" w:hAnsi="Times New Roman" w:cs="Times New Roman"/>
          <w:sz w:val="24"/>
          <w:szCs w:val="24"/>
          <w:lang w:val="en-GB"/>
        </w:rPr>
      </w:pPr>
      <w:r w:rsidRPr="005A27DE">
        <w:rPr>
          <w:lang w:val="en-GB"/>
        </w:rPr>
        <w:br w:type="page"/>
      </w:r>
    </w:p>
    <w:p w14:paraId="00000020" w14:textId="0A15B9C5" w:rsidR="005A5564" w:rsidRDefault="00343D39" w:rsidP="005A27DE">
      <w:pPr>
        <w:pStyle w:val="Heading1"/>
      </w:pPr>
      <w:bookmarkStart w:id="8" w:name="_Toc128657613"/>
      <w:r w:rsidRPr="005A27DE">
        <w:lastRenderedPageBreak/>
        <w:t>Reference list</w:t>
      </w:r>
      <w:bookmarkEnd w:id="8"/>
    </w:p>
    <w:p w14:paraId="1FBF3FF7"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r w:rsidRPr="007D67F0">
        <w:rPr>
          <w:rFonts w:ascii="Times New Roman" w:eastAsia="Times New Roman" w:hAnsi="Times New Roman" w:cs="Times New Roman"/>
          <w:color w:val="000000" w:themeColor="text1"/>
          <w:spacing w:val="3"/>
          <w:sz w:val="24"/>
          <w:szCs w:val="24"/>
          <w:lang w:val="en-IN" w:eastAsia="en-IN"/>
        </w:rPr>
        <w:t xml:space="preserve">Bone, A., 2020. Islamic Marriage and divorce in the United Kingdom: The case for a new paradigm. Journal of </w:t>
      </w:r>
      <w:proofErr w:type="spellStart"/>
      <w:r w:rsidRPr="007D67F0">
        <w:rPr>
          <w:rFonts w:ascii="Times New Roman" w:eastAsia="Times New Roman" w:hAnsi="Times New Roman" w:cs="Times New Roman"/>
          <w:color w:val="000000" w:themeColor="text1"/>
          <w:spacing w:val="3"/>
          <w:sz w:val="24"/>
          <w:szCs w:val="24"/>
          <w:lang w:val="en-IN" w:eastAsia="en-IN"/>
        </w:rPr>
        <w:t>muslim</w:t>
      </w:r>
      <w:proofErr w:type="spellEnd"/>
      <w:r w:rsidRPr="007D67F0">
        <w:rPr>
          <w:rFonts w:ascii="Times New Roman" w:eastAsia="Times New Roman" w:hAnsi="Times New Roman" w:cs="Times New Roman"/>
          <w:color w:val="000000" w:themeColor="text1"/>
          <w:spacing w:val="3"/>
          <w:sz w:val="24"/>
          <w:szCs w:val="24"/>
          <w:lang w:val="en-IN" w:eastAsia="en-IN"/>
        </w:rPr>
        <w:t xml:space="preserve"> minority affairs, 40(1), pp.163-178.</w:t>
      </w:r>
    </w:p>
    <w:p w14:paraId="0705BB2E"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r w:rsidRPr="007D67F0">
        <w:rPr>
          <w:rFonts w:ascii="Times New Roman" w:eastAsia="Times New Roman" w:hAnsi="Times New Roman" w:cs="Times New Roman"/>
          <w:color w:val="000000" w:themeColor="text1"/>
          <w:spacing w:val="3"/>
          <w:sz w:val="24"/>
          <w:szCs w:val="24"/>
          <w:lang w:val="en-IN" w:eastAsia="en-IN"/>
        </w:rPr>
        <w:t>Chaney, P. and Sahoo, S., 2020. Civil society and the contemporary threat to religious freedom in Bangladesh. Journal of Civil Society, 16(3), pp.191-215.</w:t>
      </w:r>
    </w:p>
    <w:p w14:paraId="01EA7C07"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proofErr w:type="spellStart"/>
      <w:r w:rsidRPr="007D67F0">
        <w:rPr>
          <w:rFonts w:ascii="Times New Roman" w:eastAsia="Times New Roman" w:hAnsi="Times New Roman" w:cs="Times New Roman"/>
          <w:color w:val="000000" w:themeColor="text1"/>
          <w:spacing w:val="3"/>
          <w:sz w:val="24"/>
          <w:szCs w:val="24"/>
          <w:lang w:val="en-IN" w:eastAsia="en-IN"/>
        </w:rPr>
        <w:t>Entrikin</w:t>
      </w:r>
      <w:proofErr w:type="spellEnd"/>
      <w:r w:rsidRPr="007D67F0">
        <w:rPr>
          <w:rFonts w:ascii="Times New Roman" w:eastAsia="Times New Roman" w:hAnsi="Times New Roman" w:cs="Times New Roman"/>
          <w:color w:val="000000" w:themeColor="text1"/>
          <w:spacing w:val="3"/>
          <w:sz w:val="24"/>
          <w:szCs w:val="24"/>
          <w:lang w:val="en-IN" w:eastAsia="en-IN"/>
        </w:rPr>
        <w:t xml:space="preserve">, J.L., 2019. The death of common law. Harv. JL &amp; Pub. </w:t>
      </w:r>
      <w:proofErr w:type="spellStart"/>
      <w:r w:rsidRPr="007D67F0">
        <w:rPr>
          <w:rFonts w:ascii="Times New Roman" w:eastAsia="Times New Roman" w:hAnsi="Times New Roman" w:cs="Times New Roman"/>
          <w:color w:val="000000" w:themeColor="text1"/>
          <w:spacing w:val="3"/>
          <w:sz w:val="24"/>
          <w:szCs w:val="24"/>
          <w:lang w:val="en-IN" w:eastAsia="en-IN"/>
        </w:rPr>
        <w:t>Pol'y</w:t>
      </w:r>
      <w:proofErr w:type="spellEnd"/>
      <w:r w:rsidRPr="007D67F0">
        <w:rPr>
          <w:rFonts w:ascii="Times New Roman" w:eastAsia="Times New Roman" w:hAnsi="Times New Roman" w:cs="Times New Roman"/>
          <w:color w:val="000000" w:themeColor="text1"/>
          <w:spacing w:val="3"/>
          <w:sz w:val="24"/>
          <w:szCs w:val="24"/>
          <w:lang w:val="en-IN" w:eastAsia="en-IN"/>
        </w:rPr>
        <w:t>, 42, p.351.</w:t>
      </w:r>
    </w:p>
    <w:p w14:paraId="1BA4C162"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r w:rsidRPr="007D67F0">
        <w:rPr>
          <w:rFonts w:ascii="Times New Roman" w:eastAsia="Times New Roman" w:hAnsi="Times New Roman" w:cs="Times New Roman"/>
          <w:color w:val="000000" w:themeColor="text1"/>
          <w:spacing w:val="3"/>
          <w:sz w:val="24"/>
          <w:szCs w:val="24"/>
          <w:lang w:val="en-IN" w:eastAsia="en-IN"/>
        </w:rPr>
        <w:t>Hudson, J. and Eves, W., 2021. Introduction: situating, researching, and writing comparative legal history. Common law, civil law, and colonial law.</w:t>
      </w:r>
    </w:p>
    <w:p w14:paraId="1A9B7FDC"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r w:rsidRPr="007D67F0">
        <w:rPr>
          <w:rFonts w:ascii="Times New Roman" w:eastAsia="Times New Roman" w:hAnsi="Times New Roman" w:cs="Times New Roman"/>
          <w:color w:val="000000" w:themeColor="text1"/>
          <w:spacing w:val="3"/>
          <w:sz w:val="24"/>
          <w:szCs w:val="24"/>
          <w:lang w:val="en-IN" w:eastAsia="en-IN"/>
        </w:rPr>
        <w:t>Job, A., 2022. The Commonalities and Contrasting Features of English and American Law.</w:t>
      </w:r>
    </w:p>
    <w:p w14:paraId="5A84C854"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proofErr w:type="spellStart"/>
      <w:r w:rsidRPr="007D67F0">
        <w:rPr>
          <w:rFonts w:ascii="Times New Roman" w:eastAsia="Times New Roman" w:hAnsi="Times New Roman" w:cs="Times New Roman"/>
          <w:color w:val="000000" w:themeColor="text1"/>
          <w:spacing w:val="3"/>
          <w:sz w:val="24"/>
          <w:szCs w:val="24"/>
          <w:lang w:val="en-IN" w:eastAsia="en-IN"/>
        </w:rPr>
        <w:t>Kukovec</w:t>
      </w:r>
      <w:proofErr w:type="spellEnd"/>
      <w:r w:rsidRPr="007D67F0">
        <w:rPr>
          <w:rFonts w:ascii="Times New Roman" w:eastAsia="Times New Roman" w:hAnsi="Times New Roman" w:cs="Times New Roman"/>
          <w:color w:val="000000" w:themeColor="text1"/>
          <w:spacing w:val="3"/>
          <w:sz w:val="24"/>
          <w:szCs w:val="24"/>
          <w:lang w:val="en-IN" w:eastAsia="en-IN"/>
        </w:rPr>
        <w:t>, D., 2021. The realist trend of the Court of Justice of the European Union.</w:t>
      </w:r>
    </w:p>
    <w:p w14:paraId="33061B34"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proofErr w:type="spellStart"/>
      <w:r w:rsidRPr="007D67F0">
        <w:rPr>
          <w:rFonts w:ascii="Times New Roman" w:eastAsia="Times New Roman" w:hAnsi="Times New Roman" w:cs="Times New Roman"/>
          <w:color w:val="000000" w:themeColor="text1"/>
          <w:spacing w:val="3"/>
          <w:sz w:val="24"/>
          <w:szCs w:val="24"/>
          <w:lang w:val="en-IN" w:eastAsia="en-IN"/>
        </w:rPr>
        <w:t>Negretto</w:t>
      </w:r>
      <w:proofErr w:type="spellEnd"/>
      <w:r w:rsidRPr="007D67F0">
        <w:rPr>
          <w:rFonts w:ascii="Times New Roman" w:eastAsia="Times New Roman" w:hAnsi="Times New Roman" w:cs="Times New Roman"/>
          <w:color w:val="000000" w:themeColor="text1"/>
          <w:spacing w:val="3"/>
          <w:sz w:val="24"/>
          <w:szCs w:val="24"/>
          <w:lang w:val="en-IN" w:eastAsia="en-IN"/>
        </w:rPr>
        <w:t>, G.L., 2021. Deepening Democracy? Promises and challenges of Chile’s Road to a New Constitution. Hague Journal on the Rule of Law, 13(2-3), pp.335-358.</w:t>
      </w:r>
    </w:p>
    <w:p w14:paraId="0C4E67D2"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proofErr w:type="spellStart"/>
      <w:r w:rsidRPr="007D67F0">
        <w:rPr>
          <w:rFonts w:ascii="Times New Roman" w:eastAsia="Times New Roman" w:hAnsi="Times New Roman" w:cs="Times New Roman"/>
          <w:color w:val="000000" w:themeColor="text1"/>
          <w:spacing w:val="3"/>
          <w:sz w:val="24"/>
          <w:szCs w:val="24"/>
          <w:lang w:val="en-IN" w:eastAsia="en-IN"/>
        </w:rPr>
        <w:t>Pfander</w:t>
      </w:r>
      <w:proofErr w:type="spellEnd"/>
      <w:r w:rsidRPr="007D67F0">
        <w:rPr>
          <w:rFonts w:ascii="Times New Roman" w:eastAsia="Times New Roman" w:hAnsi="Times New Roman" w:cs="Times New Roman"/>
          <w:color w:val="000000" w:themeColor="text1"/>
          <w:spacing w:val="3"/>
          <w:sz w:val="24"/>
          <w:szCs w:val="24"/>
          <w:lang w:val="en-IN" w:eastAsia="en-IN"/>
        </w:rPr>
        <w:t xml:space="preserve">, J.E. and Wentzel, J., 2019. The Common Law Origins of Ex </w:t>
      </w:r>
      <w:proofErr w:type="spellStart"/>
      <w:r w:rsidRPr="007D67F0">
        <w:rPr>
          <w:rFonts w:ascii="Times New Roman" w:eastAsia="Times New Roman" w:hAnsi="Times New Roman" w:cs="Times New Roman"/>
          <w:color w:val="000000" w:themeColor="text1"/>
          <w:spacing w:val="3"/>
          <w:sz w:val="24"/>
          <w:szCs w:val="24"/>
          <w:lang w:val="en-IN" w:eastAsia="en-IN"/>
        </w:rPr>
        <w:t>parte</w:t>
      </w:r>
      <w:proofErr w:type="spellEnd"/>
      <w:r w:rsidRPr="007D67F0">
        <w:rPr>
          <w:rFonts w:ascii="Times New Roman" w:eastAsia="Times New Roman" w:hAnsi="Times New Roman" w:cs="Times New Roman"/>
          <w:color w:val="000000" w:themeColor="text1"/>
          <w:spacing w:val="3"/>
          <w:sz w:val="24"/>
          <w:szCs w:val="24"/>
          <w:lang w:val="en-IN" w:eastAsia="en-IN"/>
        </w:rPr>
        <w:t xml:space="preserve"> Young. Stanford Law Review, Forthcoming, </w:t>
      </w:r>
      <w:proofErr w:type="spellStart"/>
      <w:r w:rsidRPr="007D67F0">
        <w:rPr>
          <w:rFonts w:ascii="Times New Roman" w:eastAsia="Times New Roman" w:hAnsi="Times New Roman" w:cs="Times New Roman"/>
          <w:color w:val="000000" w:themeColor="text1"/>
          <w:spacing w:val="3"/>
          <w:sz w:val="24"/>
          <w:szCs w:val="24"/>
          <w:lang w:val="en-IN" w:eastAsia="en-IN"/>
        </w:rPr>
        <w:t>Northwestern</w:t>
      </w:r>
      <w:proofErr w:type="spellEnd"/>
      <w:r w:rsidRPr="007D67F0">
        <w:rPr>
          <w:rFonts w:ascii="Times New Roman" w:eastAsia="Times New Roman" w:hAnsi="Times New Roman" w:cs="Times New Roman"/>
          <w:color w:val="000000" w:themeColor="text1"/>
          <w:spacing w:val="3"/>
          <w:sz w:val="24"/>
          <w:szCs w:val="24"/>
          <w:lang w:val="en-IN" w:eastAsia="en-IN"/>
        </w:rPr>
        <w:t xml:space="preserve"> Public Law Research Paper, (19-20).</w:t>
      </w:r>
    </w:p>
    <w:p w14:paraId="36F1932B"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r w:rsidRPr="007D67F0">
        <w:rPr>
          <w:rFonts w:ascii="Times New Roman" w:eastAsia="Times New Roman" w:hAnsi="Times New Roman" w:cs="Times New Roman"/>
          <w:color w:val="000000" w:themeColor="text1"/>
          <w:spacing w:val="3"/>
          <w:sz w:val="24"/>
          <w:szCs w:val="24"/>
          <w:lang w:val="en-IN" w:eastAsia="en-IN"/>
        </w:rPr>
        <w:t xml:space="preserve">Rohr, J.G., 2019. Smart contracts and traditional contract law, or: the law of the vending machine. </w:t>
      </w:r>
      <w:proofErr w:type="spellStart"/>
      <w:r w:rsidRPr="007D67F0">
        <w:rPr>
          <w:rFonts w:ascii="Times New Roman" w:eastAsia="Times New Roman" w:hAnsi="Times New Roman" w:cs="Times New Roman"/>
          <w:color w:val="000000" w:themeColor="text1"/>
          <w:spacing w:val="3"/>
          <w:sz w:val="24"/>
          <w:szCs w:val="24"/>
          <w:lang w:val="en-IN" w:eastAsia="en-IN"/>
        </w:rPr>
        <w:t>Clev</w:t>
      </w:r>
      <w:proofErr w:type="spellEnd"/>
      <w:r w:rsidRPr="007D67F0">
        <w:rPr>
          <w:rFonts w:ascii="Times New Roman" w:eastAsia="Times New Roman" w:hAnsi="Times New Roman" w:cs="Times New Roman"/>
          <w:color w:val="000000" w:themeColor="text1"/>
          <w:spacing w:val="3"/>
          <w:sz w:val="24"/>
          <w:szCs w:val="24"/>
          <w:lang w:val="en-IN" w:eastAsia="en-IN"/>
        </w:rPr>
        <w:t>. St. L. Rev., 67, p.71.</w:t>
      </w:r>
    </w:p>
    <w:p w14:paraId="6CA7B515"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proofErr w:type="spellStart"/>
      <w:r w:rsidRPr="007D67F0">
        <w:rPr>
          <w:rFonts w:ascii="Times New Roman" w:eastAsia="Times New Roman" w:hAnsi="Times New Roman" w:cs="Times New Roman"/>
          <w:color w:val="000000" w:themeColor="text1"/>
          <w:spacing w:val="3"/>
          <w:sz w:val="24"/>
          <w:szCs w:val="24"/>
          <w:lang w:val="en-IN" w:eastAsia="en-IN"/>
        </w:rPr>
        <w:t>Sinenko</w:t>
      </w:r>
      <w:proofErr w:type="spellEnd"/>
      <w:r w:rsidRPr="007D67F0">
        <w:rPr>
          <w:rFonts w:ascii="Times New Roman" w:eastAsia="Times New Roman" w:hAnsi="Times New Roman" w:cs="Times New Roman"/>
          <w:color w:val="000000" w:themeColor="text1"/>
          <w:spacing w:val="3"/>
          <w:sz w:val="24"/>
          <w:szCs w:val="24"/>
          <w:lang w:val="en-IN" w:eastAsia="en-IN"/>
        </w:rPr>
        <w:t xml:space="preserve">, V.S., </w:t>
      </w:r>
      <w:proofErr w:type="spellStart"/>
      <w:r w:rsidRPr="007D67F0">
        <w:rPr>
          <w:rFonts w:ascii="Times New Roman" w:eastAsia="Times New Roman" w:hAnsi="Times New Roman" w:cs="Times New Roman"/>
          <w:color w:val="000000" w:themeColor="text1"/>
          <w:spacing w:val="3"/>
          <w:sz w:val="24"/>
          <w:szCs w:val="24"/>
          <w:lang w:val="en-IN" w:eastAsia="en-IN"/>
        </w:rPr>
        <w:t>Latypov</w:t>
      </w:r>
      <w:proofErr w:type="spellEnd"/>
      <w:r w:rsidRPr="007D67F0">
        <w:rPr>
          <w:rFonts w:ascii="Times New Roman" w:eastAsia="Times New Roman" w:hAnsi="Times New Roman" w:cs="Times New Roman"/>
          <w:color w:val="000000" w:themeColor="text1"/>
          <w:spacing w:val="3"/>
          <w:sz w:val="24"/>
          <w:szCs w:val="24"/>
          <w:lang w:val="en-IN" w:eastAsia="en-IN"/>
        </w:rPr>
        <w:t xml:space="preserve">, D.N., </w:t>
      </w:r>
      <w:proofErr w:type="spellStart"/>
      <w:r w:rsidRPr="007D67F0">
        <w:rPr>
          <w:rFonts w:ascii="Times New Roman" w:eastAsia="Times New Roman" w:hAnsi="Times New Roman" w:cs="Times New Roman"/>
          <w:color w:val="000000" w:themeColor="text1"/>
          <w:spacing w:val="3"/>
          <w:sz w:val="24"/>
          <w:szCs w:val="24"/>
          <w:lang w:val="en-IN" w:eastAsia="en-IN"/>
        </w:rPr>
        <w:t>Thabisimov</w:t>
      </w:r>
      <w:proofErr w:type="spellEnd"/>
      <w:r w:rsidRPr="007D67F0">
        <w:rPr>
          <w:rFonts w:ascii="Times New Roman" w:eastAsia="Times New Roman" w:hAnsi="Times New Roman" w:cs="Times New Roman"/>
          <w:color w:val="000000" w:themeColor="text1"/>
          <w:spacing w:val="3"/>
          <w:sz w:val="24"/>
          <w:szCs w:val="24"/>
          <w:lang w:val="en-IN" w:eastAsia="en-IN"/>
        </w:rPr>
        <w:t xml:space="preserve">, H.A., </w:t>
      </w:r>
      <w:proofErr w:type="spellStart"/>
      <w:r w:rsidRPr="007D67F0">
        <w:rPr>
          <w:rFonts w:ascii="Times New Roman" w:eastAsia="Times New Roman" w:hAnsi="Times New Roman" w:cs="Times New Roman"/>
          <w:color w:val="000000" w:themeColor="text1"/>
          <w:spacing w:val="3"/>
          <w:sz w:val="24"/>
          <w:szCs w:val="24"/>
          <w:lang w:val="en-IN" w:eastAsia="en-IN"/>
        </w:rPr>
        <w:t>Shadzhe</w:t>
      </w:r>
      <w:proofErr w:type="spellEnd"/>
      <w:r w:rsidRPr="007D67F0">
        <w:rPr>
          <w:rFonts w:ascii="Times New Roman" w:eastAsia="Times New Roman" w:hAnsi="Times New Roman" w:cs="Times New Roman"/>
          <w:color w:val="000000" w:themeColor="text1"/>
          <w:spacing w:val="3"/>
          <w:sz w:val="24"/>
          <w:szCs w:val="24"/>
          <w:lang w:val="en-IN" w:eastAsia="en-IN"/>
        </w:rPr>
        <w:t>, M.G. and Yah, M.U., 2020. The Value of Legal Terminology for the Romano-German Legal System Countries.</w:t>
      </w:r>
    </w:p>
    <w:p w14:paraId="78DAC602"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proofErr w:type="spellStart"/>
      <w:r w:rsidRPr="007D67F0">
        <w:rPr>
          <w:rFonts w:ascii="Times New Roman" w:eastAsia="Times New Roman" w:hAnsi="Times New Roman" w:cs="Times New Roman"/>
          <w:color w:val="000000" w:themeColor="text1"/>
          <w:spacing w:val="3"/>
          <w:sz w:val="24"/>
          <w:szCs w:val="24"/>
          <w:lang w:val="en-IN" w:eastAsia="en-IN"/>
        </w:rPr>
        <w:t>Tsuvina</w:t>
      </w:r>
      <w:proofErr w:type="spellEnd"/>
      <w:r w:rsidRPr="007D67F0">
        <w:rPr>
          <w:rFonts w:ascii="Times New Roman" w:eastAsia="Times New Roman" w:hAnsi="Times New Roman" w:cs="Times New Roman"/>
          <w:color w:val="000000" w:themeColor="text1"/>
          <w:spacing w:val="3"/>
          <w:sz w:val="24"/>
          <w:szCs w:val="24"/>
          <w:lang w:val="en-IN" w:eastAsia="en-IN"/>
        </w:rPr>
        <w:t xml:space="preserve">, T., </w:t>
      </w:r>
      <w:proofErr w:type="spellStart"/>
      <w:r w:rsidRPr="007D67F0">
        <w:rPr>
          <w:rFonts w:ascii="Times New Roman" w:eastAsia="Times New Roman" w:hAnsi="Times New Roman" w:cs="Times New Roman"/>
          <w:color w:val="000000" w:themeColor="text1"/>
          <w:spacing w:val="3"/>
          <w:sz w:val="24"/>
          <w:szCs w:val="24"/>
          <w:lang w:val="en-IN" w:eastAsia="en-IN"/>
        </w:rPr>
        <w:t>Ferz</w:t>
      </w:r>
      <w:proofErr w:type="spellEnd"/>
      <w:r w:rsidRPr="007D67F0">
        <w:rPr>
          <w:rFonts w:ascii="Times New Roman" w:eastAsia="Times New Roman" w:hAnsi="Times New Roman" w:cs="Times New Roman"/>
          <w:color w:val="000000" w:themeColor="text1"/>
          <w:spacing w:val="3"/>
          <w:sz w:val="24"/>
          <w:szCs w:val="24"/>
          <w:lang w:val="en-IN" w:eastAsia="en-IN"/>
        </w:rPr>
        <w:t xml:space="preserve">, S., </w:t>
      </w:r>
      <w:proofErr w:type="spellStart"/>
      <w:r w:rsidRPr="007D67F0">
        <w:rPr>
          <w:rFonts w:ascii="Times New Roman" w:eastAsia="Times New Roman" w:hAnsi="Times New Roman" w:cs="Times New Roman"/>
          <w:color w:val="000000" w:themeColor="text1"/>
          <w:spacing w:val="3"/>
          <w:sz w:val="24"/>
          <w:szCs w:val="24"/>
          <w:lang w:val="en-IN" w:eastAsia="en-IN"/>
        </w:rPr>
        <w:t>Tvaronavičienė</w:t>
      </w:r>
      <w:proofErr w:type="spellEnd"/>
      <w:r w:rsidRPr="007D67F0">
        <w:rPr>
          <w:rFonts w:ascii="Times New Roman" w:eastAsia="Times New Roman" w:hAnsi="Times New Roman" w:cs="Times New Roman"/>
          <w:color w:val="000000" w:themeColor="text1"/>
          <w:spacing w:val="3"/>
          <w:sz w:val="24"/>
          <w:szCs w:val="24"/>
          <w:lang w:val="en-IN" w:eastAsia="en-IN"/>
        </w:rPr>
        <w:t xml:space="preserve">, A. and </w:t>
      </w:r>
      <w:proofErr w:type="spellStart"/>
      <w:r w:rsidRPr="007D67F0">
        <w:rPr>
          <w:rFonts w:ascii="Times New Roman" w:eastAsia="Times New Roman" w:hAnsi="Times New Roman" w:cs="Times New Roman"/>
          <w:color w:val="000000" w:themeColor="text1"/>
          <w:spacing w:val="3"/>
          <w:sz w:val="24"/>
          <w:szCs w:val="24"/>
          <w:lang w:val="en-IN" w:eastAsia="en-IN"/>
        </w:rPr>
        <w:t>Riener</w:t>
      </w:r>
      <w:proofErr w:type="spellEnd"/>
      <w:r w:rsidRPr="007D67F0">
        <w:rPr>
          <w:rFonts w:ascii="Times New Roman" w:eastAsia="Times New Roman" w:hAnsi="Times New Roman" w:cs="Times New Roman"/>
          <w:color w:val="000000" w:themeColor="text1"/>
          <w:spacing w:val="3"/>
          <w:sz w:val="24"/>
          <w:szCs w:val="24"/>
          <w:lang w:val="en-IN" w:eastAsia="en-IN"/>
        </w:rPr>
        <w:t>, P., 2023. The implementation of consensual tenet in modern civil procedure: a European approach of court-related amicable dispute resolution procedures.</w:t>
      </w:r>
    </w:p>
    <w:p w14:paraId="7BEB43C4" w14:textId="77777777" w:rsidR="005A27DE" w:rsidRPr="007D67F0" w:rsidRDefault="005A27DE" w:rsidP="005A27DE">
      <w:pPr>
        <w:shd w:val="clear" w:color="auto" w:fill="FFFFFF"/>
        <w:spacing w:line="360" w:lineRule="auto"/>
        <w:jc w:val="both"/>
        <w:rPr>
          <w:rFonts w:ascii="Times New Roman" w:eastAsia="Times New Roman" w:hAnsi="Times New Roman" w:cs="Times New Roman"/>
          <w:color w:val="000000" w:themeColor="text1"/>
          <w:spacing w:val="3"/>
          <w:sz w:val="24"/>
          <w:szCs w:val="24"/>
          <w:lang w:val="en-IN" w:eastAsia="en-IN"/>
        </w:rPr>
      </w:pPr>
      <w:r w:rsidRPr="007D67F0">
        <w:rPr>
          <w:rFonts w:ascii="Times New Roman" w:eastAsia="Times New Roman" w:hAnsi="Times New Roman" w:cs="Times New Roman"/>
          <w:color w:val="000000" w:themeColor="text1"/>
          <w:spacing w:val="3"/>
          <w:sz w:val="24"/>
          <w:szCs w:val="24"/>
          <w:lang w:val="en-IN" w:eastAsia="en-IN"/>
        </w:rPr>
        <w:t xml:space="preserve">Willmott, D., </w:t>
      </w:r>
      <w:proofErr w:type="spellStart"/>
      <w:r w:rsidRPr="007D67F0">
        <w:rPr>
          <w:rFonts w:ascii="Times New Roman" w:eastAsia="Times New Roman" w:hAnsi="Times New Roman" w:cs="Times New Roman"/>
          <w:color w:val="000000" w:themeColor="text1"/>
          <w:spacing w:val="3"/>
          <w:sz w:val="24"/>
          <w:szCs w:val="24"/>
          <w:lang w:val="en-IN" w:eastAsia="en-IN"/>
        </w:rPr>
        <w:t>Boduszek</w:t>
      </w:r>
      <w:proofErr w:type="spellEnd"/>
      <w:r w:rsidRPr="007D67F0">
        <w:rPr>
          <w:rFonts w:ascii="Times New Roman" w:eastAsia="Times New Roman" w:hAnsi="Times New Roman" w:cs="Times New Roman"/>
          <w:color w:val="000000" w:themeColor="text1"/>
          <w:spacing w:val="3"/>
          <w:sz w:val="24"/>
          <w:szCs w:val="24"/>
          <w:lang w:val="en-IN" w:eastAsia="en-IN"/>
        </w:rPr>
        <w:t xml:space="preserve">, D., </w:t>
      </w:r>
      <w:proofErr w:type="spellStart"/>
      <w:r w:rsidRPr="007D67F0">
        <w:rPr>
          <w:rFonts w:ascii="Times New Roman" w:eastAsia="Times New Roman" w:hAnsi="Times New Roman" w:cs="Times New Roman"/>
          <w:color w:val="000000" w:themeColor="text1"/>
          <w:spacing w:val="3"/>
          <w:sz w:val="24"/>
          <w:szCs w:val="24"/>
          <w:lang w:val="en-IN" w:eastAsia="en-IN"/>
        </w:rPr>
        <w:t>Debowska</w:t>
      </w:r>
      <w:proofErr w:type="spellEnd"/>
      <w:r w:rsidRPr="007D67F0">
        <w:rPr>
          <w:rFonts w:ascii="Times New Roman" w:eastAsia="Times New Roman" w:hAnsi="Times New Roman" w:cs="Times New Roman"/>
          <w:color w:val="000000" w:themeColor="text1"/>
          <w:spacing w:val="3"/>
          <w:sz w:val="24"/>
          <w:szCs w:val="24"/>
          <w:lang w:val="en-IN" w:eastAsia="en-IN"/>
        </w:rPr>
        <w:t xml:space="preserve">, A. and </w:t>
      </w:r>
      <w:proofErr w:type="spellStart"/>
      <w:r w:rsidRPr="007D67F0">
        <w:rPr>
          <w:rFonts w:ascii="Times New Roman" w:eastAsia="Times New Roman" w:hAnsi="Times New Roman" w:cs="Times New Roman"/>
          <w:color w:val="000000" w:themeColor="text1"/>
          <w:spacing w:val="3"/>
          <w:sz w:val="24"/>
          <w:szCs w:val="24"/>
          <w:lang w:val="en-IN" w:eastAsia="en-IN"/>
        </w:rPr>
        <w:t>Hudspith</w:t>
      </w:r>
      <w:proofErr w:type="spellEnd"/>
      <w:r w:rsidRPr="007D67F0">
        <w:rPr>
          <w:rFonts w:ascii="Times New Roman" w:eastAsia="Times New Roman" w:hAnsi="Times New Roman" w:cs="Times New Roman"/>
          <w:color w:val="000000" w:themeColor="text1"/>
          <w:spacing w:val="3"/>
          <w:sz w:val="24"/>
          <w:szCs w:val="24"/>
          <w:lang w:val="en-IN" w:eastAsia="en-IN"/>
        </w:rPr>
        <w:t>, L., 2021. Jury decision making in rape trials: An attitude problem. Forensic psychology, 8, pp.94-119.</w:t>
      </w:r>
    </w:p>
    <w:p w14:paraId="7E846340" w14:textId="77777777" w:rsidR="005A27DE" w:rsidRPr="005A27DE" w:rsidRDefault="005A27DE" w:rsidP="005A27DE">
      <w:pPr>
        <w:pStyle w:val="Normal1"/>
      </w:pPr>
    </w:p>
    <w:p w14:paraId="00000021" w14:textId="77777777" w:rsidR="005A5564" w:rsidRPr="005A27DE" w:rsidRDefault="005A5564">
      <w:pPr>
        <w:pStyle w:val="Normal1"/>
        <w:spacing w:line="360" w:lineRule="auto"/>
        <w:jc w:val="both"/>
        <w:rPr>
          <w:rFonts w:ascii="Times New Roman" w:eastAsia="Times New Roman" w:hAnsi="Times New Roman" w:cs="Times New Roman"/>
          <w:sz w:val="24"/>
          <w:szCs w:val="24"/>
          <w:lang w:val="en-GB"/>
        </w:rPr>
      </w:pPr>
    </w:p>
    <w:sectPr w:rsidR="005A5564" w:rsidRPr="005A27DE" w:rsidSect="005A27DE">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F56E1" w14:textId="77777777" w:rsidR="00B146A9" w:rsidRDefault="00B146A9">
      <w:pPr>
        <w:spacing w:line="240" w:lineRule="auto"/>
      </w:pPr>
      <w:r>
        <w:separator/>
      </w:r>
    </w:p>
  </w:endnote>
  <w:endnote w:type="continuationSeparator" w:id="0">
    <w:p w14:paraId="12F594E6" w14:textId="77777777" w:rsidR="00B146A9" w:rsidRDefault="00B146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71329545"/>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25D20FC9" w14:textId="4FA98A7A" w:rsidR="005A27DE" w:rsidRPr="005A27DE" w:rsidRDefault="005A27DE">
            <w:pPr>
              <w:pStyle w:val="Footer"/>
              <w:jc w:val="right"/>
              <w:rPr>
                <w:rFonts w:ascii="Times New Roman" w:hAnsi="Times New Roman" w:cs="Times New Roman"/>
                <w:sz w:val="24"/>
                <w:szCs w:val="24"/>
              </w:rPr>
            </w:pPr>
            <w:r w:rsidRPr="005A27DE">
              <w:rPr>
                <w:rFonts w:ascii="Times New Roman" w:hAnsi="Times New Roman" w:cs="Times New Roman"/>
                <w:sz w:val="24"/>
                <w:szCs w:val="24"/>
              </w:rPr>
              <w:t xml:space="preserve">Page </w:t>
            </w:r>
            <w:r w:rsidRPr="005A27DE">
              <w:rPr>
                <w:rFonts w:ascii="Times New Roman" w:hAnsi="Times New Roman" w:cs="Times New Roman"/>
                <w:sz w:val="24"/>
                <w:szCs w:val="24"/>
              </w:rPr>
              <w:fldChar w:fldCharType="begin"/>
            </w:r>
            <w:r w:rsidRPr="005A27DE">
              <w:rPr>
                <w:rFonts w:ascii="Times New Roman" w:hAnsi="Times New Roman" w:cs="Times New Roman"/>
                <w:sz w:val="24"/>
                <w:szCs w:val="24"/>
              </w:rPr>
              <w:instrText xml:space="preserve"> PAGE </w:instrText>
            </w:r>
            <w:r w:rsidRPr="005A27DE">
              <w:rPr>
                <w:rFonts w:ascii="Times New Roman" w:hAnsi="Times New Roman" w:cs="Times New Roman"/>
                <w:sz w:val="24"/>
                <w:szCs w:val="24"/>
              </w:rPr>
              <w:fldChar w:fldCharType="separate"/>
            </w:r>
            <w:r w:rsidRPr="005A27DE">
              <w:rPr>
                <w:rFonts w:ascii="Times New Roman" w:hAnsi="Times New Roman" w:cs="Times New Roman"/>
                <w:noProof/>
                <w:sz w:val="24"/>
                <w:szCs w:val="24"/>
              </w:rPr>
              <w:t>2</w:t>
            </w:r>
            <w:r w:rsidRPr="005A27DE">
              <w:rPr>
                <w:rFonts w:ascii="Times New Roman" w:hAnsi="Times New Roman" w:cs="Times New Roman"/>
                <w:sz w:val="24"/>
                <w:szCs w:val="24"/>
              </w:rPr>
              <w:fldChar w:fldCharType="end"/>
            </w:r>
            <w:r w:rsidRPr="005A27DE">
              <w:rPr>
                <w:rFonts w:ascii="Times New Roman" w:hAnsi="Times New Roman" w:cs="Times New Roman"/>
                <w:sz w:val="24"/>
                <w:szCs w:val="24"/>
              </w:rPr>
              <w:t xml:space="preserve"> of </w:t>
            </w:r>
            <w:r w:rsidRPr="005A27DE">
              <w:rPr>
                <w:rFonts w:ascii="Times New Roman" w:hAnsi="Times New Roman" w:cs="Times New Roman"/>
                <w:sz w:val="24"/>
                <w:szCs w:val="24"/>
              </w:rPr>
              <w:fldChar w:fldCharType="begin"/>
            </w:r>
            <w:r w:rsidRPr="005A27DE">
              <w:rPr>
                <w:rFonts w:ascii="Times New Roman" w:hAnsi="Times New Roman" w:cs="Times New Roman"/>
                <w:sz w:val="24"/>
                <w:szCs w:val="24"/>
              </w:rPr>
              <w:instrText xml:space="preserve"> NUMPAGES  </w:instrText>
            </w:r>
            <w:r w:rsidRPr="005A27DE">
              <w:rPr>
                <w:rFonts w:ascii="Times New Roman" w:hAnsi="Times New Roman" w:cs="Times New Roman"/>
                <w:sz w:val="24"/>
                <w:szCs w:val="24"/>
              </w:rPr>
              <w:fldChar w:fldCharType="separate"/>
            </w:r>
            <w:r w:rsidRPr="005A27DE">
              <w:rPr>
                <w:rFonts w:ascii="Times New Roman" w:hAnsi="Times New Roman" w:cs="Times New Roman"/>
                <w:noProof/>
                <w:sz w:val="24"/>
                <w:szCs w:val="24"/>
              </w:rPr>
              <w:t>2</w:t>
            </w:r>
            <w:r w:rsidRPr="005A27DE">
              <w:rPr>
                <w:rFonts w:ascii="Times New Roman" w:hAnsi="Times New Roman" w:cs="Times New Roman"/>
                <w:sz w:val="24"/>
                <w:szCs w:val="24"/>
              </w:rPr>
              <w:fldChar w:fldCharType="end"/>
            </w:r>
          </w:p>
        </w:sdtContent>
      </w:sdt>
    </w:sdtContent>
  </w:sdt>
  <w:p w14:paraId="35EADA49" w14:textId="77777777" w:rsidR="005A27DE" w:rsidRDefault="005A2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13220" w14:textId="77777777" w:rsidR="00B146A9" w:rsidRDefault="00B146A9">
      <w:pPr>
        <w:spacing w:line="240" w:lineRule="auto"/>
      </w:pPr>
      <w:r>
        <w:separator/>
      </w:r>
    </w:p>
  </w:footnote>
  <w:footnote w:type="continuationSeparator" w:id="0">
    <w:p w14:paraId="410F8D49" w14:textId="77777777" w:rsidR="00B146A9" w:rsidRDefault="00B146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564"/>
    <w:rsid w:val="00385889"/>
    <w:rsid w:val="005A27DE"/>
    <w:rsid w:val="005A5564"/>
    <w:rsid w:val="00695124"/>
    <w:rsid w:val="008771CB"/>
    <w:rsid w:val="00A32EB1"/>
    <w:rsid w:val="00B146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EAD55"/>
  <w15:docId w15:val="{3E10F775-B4B2-4B0A-932F-3BA194A2B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5A27D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A27DE"/>
    <w:pPr>
      <w:tabs>
        <w:tab w:val="center" w:pos="4513"/>
        <w:tab w:val="right" w:pos="9026"/>
      </w:tabs>
      <w:spacing w:line="240" w:lineRule="auto"/>
    </w:pPr>
  </w:style>
  <w:style w:type="character" w:customStyle="1" w:styleId="HeaderChar">
    <w:name w:val="Header Char"/>
    <w:basedOn w:val="DefaultParagraphFont"/>
    <w:link w:val="Header"/>
    <w:uiPriority w:val="99"/>
    <w:rsid w:val="005A27DE"/>
    <w:rPr>
      <w:lang w:val="en-GB"/>
    </w:rPr>
  </w:style>
  <w:style w:type="paragraph" w:styleId="Footer">
    <w:name w:val="footer"/>
    <w:basedOn w:val="Normal"/>
    <w:link w:val="FooterChar"/>
    <w:uiPriority w:val="99"/>
    <w:unhideWhenUsed/>
    <w:rsid w:val="005A27DE"/>
    <w:pPr>
      <w:tabs>
        <w:tab w:val="center" w:pos="4513"/>
        <w:tab w:val="right" w:pos="9026"/>
      </w:tabs>
      <w:spacing w:line="240" w:lineRule="auto"/>
    </w:pPr>
  </w:style>
  <w:style w:type="character" w:customStyle="1" w:styleId="FooterChar">
    <w:name w:val="Footer Char"/>
    <w:basedOn w:val="DefaultParagraphFont"/>
    <w:link w:val="Footer"/>
    <w:uiPriority w:val="99"/>
    <w:rsid w:val="005A27DE"/>
    <w:rPr>
      <w:lang w:val="en-GB"/>
    </w:rPr>
  </w:style>
  <w:style w:type="paragraph" w:styleId="TOCHeading">
    <w:name w:val="TOC Heading"/>
    <w:basedOn w:val="Heading1"/>
    <w:next w:val="Normal"/>
    <w:uiPriority w:val="39"/>
    <w:unhideWhenUsed/>
    <w:qFormat/>
    <w:rsid w:val="005A27D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A27DE"/>
    <w:pPr>
      <w:spacing w:after="100"/>
    </w:pPr>
  </w:style>
  <w:style w:type="character" w:styleId="Hyperlink">
    <w:name w:val="Hyperlink"/>
    <w:basedOn w:val="DefaultParagraphFont"/>
    <w:uiPriority w:val="99"/>
    <w:unhideWhenUsed/>
    <w:rsid w:val="005A27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05E94-B044-46D4-8F91-CFA780333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1918</Words>
  <Characters>10934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kaiyum khan</cp:lastModifiedBy>
  <cp:revision>2</cp:revision>
  <dcterms:created xsi:type="dcterms:W3CDTF">2023-03-08T15:23:00Z</dcterms:created>
  <dcterms:modified xsi:type="dcterms:W3CDTF">2023-03-08T15:23:00Z</dcterms:modified>
  <cp:category/>
</cp:coreProperties>
</file>