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45429"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7C7FDDAC"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428DABED"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181BE893"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4319EF8D"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26F7CA4F"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5987A538"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28B1FD50"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3C4C0E99"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35BC1507"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212FE2A9" w14:textId="77777777" w:rsidR="00A30E83" w:rsidRPr="00CD33A8" w:rsidRDefault="00A30E83" w:rsidP="00A30E83">
      <w:pPr>
        <w:spacing w:line="360" w:lineRule="auto"/>
        <w:rPr>
          <w:rFonts w:asciiTheme="minorBidi" w:hAnsiTheme="minorBidi"/>
          <w:sz w:val="22"/>
        </w:rPr>
      </w:pPr>
    </w:p>
    <w:p w14:paraId="451735A0" w14:textId="77777777" w:rsidR="00A30E83" w:rsidRPr="00CD33A8" w:rsidRDefault="00A30E83" w:rsidP="00A30E83">
      <w:pPr>
        <w:spacing w:line="360" w:lineRule="auto"/>
        <w:rPr>
          <w:rFonts w:asciiTheme="minorBidi" w:hAnsiTheme="minorBidi"/>
          <w:sz w:val="22"/>
        </w:rPr>
      </w:pPr>
    </w:p>
    <w:p w14:paraId="267118DD" w14:textId="0F5C2E63" w:rsidR="00A30E83" w:rsidRPr="00CD33A8" w:rsidRDefault="00A30E83" w:rsidP="00A30E83">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5E6C43A3" wp14:editId="7A6B9C7A">
            <wp:simplePos x="0" y="0"/>
            <wp:positionH relativeFrom="column">
              <wp:posOffset>0</wp:posOffset>
            </wp:positionH>
            <wp:positionV relativeFrom="paragraph">
              <wp:posOffset>339725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D392AD" w14:textId="77777777" w:rsidR="00A30E83" w:rsidRPr="00CD33A8" w:rsidRDefault="00A30E83" w:rsidP="00A30E83">
      <w:pPr>
        <w:tabs>
          <w:tab w:val="left" w:pos="6540"/>
        </w:tabs>
        <w:spacing w:line="360" w:lineRule="auto"/>
        <w:rPr>
          <w:rFonts w:asciiTheme="minorBidi" w:hAnsiTheme="minorBidi"/>
          <w:sz w:val="22"/>
        </w:rPr>
      </w:pPr>
    </w:p>
    <w:p w14:paraId="01A694F5" w14:textId="77777777" w:rsidR="00A30E83" w:rsidRDefault="00A30E83" w:rsidP="00A30E83">
      <w:pPr>
        <w:tabs>
          <w:tab w:val="left" w:pos="6540"/>
        </w:tabs>
        <w:spacing w:line="360" w:lineRule="auto"/>
        <w:rPr>
          <w:rFonts w:ascii="Arial" w:hAnsi="Arial" w:cs="Arial"/>
          <w:b/>
          <w:bCs/>
          <w:sz w:val="28"/>
          <w:szCs w:val="28"/>
          <w:lang w:val="nl-NL"/>
        </w:rPr>
      </w:pPr>
    </w:p>
    <w:p w14:paraId="04B4B82C" w14:textId="77777777" w:rsidR="00A30E83" w:rsidRDefault="00A30E83" w:rsidP="00A30E83">
      <w:pPr>
        <w:tabs>
          <w:tab w:val="left" w:pos="6540"/>
        </w:tabs>
        <w:spacing w:line="360" w:lineRule="auto"/>
        <w:rPr>
          <w:rFonts w:ascii="Arial" w:hAnsi="Arial" w:cs="Arial"/>
          <w:b/>
          <w:bCs/>
          <w:sz w:val="28"/>
          <w:szCs w:val="28"/>
          <w:lang w:val="nl-NL"/>
        </w:rPr>
      </w:pPr>
    </w:p>
    <w:p w14:paraId="5EAEE01F" w14:textId="6EAD2D6E" w:rsidR="00A30E83" w:rsidRPr="00CD33A8" w:rsidRDefault="00A30E83" w:rsidP="00A30E8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Pr>
          <w:rFonts w:ascii="Arial" w:hAnsi="Arial" w:cs="Arial"/>
          <w:sz w:val="28"/>
          <w:szCs w:val="28"/>
          <w:lang w:val="nl-NL"/>
        </w:rPr>
        <w:t>Introduction</w:t>
      </w:r>
      <w:proofErr w:type="spellEnd"/>
      <w:r>
        <w:rPr>
          <w:rFonts w:ascii="Arial" w:hAnsi="Arial" w:cs="Arial"/>
          <w:sz w:val="28"/>
          <w:szCs w:val="28"/>
          <w:lang w:val="nl-NL"/>
        </w:rPr>
        <w:t xml:space="preserve"> </w:t>
      </w:r>
      <w:proofErr w:type="spellStart"/>
      <w:r>
        <w:rPr>
          <w:rFonts w:ascii="Arial" w:hAnsi="Arial" w:cs="Arial"/>
          <w:sz w:val="28"/>
          <w:szCs w:val="28"/>
          <w:lang w:val="nl-NL"/>
        </w:rPr>
        <w:t>to</w:t>
      </w:r>
      <w:proofErr w:type="spellEnd"/>
      <w:r>
        <w:rPr>
          <w:rFonts w:ascii="Arial" w:hAnsi="Arial" w:cs="Arial"/>
          <w:sz w:val="28"/>
          <w:szCs w:val="28"/>
          <w:lang w:val="nl-NL"/>
        </w:rPr>
        <w:t xml:space="preserve"> Health </w:t>
      </w:r>
      <w:proofErr w:type="spellStart"/>
      <w:r>
        <w:rPr>
          <w:rFonts w:ascii="Arial" w:hAnsi="Arial" w:cs="Arial"/>
          <w:sz w:val="28"/>
          <w:szCs w:val="28"/>
          <w:lang w:val="nl-NL"/>
        </w:rPr>
        <w:t>and</w:t>
      </w:r>
      <w:proofErr w:type="spellEnd"/>
      <w:r>
        <w:rPr>
          <w:rFonts w:ascii="Arial" w:hAnsi="Arial" w:cs="Arial"/>
          <w:sz w:val="28"/>
          <w:szCs w:val="28"/>
          <w:lang w:val="nl-NL"/>
        </w:rPr>
        <w:t xml:space="preserve"> </w:t>
      </w:r>
      <w:proofErr w:type="spellStart"/>
      <w:r>
        <w:rPr>
          <w:rFonts w:ascii="Arial" w:hAnsi="Arial" w:cs="Arial"/>
          <w:sz w:val="28"/>
          <w:szCs w:val="28"/>
          <w:lang w:val="nl-NL"/>
        </w:rPr>
        <w:t>Social</w:t>
      </w:r>
      <w:proofErr w:type="spellEnd"/>
      <w:r>
        <w:rPr>
          <w:rFonts w:ascii="Arial" w:hAnsi="Arial" w:cs="Arial"/>
          <w:sz w:val="28"/>
          <w:szCs w:val="28"/>
          <w:lang w:val="nl-NL"/>
        </w:rPr>
        <w:t xml:space="preserve"> Care</w:t>
      </w:r>
    </w:p>
    <w:p w14:paraId="75D8E6F7" w14:textId="77777777" w:rsidR="00A30E83" w:rsidRPr="00CD33A8" w:rsidRDefault="00A30E83" w:rsidP="00A30E83">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LCH4003_LON</w:t>
      </w:r>
    </w:p>
    <w:p w14:paraId="1D218C8A" w14:textId="77777777" w:rsidR="00A30E83" w:rsidRPr="00CD33A8" w:rsidRDefault="00A30E83" w:rsidP="00A30E83">
      <w:pPr>
        <w:tabs>
          <w:tab w:val="left" w:pos="6540"/>
        </w:tabs>
        <w:spacing w:line="360" w:lineRule="auto"/>
        <w:rPr>
          <w:rFonts w:ascii="Arial" w:hAnsi="Arial" w:cs="Arial"/>
          <w:b/>
          <w:bCs/>
          <w:sz w:val="28"/>
          <w:szCs w:val="28"/>
          <w:lang w:val="nl-NL"/>
        </w:rPr>
      </w:pPr>
    </w:p>
    <w:p w14:paraId="2B1958E2" w14:textId="77777777" w:rsidR="00A30E83" w:rsidRPr="00CD33A8" w:rsidRDefault="00A30E83" w:rsidP="00A30E8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Daylinda Araujo Beleta</w:t>
      </w:r>
    </w:p>
    <w:p w14:paraId="1EA4A890" w14:textId="5645C5B4" w:rsidR="00A30E83" w:rsidRPr="00CD33A8" w:rsidRDefault="00A30E83" w:rsidP="00A30E8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2509670</w:t>
      </w:r>
    </w:p>
    <w:p w14:paraId="2DE35975" w14:textId="77777777" w:rsidR="00A30E83" w:rsidRPr="00CD33A8" w:rsidRDefault="00A30E83" w:rsidP="00A30E83">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Muhammad Aliyu</w:t>
      </w:r>
    </w:p>
    <w:p w14:paraId="111CD1EF" w14:textId="77777777" w:rsidR="00FA4142" w:rsidRDefault="00FA4142" w:rsidP="00FA4142">
      <w:pPr>
        <w:spacing w:after="0" w:line="360" w:lineRule="auto"/>
        <w:outlineLvl w:val="0"/>
        <w:rPr>
          <w:rFonts w:asciiTheme="minorBidi" w:eastAsia="Times New Roman" w:hAnsiTheme="minorBidi"/>
          <w:b/>
          <w:bCs/>
          <w:kern w:val="36"/>
          <w:sz w:val="22"/>
          <w:szCs w:val="22"/>
          <w14:ligatures w14:val="none"/>
        </w:rPr>
      </w:pPr>
    </w:p>
    <w:p w14:paraId="37C6FD46" w14:textId="691CCE22" w:rsidR="00085AA0" w:rsidRDefault="00FA4142" w:rsidP="00FA4142">
      <w:pPr>
        <w:spacing w:after="0" w:line="360" w:lineRule="auto"/>
        <w:outlineLvl w:val="0"/>
        <w:rPr>
          <w:rFonts w:asciiTheme="minorBidi" w:eastAsia="Times New Roman" w:hAnsiTheme="minorBidi"/>
          <w:b/>
          <w:bCs/>
          <w:kern w:val="36"/>
          <w:sz w:val="22"/>
          <w:szCs w:val="22"/>
          <w14:ligatures w14:val="none"/>
        </w:rPr>
      </w:pPr>
      <w:r>
        <w:rPr>
          <w:rFonts w:asciiTheme="minorBidi" w:eastAsia="Times New Roman" w:hAnsiTheme="minorBidi"/>
          <w:b/>
          <w:bCs/>
          <w:kern w:val="36"/>
          <w:sz w:val="22"/>
          <w:szCs w:val="22"/>
          <w14:ligatures w14:val="none"/>
        </w:rPr>
        <w:t>Declaration for the use of AI: I declare that I used Grammarly AI for proofreading in this assignment.</w:t>
      </w:r>
    </w:p>
    <w:p w14:paraId="1B3AA711" w14:textId="77777777" w:rsidR="00FA4142" w:rsidRDefault="00FA4142" w:rsidP="00085AA0">
      <w:pPr>
        <w:spacing w:after="0" w:line="360" w:lineRule="auto"/>
        <w:jc w:val="center"/>
        <w:outlineLvl w:val="0"/>
        <w:rPr>
          <w:rFonts w:asciiTheme="minorBidi" w:eastAsia="Times New Roman" w:hAnsiTheme="minorBidi"/>
          <w:b/>
          <w:bCs/>
          <w:kern w:val="36"/>
          <w:sz w:val="22"/>
          <w:szCs w:val="22"/>
          <w14:ligatures w14:val="none"/>
        </w:rPr>
      </w:pPr>
    </w:p>
    <w:p w14:paraId="5DC9C809" w14:textId="77777777" w:rsidR="00085AA0" w:rsidRDefault="00085AA0" w:rsidP="00085AA0">
      <w:pPr>
        <w:spacing w:after="0" w:line="360" w:lineRule="auto"/>
        <w:jc w:val="center"/>
        <w:outlineLvl w:val="0"/>
        <w:rPr>
          <w:rFonts w:asciiTheme="minorBidi" w:eastAsia="Times New Roman" w:hAnsiTheme="minorBidi"/>
          <w:b/>
          <w:bCs/>
          <w:kern w:val="36"/>
          <w:sz w:val="22"/>
          <w:szCs w:val="22"/>
          <w14:ligatures w14:val="none"/>
        </w:rPr>
      </w:pPr>
    </w:p>
    <w:p w14:paraId="701446AC" w14:textId="1F55DBF0" w:rsidR="00085AA0" w:rsidRDefault="00A30E83" w:rsidP="00085AA0">
      <w:pPr>
        <w:spacing w:after="0" w:line="360" w:lineRule="auto"/>
        <w:outlineLvl w:val="0"/>
        <w:rPr>
          <w:rFonts w:asciiTheme="minorBidi" w:eastAsia="Times New Roman" w:hAnsiTheme="minorBidi"/>
          <w:b/>
          <w:bCs/>
          <w:kern w:val="36"/>
          <w:sz w:val="22"/>
          <w:szCs w:val="22"/>
          <w14:ligatures w14:val="none"/>
        </w:rPr>
      </w:pPr>
      <w:r>
        <w:rPr>
          <w:rFonts w:asciiTheme="minorBidi" w:eastAsia="Times New Roman" w:hAnsiTheme="minorBidi"/>
          <w:b/>
          <w:bCs/>
          <w:kern w:val="36"/>
          <w:sz w:val="22"/>
          <w:szCs w:val="22"/>
          <w14:ligatures w14:val="none"/>
        </w:rPr>
        <w:lastRenderedPageBreak/>
        <w:t xml:space="preserve">Table of Contents </w:t>
      </w:r>
    </w:p>
    <w:p w14:paraId="187B312C" w14:textId="77777777" w:rsidR="00A30E83" w:rsidRDefault="00A30E83" w:rsidP="00085AA0">
      <w:pPr>
        <w:spacing w:after="0" w:line="360" w:lineRule="auto"/>
        <w:outlineLvl w:val="0"/>
        <w:rPr>
          <w:rFonts w:asciiTheme="minorBidi" w:eastAsia="Times New Roman" w:hAnsiTheme="minorBidi"/>
          <w:b/>
          <w:bCs/>
          <w:kern w:val="36"/>
          <w:sz w:val="22"/>
          <w:szCs w:val="22"/>
          <w14:ligatures w14:val="none"/>
        </w:rPr>
      </w:pPr>
    </w:p>
    <w:p w14:paraId="7BE75112" w14:textId="022BAFCE" w:rsidR="00A30E83" w:rsidRDefault="00A30E83" w:rsidP="00085AA0">
      <w:pPr>
        <w:spacing w:after="0" w:line="360" w:lineRule="auto"/>
        <w:outlineLvl w:val="0"/>
        <w:rPr>
          <w:rFonts w:asciiTheme="minorBidi" w:eastAsia="Times New Roman" w:hAnsiTheme="minorBidi"/>
          <w:b/>
          <w:bCs/>
          <w:kern w:val="36"/>
          <w:sz w:val="22"/>
          <w:szCs w:val="22"/>
          <w14:ligatures w14:val="none"/>
        </w:rPr>
      </w:pPr>
      <w:r>
        <w:rPr>
          <w:rFonts w:asciiTheme="minorBidi" w:eastAsia="Times New Roman" w:hAnsiTheme="minorBidi"/>
          <w:b/>
          <w:bCs/>
          <w:kern w:val="36"/>
          <w:sz w:val="22"/>
          <w:szCs w:val="22"/>
          <w14:ligatures w14:val="none"/>
        </w:rPr>
        <w:t>Introduction ………………………………………………………………….………. 2</w:t>
      </w:r>
    </w:p>
    <w:p w14:paraId="3762FE26" w14:textId="759A0663" w:rsidR="00A30E83" w:rsidRDefault="00A30E83" w:rsidP="00085AA0">
      <w:pPr>
        <w:spacing w:after="0" w:line="360" w:lineRule="auto"/>
        <w:outlineLvl w:val="0"/>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t>Importance of Effective Communication in Mr. Ahmed’s</w:t>
      </w:r>
      <w:r>
        <w:rPr>
          <w:rFonts w:asciiTheme="minorBidi" w:eastAsia="Times New Roman" w:hAnsiTheme="minorBidi"/>
          <w:b/>
          <w:bCs/>
          <w:kern w:val="0"/>
          <w14:ligatures w14:val="none"/>
        </w:rPr>
        <w:t xml:space="preserve"> …………….3</w:t>
      </w:r>
    </w:p>
    <w:p w14:paraId="0AB5B8DB" w14:textId="558CB3DC" w:rsidR="00A30E83" w:rsidRDefault="00A30E83"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t>Importance of Administrative Skills and Record Keeping</w:t>
      </w:r>
      <w:r>
        <w:rPr>
          <w:rFonts w:asciiTheme="minorBidi" w:eastAsia="Times New Roman" w:hAnsiTheme="minorBidi"/>
          <w:b/>
          <w:bCs/>
          <w:kern w:val="0"/>
          <w14:ligatures w14:val="none"/>
        </w:rPr>
        <w:t xml:space="preserve"> ……………4</w:t>
      </w:r>
    </w:p>
    <w:p w14:paraId="410D942B" w14:textId="15FBD9A7" w:rsidR="00A30E83" w:rsidRDefault="00A30E83"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t xml:space="preserve">Importance of Collaborative Working in Mr. Ahmed’s Care </w:t>
      </w:r>
      <w:r>
        <w:rPr>
          <w:rFonts w:asciiTheme="minorBidi" w:eastAsia="Times New Roman" w:hAnsiTheme="minorBidi"/>
          <w:b/>
          <w:bCs/>
          <w:kern w:val="0"/>
          <w14:ligatures w14:val="none"/>
        </w:rPr>
        <w:t>………….5</w:t>
      </w:r>
    </w:p>
    <w:p w14:paraId="6BA1CDB0" w14:textId="5A08581A" w:rsidR="00A30E83" w:rsidRPr="008A40FA" w:rsidRDefault="00A30E83"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t>Conclusion</w:t>
      </w:r>
      <w:r>
        <w:rPr>
          <w:rFonts w:asciiTheme="minorBidi" w:eastAsia="Times New Roman" w:hAnsiTheme="minorBidi"/>
          <w:b/>
          <w:bCs/>
          <w:kern w:val="0"/>
          <w14:ligatures w14:val="none"/>
        </w:rPr>
        <w:t xml:space="preserve"> …………………………………………………………………….6</w:t>
      </w:r>
    </w:p>
    <w:p w14:paraId="567BB08C" w14:textId="39A05963" w:rsidR="00A30E83" w:rsidRPr="008A40FA" w:rsidRDefault="00A30E83" w:rsidP="00A30E83">
      <w:pPr>
        <w:spacing w:after="0" w:line="360" w:lineRule="auto"/>
        <w:jc w:val="both"/>
        <w:outlineLvl w:val="1"/>
        <w:rPr>
          <w:rFonts w:asciiTheme="minorBidi" w:eastAsia="Times New Roman" w:hAnsiTheme="minorBidi"/>
          <w:b/>
          <w:bCs/>
          <w:kern w:val="0"/>
          <w14:ligatures w14:val="none"/>
        </w:rPr>
      </w:pPr>
      <w:r>
        <w:rPr>
          <w:rFonts w:asciiTheme="minorBidi" w:eastAsia="Times New Roman" w:hAnsiTheme="minorBidi"/>
          <w:b/>
          <w:bCs/>
          <w:kern w:val="0"/>
          <w14:ligatures w14:val="none"/>
        </w:rPr>
        <w:t>References …………………………………………………………………….7</w:t>
      </w:r>
    </w:p>
    <w:p w14:paraId="7492A987" w14:textId="1522B7EA" w:rsidR="00A30E83" w:rsidRDefault="00A30E83" w:rsidP="00A30E83">
      <w:pPr>
        <w:spacing w:after="0" w:line="360" w:lineRule="auto"/>
        <w:jc w:val="both"/>
        <w:outlineLvl w:val="1"/>
        <w:rPr>
          <w:rFonts w:asciiTheme="minorBidi" w:eastAsia="Times New Roman" w:hAnsiTheme="minorBidi"/>
          <w:b/>
          <w:bCs/>
          <w:kern w:val="0"/>
          <w14:ligatures w14:val="none"/>
        </w:rPr>
      </w:pPr>
    </w:p>
    <w:p w14:paraId="182E003E"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A689A51"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12444FA2"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A6B6EC5"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6FF458F3"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41728A8A"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59FB1E76"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6F4C130C"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5892AF41"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36B937AE"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7D2BAF1B"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11F0378B"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6B469218"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96A245D"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978021E"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A874AD8"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77596A4"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357978A8"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4B7589BD"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5482F0B8"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10E7DFB6" w14:textId="77777777" w:rsidR="00A30E83" w:rsidRPr="008A40FA" w:rsidRDefault="00A30E83" w:rsidP="00A30E83">
      <w:pPr>
        <w:spacing w:after="0" w:line="360" w:lineRule="auto"/>
        <w:jc w:val="both"/>
        <w:outlineLvl w:val="1"/>
        <w:rPr>
          <w:rFonts w:asciiTheme="minorBidi" w:eastAsia="Times New Roman" w:hAnsiTheme="minorBidi"/>
          <w:b/>
          <w:bCs/>
          <w:kern w:val="0"/>
          <w14:ligatures w14:val="none"/>
        </w:rPr>
      </w:pPr>
    </w:p>
    <w:p w14:paraId="13496FFF" w14:textId="77777777" w:rsidR="00A30E83" w:rsidRDefault="00A30E83" w:rsidP="00085AA0">
      <w:pPr>
        <w:spacing w:after="0" w:line="360" w:lineRule="auto"/>
        <w:outlineLvl w:val="0"/>
        <w:rPr>
          <w:rFonts w:asciiTheme="minorBidi" w:eastAsia="Times New Roman" w:hAnsiTheme="minorBidi"/>
          <w:b/>
          <w:bCs/>
          <w:kern w:val="0"/>
          <w14:ligatures w14:val="none"/>
        </w:rPr>
      </w:pPr>
    </w:p>
    <w:p w14:paraId="37D8F3DB" w14:textId="77777777" w:rsidR="00A30E83" w:rsidRDefault="00A30E83" w:rsidP="00085AA0">
      <w:pPr>
        <w:spacing w:after="0" w:line="360" w:lineRule="auto"/>
        <w:outlineLvl w:val="0"/>
        <w:rPr>
          <w:rFonts w:asciiTheme="minorBidi" w:eastAsia="Times New Roman" w:hAnsiTheme="minorBidi"/>
          <w:b/>
          <w:bCs/>
          <w:kern w:val="36"/>
          <w:sz w:val="22"/>
          <w:szCs w:val="22"/>
          <w14:ligatures w14:val="none"/>
        </w:rPr>
      </w:pPr>
    </w:p>
    <w:p w14:paraId="240AA134" w14:textId="25661647" w:rsidR="008A40FA" w:rsidRDefault="00085AA0" w:rsidP="00085AA0">
      <w:pPr>
        <w:spacing w:after="0" w:line="360" w:lineRule="auto"/>
        <w:jc w:val="center"/>
        <w:outlineLvl w:val="0"/>
        <w:rPr>
          <w:rFonts w:asciiTheme="minorBidi" w:eastAsia="Times New Roman" w:hAnsiTheme="minorBidi"/>
          <w:b/>
          <w:bCs/>
          <w:kern w:val="36"/>
          <w:sz w:val="36"/>
          <w:szCs w:val="36"/>
          <w14:ligatures w14:val="none"/>
        </w:rPr>
      </w:pPr>
      <w:r>
        <w:rPr>
          <w:rFonts w:asciiTheme="minorBidi" w:eastAsia="Times New Roman" w:hAnsiTheme="minorBidi"/>
          <w:b/>
          <w:bCs/>
          <w:kern w:val="36"/>
          <w:sz w:val="36"/>
          <w:szCs w:val="36"/>
          <w14:ligatures w14:val="none"/>
        </w:rPr>
        <w:t xml:space="preserve">Title: </w:t>
      </w:r>
      <w:r w:rsidR="008A40FA" w:rsidRPr="008A40FA">
        <w:rPr>
          <w:rFonts w:asciiTheme="minorBidi" w:eastAsia="Times New Roman" w:hAnsiTheme="minorBidi"/>
          <w:b/>
          <w:bCs/>
          <w:kern w:val="36"/>
          <w:sz w:val="36"/>
          <w:szCs w:val="36"/>
          <w14:ligatures w14:val="none"/>
        </w:rPr>
        <w:t xml:space="preserve">Effective Communication, Record Keeping, and Collaborative Working in Health and Social Care: A Case Study of </w:t>
      </w:r>
      <w:r w:rsidR="00A30E83" w:rsidRPr="008A40FA">
        <w:rPr>
          <w:rFonts w:asciiTheme="minorBidi" w:eastAsia="Times New Roman" w:hAnsiTheme="minorBidi"/>
          <w:b/>
          <w:bCs/>
          <w:kern w:val="36"/>
          <w:sz w:val="36"/>
          <w:szCs w:val="36"/>
          <w14:ligatures w14:val="none"/>
        </w:rPr>
        <w:t>Mr.</w:t>
      </w:r>
      <w:r w:rsidR="008A40FA" w:rsidRPr="008A40FA">
        <w:rPr>
          <w:rFonts w:asciiTheme="minorBidi" w:eastAsia="Times New Roman" w:hAnsiTheme="minorBidi"/>
          <w:b/>
          <w:bCs/>
          <w:kern w:val="36"/>
          <w:sz w:val="36"/>
          <w:szCs w:val="36"/>
          <w14:ligatures w14:val="none"/>
        </w:rPr>
        <w:t xml:space="preserve"> Ahmed</w:t>
      </w:r>
    </w:p>
    <w:p w14:paraId="2140BFBA" w14:textId="6D8D2172" w:rsidR="00A30E83" w:rsidRPr="00A30E83" w:rsidRDefault="00A30E83" w:rsidP="00A30E83">
      <w:pPr>
        <w:spacing w:after="0" w:line="360" w:lineRule="auto"/>
        <w:outlineLvl w:val="0"/>
        <w:rPr>
          <w:rFonts w:asciiTheme="minorBidi" w:eastAsia="Times New Roman" w:hAnsiTheme="minorBidi"/>
          <w:b/>
          <w:bCs/>
          <w:kern w:val="36"/>
          <w:sz w:val="22"/>
          <w:szCs w:val="22"/>
          <w14:ligatures w14:val="none"/>
        </w:rPr>
      </w:pPr>
      <w:r>
        <w:rPr>
          <w:rFonts w:asciiTheme="minorBidi" w:eastAsia="Times New Roman" w:hAnsiTheme="minorBidi"/>
          <w:b/>
          <w:bCs/>
          <w:kern w:val="36"/>
          <w:sz w:val="22"/>
          <w:szCs w:val="22"/>
          <w14:ligatures w14:val="none"/>
        </w:rPr>
        <w:t>Introduction</w:t>
      </w:r>
    </w:p>
    <w:p w14:paraId="4056783E" w14:textId="32CE8540" w:rsidR="008A40FA" w:rsidRPr="00A30E83" w:rsidRDefault="00085AA0" w:rsidP="00A30E83">
      <w:pPr>
        <w:spacing w:after="0" w:line="360" w:lineRule="auto"/>
        <w:rPr>
          <w:rFonts w:asciiTheme="minorBidi" w:eastAsia="Times New Roman" w:hAnsiTheme="minorBidi"/>
          <w:b/>
          <w:bCs/>
          <w:kern w:val="36"/>
          <w:sz w:val="22"/>
          <w:szCs w:val="22"/>
          <w14:ligatures w14:val="none"/>
        </w:rPr>
      </w:pPr>
      <w:r w:rsidRPr="00085AA0">
        <w:rPr>
          <w:rFonts w:asciiTheme="minorBidi" w:eastAsia="Times New Roman" w:hAnsiTheme="minorBidi"/>
          <w:kern w:val="0"/>
          <w:sz w:val="22"/>
          <w:szCs w:val="22"/>
          <w14:ligatures w14:val="none"/>
        </w:rPr>
        <w:t>Practices in health and social care involve the need to integrate good communication, record-keeping, and working with others so that the practice can be safe and person-</w:t>
      </w:r>
      <w:r w:rsidR="00A30E83" w:rsidRPr="00085AA0">
        <w:rPr>
          <w:rFonts w:asciiTheme="minorBidi" w:eastAsia="Times New Roman" w:hAnsiTheme="minorBidi"/>
          <w:kern w:val="0"/>
          <w:sz w:val="22"/>
          <w:szCs w:val="22"/>
          <w14:ligatures w14:val="none"/>
        </w:rPr>
        <w:t>centered</w:t>
      </w:r>
      <w:r w:rsidRPr="00085AA0">
        <w:rPr>
          <w:rFonts w:asciiTheme="minorBidi" w:eastAsia="Times New Roman" w:hAnsiTheme="minorBidi"/>
          <w:kern w:val="0"/>
          <w:sz w:val="22"/>
          <w:szCs w:val="22"/>
          <w14:ligatures w14:val="none"/>
        </w:rPr>
        <w:t xml:space="preserve"> (Arnold and Boggs, 2022). The factors become critical, especially in the help offered to patients that have complicated needs, such as the elderly patients who are recovering after serious sicknesses. Here, in the case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who is a 68-year-old stroke patient </w:t>
      </w:r>
      <w:r w:rsidR="00C07639">
        <w:rPr>
          <w:rFonts w:asciiTheme="minorBidi" w:eastAsia="Times New Roman" w:hAnsiTheme="minorBidi"/>
          <w:kern w:val="0"/>
          <w:sz w:val="22"/>
          <w:szCs w:val="22"/>
          <w14:ligatures w14:val="none"/>
        </w:rPr>
        <w:t xml:space="preserve">receiving </w:t>
      </w:r>
      <w:r w:rsidRPr="00085AA0">
        <w:rPr>
          <w:rFonts w:asciiTheme="minorBidi" w:eastAsia="Times New Roman" w:hAnsiTheme="minorBidi"/>
          <w:kern w:val="0"/>
          <w:sz w:val="22"/>
          <w:szCs w:val="22"/>
          <w14:ligatures w14:val="none"/>
        </w:rPr>
        <w:t xml:space="preserve">domiciliary care, it should be observed that there are numerous challenges in the care system, including problems with language, missed care visits, and multidisciplinary coordination. Three care areas that are outlined in the assignment brief are communication, administrative skills and collaborative working, as discussed in this report. The impact of these factors on the quality of care will be critically reflected in accordance with the relevant law, e.g., the Equality Act 2010 and the Data Protection Act 2018, as well as recent research. The </w:t>
      </w:r>
      <w:r w:rsidR="00A30E83">
        <w:rPr>
          <w:rFonts w:asciiTheme="minorBidi" w:eastAsia="Times New Roman" w:hAnsiTheme="minorBidi"/>
          <w:kern w:val="0"/>
          <w:sz w:val="22"/>
          <w:szCs w:val="22"/>
          <w14:ligatures w14:val="none"/>
        </w:rPr>
        <w:t>report</w:t>
      </w:r>
      <w:r w:rsidRPr="00085AA0">
        <w:rPr>
          <w:rFonts w:asciiTheme="minorBidi" w:eastAsia="Times New Roman" w:hAnsiTheme="minorBidi"/>
          <w:kern w:val="0"/>
          <w:sz w:val="22"/>
          <w:szCs w:val="22"/>
          <w14:ligatures w14:val="none"/>
        </w:rPr>
        <w:t xml:space="preserve"> uses theory to practice in demonstrating the potential of effective systems to produce even better results and eradicate risks in health and social care scenarios</w:t>
      </w:r>
      <w:r w:rsidR="008A40FA" w:rsidRPr="008A40FA">
        <w:rPr>
          <w:rFonts w:asciiTheme="minorBidi" w:eastAsia="Times New Roman" w:hAnsiTheme="minorBidi"/>
          <w:kern w:val="0"/>
          <w:sz w:val="22"/>
          <w:szCs w:val="22"/>
          <w14:ligatures w14:val="none"/>
        </w:rPr>
        <w:t>.</w:t>
      </w:r>
    </w:p>
    <w:p w14:paraId="568AAE22" w14:textId="77777777" w:rsidR="00FA4142" w:rsidRDefault="00FA4142" w:rsidP="00A30E83">
      <w:pPr>
        <w:spacing w:after="0" w:line="360" w:lineRule="auto"/>
        <w:jc w:val="both"/>
        <w:outlineLvl w:val="1"/>
        <w:rPr>
          <w:rFonts w:asciiTheme="minorBidi" w:eastAsia="Times New Roman" w:hAnsiTheme="minorBidi"/>
          <w:b/>
          <w:bCs/>
          <w:kern w:val="0"/>
          <w14:ligatures w14:val="none"/>
        </w:rPr>
      </w:pPr>
    </w:p>
    <w:p w14:paraId="1EF42235" w14:textId="19AE80AA" w:rsidR="008A40FA" w:rsidRPr="008A40FA" w:rsidRDefault="008A40FA"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t xml:space="preserve">Importance of Effective Communication in </w:t>
      </w:r>
      <w:r w:rsidR="00A30E83" w:rsidRPr="008A40FA">
        <w:rPr>
          <w:rFonts w:asciiTheme="minorBidi" w:eastAsia="Times New Roman" w:hAnsiTheme="minorBidi"/>
          <w:b/>
          <w:bCs/>
          <w:kern w:val="0"/>
          <w14:ligatures w14:val="none"/>
        </w:rPr>
        <w:t>Mr.</w:t>
      </w:r>
      <w:r w:rsidRPr="008A40FA">
        <w:rPr>
          <w:rFonts w:asciiTheme="minorBidi" w:eastAsia="Times New Roman" w:hAnsiTheme="minorBidi"/>
          <w:b/>
          <w:bCs/>
          <w:kern w:val="0"/>
          <w14:ligatures w14:val="none"/>
        </w:rPr>
        <w:t xml:space="preserve"> Ahmed’s Care </w:t>
      </w:r>
    </w:p>
    <w:p w14:paraId="2FF30397" w14:textId="3289886E" w:rsidR="00085AA0" w:rsidRPr="00085AA0" w:rsidRDefault="00085AA0" w:rsidP="00A30E83">
      <w:pPr>
        <w:pStyle w:val="NormalWeb"/>
        <w:spacing w:before="0" w:beforeAutospacing="0" w:after="0" w:afterAutospacing="0" w:line="360" w:lineRule="auto"/>
        <w:jc w:val="both"/>
        <w:rPr>
          <w:rFonts w:asciiTheme="minorBidi" w:hAnsiTheme="minorBidi" w:cstheme="minorBidi"/>
        </w:rPr>
      </w:pPr>
      <w:r w:rsidRPr="00085AA0">
        <w:rPr>
          <w:rFonts w:asciiTheme="minorBidi" w:hAnsiTheme="minorBidi" w:cstheme="minorBidi"/>
        </w:rPr>
        <w:t>One of the key factors in offering safe, person-</w:t>
      </w:r>
      <w:proofErr w:type="spellStart"/>
      <w:r w:rsidR="00A30E83" w:rsidRPr="00085AA0">
        <w:rPr>
          <w:rFonts w:asciiTheme="minorBidi" w:hAnsiTheme="minorBidi" w:cstheme="minorBidi"/>
        </w:rPr>
        <w:t>cent</w:t>
      </w:r>
      <w:r w:rsidR="00FA4142">
        <w:rPr>
          <w:rFonts w:asciiTheme="minorBidi" w:hAnsiTheme="minorBidi" w:cstheme="minorBidi"/>
        </w:rPr>
        <w:t>re</w:t>
      </w:r>
      <w:r w:rsidR="00A30E83" w:rsidRPr="00085AA0">
        <w:rPr>
          <w:rFonts w:asciiTheme="minorBidi" w:hAnsiTheme="minorBidi" w:cstheme="minorBidi"/>
        </w:rPr>
        <w:t>d</w:t>
      </w:r>
      <w:proofErr w:type="spellEnd"/>
      <w:r w:rsidRPr="00085AA0">
        <w:rPr>
          <w:rFonts w:asciiTheme="minorBidi" w:hAnsiTheme="minorBidi" w:cstheme="minorBidi"/>
        </w:rPr>
        <w:t xml:space="preserve"> care is effective communication, particularly to individuals such as </w:t>
      </w:r>
      <w:r w:rsidR="00A30E83" w:rsidRPr="00085AA0">
        <w:rPr>
          <w:rFonts w:asciiTheme="minorBidi" w:hAnsiTheme="minorBidi" w:cstheme="minorBidi"/>
        </w:rPr>
        <w:t>Mr.</w:t>
      </w:r>
      <w:r w:rsidRPr="00085AA0">
        <w:rPr>
          <w:rFonts w:asciiTheme="minorBidi" w:hAnsiTheme="minorBidi" w:cstheme="minorBidi"/>
        </w:rPr>
        <w:t xml:space="preserve"> Ahmed, who experience language barriers in the aftermath of a stroke. Communication helps to understand the needs of care, respect the preferences, and minimise risks (Arnold and Boggs, 2022). The lack of English proficiency and the use of a translator by </w:t>
      </w:r>
      <w:r w:rsidR="00A30E83" w:rsidRPr="00085AA0">
        <w:rPr>
          <w:rFonts w:asciiTheme="minorBidi" w:hAnsiTheme="minorBidi" w:cstheme="minorBidi"/>
        </w:rPr>
        <w:t>Mr.</w:t>
      </w:r>
      <w:r w:rsidRPr="00085AA0">
        <w:rPr>
          <w:rFonts w:asciiTheme="minorBidi" w:hAnsiTheme="minorBidi" w:cstheme="minorBidi"/>
        </w:rPr>
        <w:t xml:space="preserve"> Ahmed in this scenario create some potential challenges, such as the risk of misunderstanding, low autonomy, and an increased risk of errors.</w:t>
      </w:r>
    </w:p>
    <w:p w14:paraId="18DD7C0B" w14:textId="684474DE" w:rsidR="00085AA0" w:rsidRPr="00085AA0" w:rsidRDefault="00085AA0" w:rsidP="00A30E83">
      <w:pPr>
        <w:pStyle w:val="NormalWeb"/>
        <w:spacing w:before="0" w:beforeAutospacing="0" w:after="0" w:afterAutospacing="0" w:line="360" w:lineRule="auto"/>
        <w:jc w:val="both"/>
        <w:rPr>
          <w:rFonts w:asciiTheme="minorBidi" w:hAnsiTheme="minorBidi" w:cstheme="minorBidi"/>
        </w:rPr>
      </w:pPr>
      <w:r w:rsidRPr="00085AA0">
        <w:rPr>
          <w:rFonts w:asciiTheme="minorBidi" w:hAnsiTheme="minorBidi" w:cstheme="minorBidi"/>
        </w:rPr>
        <w:t xml:space="preserve">The Equality Act 2010 requires the healthcare providers to make reasonable adjustments, thus ensuring that everybody can receive services equally irrespective of language or disability. It means that healthcare professionals should use the strategies of communication they need to help </w:t>
      </w:r>
      <w:r w:rsidR="00A30E83" w:rsidRPr="00085AA0">
        <w:rPr>
          <w:rFonts w:asciiTheme="minorBidi" w:hAnsiTheme="minorBidi" w:cstheme="minorBidi"/>
        </w:rPr>
        <w:t>Mr.</w:t>
      </w:r>
      <w:r w:rsidRPr="00085AA0">
        <w:rPr>
          <w:rFonts w:asciiTheme="minorBidi" w:hAnsiTheme="minorBidi" w:cstheme="minorBidi"/>
        </w:rPr>
        <w:t xml:space="preserve"> Ahmed understand (appointing an interpreter, using </w:t>
      </w:r>
      <w:r w:rsidRPr="00085AA0">
        <w:rPr>
          <w:rFonts w:asciiTheme="minorBidi" w:hAnsiTheme="minorBidi" w:cstheme="minorBidi"/>
        </w:rPr>
        <w:lastRenderedPageBreak/>
        <w:t xml:space="preserve">visual aids or plain language) (Department of Health and Social Care, 2022). Otherwise, it may cause </w:t>
      </w:r>
      <w:r w:rsidR="00FA4142">
        <w:rPr>
          <w:rFonts w:asciiTheme="minorBidi" w:hAnsiTheme="minorBidi" w:cstheme="minorBidi"/>
        </w:rPr>
        <w:t xml:space="preserve">direct </w:t>
      </w:r>
      <w:r w:rsidRPr="00085AA0">
        <w:rPr>
          <w:rFonts w:asciiTheme="minorBidi" w:hAnsiTheme="minorBidi" w:cstheme="minorBidi"/>
        </w:rPr>
        <w:t>discrimination and a derailment of quality of care.</w:t>
      </w:r>
    </w:p>
    <w:p w14:paraId="03EC70B7" w14:textId="77777777" w:rsidR="00085AA0" w:rsidRPr="00085AA0" w:rsidRDefault="00085AA0" w:rsidP="00A30E83">
      <w:pPr>
        <w:pStyle w:val="NormalWeb"/>
        <w:spacing w:before="0" w:beforeAutospacing="0" w:after="0" w:afterAutospacing="0" w:line="360" w:lineRule="auto"/>
        <w:jc w:val="both"/>
        <w:rPr>
          <w:rFonts w:asciiTheme="minorBidi" w:hAnsiTheme="minorBidi" w:cstheme="minorBidi"/>
        </w:rPr>
      </w:pPr>
      <w:r w:rsidRPr="00085AA0">
        <w:rPr>
          <w:rFonts w:asciiTheme="minorBidi" w:hAnsiTheme="minorBidi" w:cstheme="minorBidi"/>
        </w:rPr>
        <w:t xml:space="preserve">One theory that will prove useful in this context of </w:t>
      </w:r>
      <w:proofErr w:type="spellStart"/>
      <w:r w:rsidRPr="00085AA0">
        <w:rPr>
          <w:rFonts w:asciiTheme="minorBidi" w:hAnsiTheme="minorBidi" w:cstheme="minorBidi"/>
        </w:rPr>
        <w:t>analysing</w:t>
      </w:r>
      <w:proofErr w:type="spellEnd"/>
      <w:r w:rsidRPr="00085AA0">
        <w:rPr>
          <w:rFonts w:asciiTheme="minorBidi" w:hAnsiTheme="minorBidi" w:cstheme="minorBidi"/>
        </w:rPr>
        <w:t xml:space="preserve"> communication is the Shannon-Weaver model of communication, which also highlights that noise can falsify messages, i.e., language differences or cognitive constraints (Yeung et al., 2025). The language barrier and the post-stroke hindrances to communication are both causes of noise in the case of </w:t>
      </w:r>
      <w:proofErr w:type="spellStart"/>
      <w:r w:rsidRPr="00085AA0">
        <w:rPr>
          <w:rFonts w:asciiTheme="minorBidi" w:hAnsiTheme="minorBidi" w:cstheme="minorBidi"/>
        </w:rPr>
        <w:t>Mr</w:t>
      </w:r>
      <w:proofErr w:type="spellEnd"/>
      <w:r w:rsidRPr="00085AA0">
        <w:rPr>
          <w:rFonts w:asciiTheme="minorBidi" w:hAnsiTheme="minorBidi" w:cstheme="minorBidi"/>
        </w:rPr>
        <w:t xml:space="preserve"> Ahmed, and this noise can lead to miscommunication in terms of medication, his care plan, or his therapy plan.</w:t>
      </w:r>
    </w:p>
    <w:p w14:paraId="20ACD13B" w14:textId="77777777" w:rsidR="00085AA0" w:rsidRPr="00085AA0" w:rsidRDefault="00085AA0" w:rsidP="00A30E83">
      <w:pPr>
        <w:pStyle w:val="NormalWeb"/>
        <w:spacing w:before="0" w:beforeAutospacing="0" w:after="0" w:afterAutospacing="0" w:line="360" w:lineRule="auto"/>
        <w:jc w:val="both"/>
        <w:rPr>
          <w:rFonts w:asciiTheme="minorBidi" w:hAnsiTheme="minorBidi" w:cstheme="minorBidi"/>
        </w:rPr>
      </w:pPr>
      <w:r w:rsidRPr="00085AA0">
        <w:rPr>
          <w:rFonts w:asciiTheme="minorBidi" w:hAnsiTheme="minorBidi" w:cstheme="minorBidi"/>
        </w:rPr>
        <w:t>Professionals involved in health care ought to adopt a person-</w:t>
      </w:r>
      <w:proofErr w:type="spellStart"/>
      <w:r w:rsidRPr="00085AA0">
        <w:rPr>
          <w:rFonts w:asciiTheme="minorBidi" w:hAnsiTheme="minorBidi" w:cstheme="minorBidi"/>
        </w:rPr>
        <w:t>centred</w:t>
      </w:r>
      <w:proofErr w:type="spellEnd"/>
      <w:r w:rsidRPr="00085AA0">
        <w:rPr>
          <w:rFonts w:asciiTheme="minorBidi" w:hAnsiTheme="minorBidi" w:cstheme="minorBidi"/>
        </w:rPr>
        <w:t xml:space="preserve"> communication approach in an </w:t>
      </w:r>
      <w:proofErr w:type="spellStart"/>
      <w:r w:rsidRPr="00085AA0">
        <w:rPr>
          <w:rFonts w:asciiTheme="minorBidi" w:hAnsiTheme="minorBidi" w:cstheme="minorBidi"/>
        </w:rPr>
        <w:t>endeavour</w:t>
      </w:r>
      <w:proofErr w:type="spellEnd"/>
      <w:r w:rsidRPr="00085AA0">
        <w:rPr>
          <w:rFonts w:asciiTheme="minorBidi" w:hAnsiTheme="minorBidi" w:cstheme="minorBidi"/>
        </w:rPr>
        <w:t xml:space="preserve"> to overcome the barriers. They are active listeners who engage in non-verbal communication and talk slowly and confirm during the process of understanding with the assistance of the feedback (NHS England, 2023). Engaging </w:t>
      </w:r>
      <w:proofErr w:type="spellStart"/>
      <w:r w:rsidRPr="00085AA0">
        <w:rPr>
          <w:rFonts w:asciiTheme="minorBidi" w:hAnsiTheme="minorBidi" w:cstheme="minorBidi"/>
        </w:rPr>
        <w:t>Mr</w:t>
      </w:r>
      <w:proofErr w:type="spellEnd"/>
      <w:r w:rsidRPr="00085AA0">
        <w:rPr>
          <w:rFonts w:asciiTheme="minorBidi" w:hAnsiTheme="minorBidi" w:cstheme="minorBidi"/>
        </w:rPr>
        <w:t xml:space="preserve"> Ahmed in the discussions, instead of depending only on his wife, upholds his pride and independence, which are two key pillars of care (Care Quality Commission, 2025).</w:t>
      </w:r>
    </w:p>
    <w:p w14:paraId="7DFECBFE" w14:textId="114CD754" w:rsidR="008A40FA" w:rsidRDefault="00085AA0" w:rsidP="00A30E83">
      <w:pPr>
        <w:pStyle w:val="NormalWeb"/>
        <w:spacing w:before="0" w:beforeAutospacing="0" w:after="0" w:afterAutospacing="0" w:line="360" w:lineRule="auto"/>
        <w:jc w:val="both"/>
        <w:rPr>
          <w:rFonts w:asciiTheme="minorBidi" w:hAnsiTheme="minorBidi" w:cstheme="minorBidi"/>
          <w:sz w:val="22"/>
          <w:szCs w:val="22"/>
        </w:rPr>
      </w:pPr>
      <w:r w:rsidRPr="00085AA0">
        <w:rPr>
          <w:rFonts w:asciiTheme="minorBidi" w:hAnsiTheme="minorBidi" w:cstheme="minorBidi"/>
        </w:rPr>
        <w:t>Besides, cultural competence is a</w:t>
      </w:r>
      <w:r w:rsidR="009759CF">
        <w:rPr>
          <w:rFonts w:asciiTheme="minorBidi" w:hAnsiTheme="minorBidi" w:cstheme="minorBidi"/>
        </w:rPr>
        <w:t xml:space="preserve">lso </w:t>
      </w:r>
      <w:r w:rsidRPr="00085AA0">
        <w:rPr>
          <w:rFonts w:asciiTheme="minorBidi" w:hAnsiTheme="minorBidi" w:cstheme="minorBidi"/>
        </w:rPr>
        <w:t>need</w:t>
      </w:r>
      <w:r w:rsidR="009759CF">
        <w:rPr>
          <w:rFonts w:asciiTheme="minorBidi" w:hAnsiTheme="minorBidi" w:cstheme="minorBidi"/>
        </w:rPr>
        <w:t>ed</w:t>
      </w:r>
      <w:r w:rsidRPr="00085AA0">
        <w:rPr>
          <w:rFonts w:asciiTheme="minorBidi" w:hAnsiTheme="minorBidi" w:cstheme="minorBidi"/>
        </w:rPr>
        <w:t xml:space="preserve">. It is possible to have an improved trust and interaction through being mindful of the cultural background and communication preference of </w:t>
      </w:r>
      <w:r w:rsidR="00A30E83" w:rsidRPr="00085AA0">
        <w:rPr>
          <w:rFonts w:asciiTheme="minorBidi" w:hAnsiTheme="minorBidi" w:cstheme="minorBidi"/>
        </w:rPr>
        <w:t>Mr.</w:t>
      </w:r>
      <w:r w:rsidRPr="00085AA0">
        <w:rPr>
          <w:rFonts w:asciiTheme="minorBidi" w:hAnsiTheme="minorBidi" w:cstheme="minorBidi"/>
        </w:rPr>
        <w:t xml:space="preserve"> Ahmed. Culturally sensitive communication turns out to lead to patient satisfaction and greater adherence to treatment (</w:t>
      </w:r>
      <w:proofErr w:type="spellStart"/>
      <w:r w:rsidRPr="00085AA0">
        <w:rPr>
          <w:rFonts w:asciiTheme="minorBidi" w:hAnsiTheme="minorBidi" w:cstheme="minorBidi"/>
        </w:rPr>
        <w:t>Kaihlanen</w:t>
      </w:r>
      <w:proofErr w:type="spellEnd"/>
      <w:r w:rsidRPr="00085AA0">
        <w:rPr>
          <w:rFonts w:asciiTheme="minorBidi" w:hAnsiTheme="minorBidi" w:cstheme="minorBidi"/>
        </w:rPr>
        <w:t xml:space="preserve"> et al., 2019). And the very fact that </w:t>
      </w:r>
      <w:r w:rsidR="00A30E83" w:rsidRPr="00085AA0">
        <w:rPr>
          <w:rFonts w:asciiTheme="minorBidi" w:hAnsiTheme="minorBidi" w:cstheme="minorBidi"/>
        </w:rPr>
        <w:t>Mr.</w:t>
      </w:r>
      <w:r w:rsidRPr="00085AA0">
        <w:rPr>
          <w:rFonts w:asciiTheme="minorBidi" w:hAnsiTheme="minorBidi" w:cstheme="minorBidi"/>
        </w:rPr>
        <w:t xml:space="preserve"> Ahmed did not receive his domiciliary care visit also reflects the importance of inter-care provider communication. Inadequate communication in the care team may have severe repercussions, including missed medication, which may undermine recovery. A continuity of care must therefore be developed </w:t>
      </w:r>
      <w:r w:rsidR="00A30E83" w:rsidRPr="00085AA0">
        <w:rPr>
          <w:rFonts w:asciiTheme="minorBidi" w:hAnsiTheme="minorBidi" w:cstheme="minorBidi"/>
        </w:rPr>
        <w:t>using</w:t>
      </w:r>
      <w:r w:rsidRPr="00085AA0">
        <w:rPr>
          <w:rFonts w:asciiTheme="minorBidi" w:hAnsiTheme="minorBidi" w:cstheme="minorBidi"/>
        </w:rPr>
        <w:t xml:space="preserve"> communication tools in the most effective way, by timely updates, and by handovers (Parra, Gladkikh, and Jones, 2023)</w:t>
      </w:r>
      <w:r w:rsidR="008A40FA" w:rsidRPr="008A40FA">
        <w:rPr>
          <w:rFonts w:asciiTheme="minorBidi" w:hAnsiTheme="minorBidi" w:cstheme="minorBidi"/>
          <w:sz w:val="22"/>
          <w:szCs w:val="22"/>
        </w:rPr>
        <w:t>.</w:t>
      </w:r>
    </w:p>
    <w:p w14:paraId="16EC07A9" w14:textId="77777777" w:rsidR="00A30E83" w:rsidRDefault="00A30E83" w:rsidP="00A30E83">
      <w:pPr>
        <w:pStyle w:val="NormalWeb"/>
        <w:spacing w:before="0" w:beforeAutospacing="0" w:after="0" w:afterAutospacing="0" w:line="360" w:lineRule="auto"/>
        <w:jc w:val="both"/>
        <w:rPr>
          <w:rFonts w:asciiTheme="minorBidi" w:hAnsiTheme="minorBidi" w:cstheme="minorBidi"/>
        </w:rPr>
      </w:pPr>
    </w:p>
    <w:p w14:paraId="3C7C55B0" w14:textId="77777777" w:rsidR="00A30E83" w:rsidRDefault="00A30E83" w:rsidP="00A30E83">
      <w:pPr>
        <w:pStyle w:val="NormalWeb"/>
        <w:spacing w:before="0" w:beforeAutospacing="0" w:after="0" w:afterAutospacing="0" w:line="360" w:lineRule="auto"/>
        <w:jc w:val="both"/>
        <w:rPr>
          <w:rFonts w:asciiTheme="minorBidi" w:hAnsiTheme="minorBidi" w:cstheme="minorBidi"/>
        </w:rPr>
      </w:pPr>
    </w:p>
    <w:p w14:paraId="7E87F2BA" w14:textId="77777777" w:rsidR="00A30E83" w:rsidRDefault="00A30E83" w:rsidP="00A30E83">
      <w:pPr>
        <w:pStyle w:val="NormalWeb"/>
        <w:spacing w:before="0" w:beforeAutospacing="0" w:after="0" w:afterAutospacing="0" w:line="360" w:lineRule="auto"/>
        <w:jc w:val="both"/>
        <w:rPr>
          <w:rFonts w:asciiTheme="minorBidi" w:hAnsiTheme="minorBidi" w:cstheme="minorBidi"/>
        </w:rPr>
      </w:pPr>
    </w:p>
    <w:p w14:paraId="50420E8E" w14:textId="77777777" w:rsidR="00A30E83" w:rsidRDefault="00A30E83" w:rsidP="00A30E83">
      <w:pPr>
        <w:pStyle w:val="NormalWeb"/>
        <w:spacing w:before="0" w:beforeAutospacing="0" w:after="0" w:afterAutospacing="0" w:line="360" w:lineRule="auto"/>
        <w:jc w:val="both"/>
        <w:rPr>
          <w:rFonts w:asciiTheme="minorBidi" w:hAnsiTheme="minorBidi" w:cstheme="minorBidi"/>
        </w:rPr>
      </w:pPr>
    </w:p>
    <w:p w14:paraId="438D6BE5" w14:textId="77777777" w:rsidR="00A30E83" w:rsidRDefault="00A30E83" w:rsidP="00A30E83">
      <w:pPr>
        <w:pStyle w:val="NormalWeb"/>
        <w:spacing w:before="0" w:beforeAutospacing="0" w:after="0" w:afterAutospacing="0" w:line="360" w:lineRule="auto"/>
        <w:jc w:val="both"/>
        <w:rPr>
          <w:rFonts w:asciiTheme="minorBidi" w:hAnsiTheme="minorBidi" w:cstheme="minorBidi"/>
        </w:rPr>
      </w:pPr>
    </w:p>
    <w:p w14:paraId="44EDABCF" w14:textId="77777777" w:rsidR="00A30E83" w:rsidRDefault="00A30E83" w:rsidP="00A30E83">
      <w:pPr>
        <w:pStyle w:val="NormalWeb"/>
        <w:spacing w:before="0" w:beforeAutospacing="0" w:after="0" w:afterAutospacing="0" w:line="360" w:lineRule="auto"/>
        <w:jc w:val="both"/>
        <w:rPr>
          <w:rFonts w:asciiTheme="minorBidi" w:hAnsiTheme="minorBidi" w:cstheme="minorBidi"/>
        </w:rPr>
      </w:pPr>
    </w:p>
    <w:p w14:paraId="268587BB" w14:textId="77777777" w:rsidR="00A30E83" w:rsidRPr="008A40FA" w:rsidRDefault="00A30E83" w:rsidP="00A30E83">
      <w:pPr>
        <w:pStyle w:val="NormalWeb"/>
        <w:spacing w:before="0" w:beforeAutospacing="0" w:after="0" w:afterAutospacing="0" w:line="360" w:lineRule="auto"/>
        <w:jc w:val="both"/>
        <w:rPr>
          <w:rFonts w:asciiTheme="minorBidi" w:hAnsiTheme="minorBidi" w:cstheme="minorBidi"/>
        </w:rPr>
      </w:pPr>
    </w:p>
    <w:p w14:paraId="393F5092" w14:textId="196C9FB8" w:rsidR="008A40FA" w:rsidRPr="008A40FA" w:rsidRDefault="008A40FA"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lastRenderedPageBreak/>
        <w:t xml:space="preserve">Importance of Administrative Skills and Record Keeping </w:t>
      </w:r>
    </w:p>
    <w:p w14:paraId="556BD560" w14:textId="369F3A71" w:rsidR="00085AA0" w:rsidRPr="00085AA0"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 xml:space="preserve">Administrative skills as well as in particular proper record keeping are useful in health and social care which fall under professional practice. The example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reveals the traps developed due to a weak documentation and weak control over information as it was on a visit that was not met. Record keeping involves documenting clinical events, including care plans, records of medication, and clinical observations in a systematic manner. Full records take care of continuity of care, contribute </w:t>
      </w:r>
      <w:proofErr w:type="gramStart"/>
      <w:r w:rsidRPr="00085AA0">
        <w:rPr>
          <w:rFonts w:asciiTheme="minorBidi" w:eastAsia="Times New Roman" w:hAnsiTheme="minorBidi"/>
          <w:kern w:val="0"/>
          <w:sz w:val="22"/>
          <w:szCs w:val="22"/>
          <w14:ligatures w14:val="none"/>
        </w:rPr>
        <w:t>in</w:t>
      </w:r>
      <w:proofErr w:type="gramEnd"/>
      <w:r w:rsidRPr="00085AA0">
        <w:rPr>
          <w:rFonts w:asciiTheme="minorBidi" w:eastAsia="Times New Roman" w:hAnsiTheme="minorBidi"/>
          <w:kern w:val="0"/>
          <w:sz w:val="22"/>
          <w:szCs w:val="22"/>
          <w14:ligatures w14:val="none"/>
        </w:rPr>
        <w:t xml:space="preserve"> clinical care-related decisions and provide legal records of care administration (NHS Digital, 2022). This can lead to error, redundancy in work, and compromise patient safety due to the absence of proper records, or the incompleteness of these records. </w:t>
      </w:r>
    </w:p>
    <w:p w14:paraId="24E5A06A" w14:textId="110D03C3" w:rsidR="00085AA0" w:rsidRPr="00085AA0"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 xml:space="preserve">The Data Protection Act 2018 is the legislation governing personal data collection, storage and sharing in the UK. It requires that information of the patient should be handled legally, be kept safe and be in a manner that it is only seen by the awarded personnel (Information Commissioner’s Office, 2023). The flow of information between the GP and the district nurse and domiciliary care team in the case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should also be in accordance with such principles to ensure the safety of confidentiality as well as facilitate effective coordination of care.</w:t>
      </w:r>
    </w:p>
    <w:p w14:paraId="1847C280" w14:textId="5CDF2A6B" w:rsidR="00085AA0" w:rsidRPr="00085AA0"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 xml:space="preserve">Furthermore, the General Data Protection Regulation (GDPR) points out that being accurate, </w:t>
      </w:r>
      <w:proofErr w:type="spellStart"/>
      <w:r w:rsidRPr="00085AA0">
        <w:rPr>
          <w:rFonts w:asciiTheme="minorBidi" w:eastAsia="Times New Roman" w:hAnsiTheme="minorBidi"/>
          <w:kern w:val="0"/>
          <w:sz w:val="22"/>
          <w:szCs w:val="22"/>
          <w14:ligatures w14:val="none"/>
        </w:rPr>
        <w:t>minimising</w:t>
      </w:r>
      <w:proofErr w:type="spellEnd"/>
      <w:r w:rsidRPr="00085AA0">
        <w:rPr>
          <w:rFonts w:asciiTheme="minorBidi" w:eastAsia="Times New Roman" w:hAnsiTheme="minorBidi"/>
          <w:kern w:val="0"/>
          <w:sz w:val="22"/>
          <w:szCs w:val="22"/>
          <w14:ligatures w14:val="none"/>
        </w:rPr>
        <w:t xml:space="preserve"> data, and being accountable are important principles as well</w:t>
      </w:r>
      <w:r w:rsidR="00102D98">
        <w:rPr>
          <w:rFonts w:asciiTheme="minorBidi" w:eastAsia="Times New Roman" w:hAnsiTheme="minorBidi"/>
          <w:kern w:val="0"/>
          <w:sz w:val="22"/>
          <w:szCs w:val="22"/>
          <w14:ligatures w14:val="none"/>
        </w:rPr>
        <w:t xml:space="preserve"> </w:t>
      </w:r>
      <w:r w:rsidR="00102D98" w:rsidRPr="00085AA0">
        <w:rPr>
          <w:rFonts w:asciiTheme="minorBidi" w:eastAsia="Times New Roman" w:hAnsiTheme="minorBidi"/>
          <w:kern w:val="0"/>
          <w:sz w:val="22"/>
          <w:szCs w:val="22"/>
          <w14:ligatures w14:val="none"/>
        </w:rPr>
        <w:t>(Care Quality Commission, 2025)</w:t>
      </w:r>
      <w:r w:rsidRPr="00085AA0">
        <w:rPr>
          <w:rFonts w:asciiTheme="minorBidi" w:eastAsia="Times New Roman" w:hAnsiTheme="minorBidi"/>
          <w:kern w:val="0"/>
          <w:sz w:val="22"/>
          <w:szCs w:val="22"/>
          <w14:ligatures w14:val="none"/>
        </w:rPr>
        <w:t xml:space="preserve">. </w:t>
      </w:r>
      <w:r w:rsidR="00A30E83" w:rsidRPr="00085AA0">
        <w:rPr>
          <w:rFonts w:asciiTheme="minorBidi" w:eastAsia="Times New Roman" w:hAnsiTheme="minorBidi"/>
          <w:kern w:val="0"/>
          <w:sz w:val="22"/>
          <w:szCs w:val="22"/>
          <w14:ligatures w14:val="none"/>
        </w:rPr>
        <w:t>Doctors’</w:t>
      </w:r>
      <w:r w:rsidRPr="00085AA0">
        <w:rPr>
          <w:rFonts w:asciiTheme="minorBidi" w:eastAsia="Times New Roman" w:hAnsiTheme="minorBidi"/>
          <w:kern w:val="0"/>
          <w:sz w:val="22"/>
          <w:szCs w:val="22"/>
          <w14:ligatures w14:val="none"/>
        </w:rPr>
        <w:t xml:space="preserve"> ought to ensure that documents are more up-to-date </w:t>
      </w:r>
      <w:r w:rsidR="00DB410D">
        <w:rPr>
          <w:rFonts w:asciiTheme="minorBidi" w:eastAsia="Times New Roman" w:hAnsiTheme="minorBidi"/>
          <w:kern w:val="0"/>
          <w:sz w:val="22"/>
          <w:szCs w:val="22"/>
          <w14:ligatures w14:val="none"/>
        </w:rPr>
        <w:t xml:space="preserve">and </w:t>
      </w:r>
      <w:r w:rsidRPr="00085AA0">
        <w:rPr>
          <w:rFonts w:asciiTheme="minorBidi" w:eastAsia="Times New Roman" w:hAnsiTheme="minorBidi"/>
          <w:kern w:val="0"/>
          <w:sz w:val="22"/>
          <w:szCs w:val="22"/>
          <w14:ligatures w14:val="none"/>
        </w:rPr>
        <w:t xml:space="preserve">relevant to the care needs of the patient (ICO, 2023). To illustrate, timely documentation of unpaid visits will also facilitate </w:t>
      </w:r>
      <w:proofErr w:type="spellStart"/>
      <w:r w:rsidRPr="00085AA0">
        <w:rPr>
          <w:rFonts w:asciiTheme="minorBidi" w:eastAsia="Times New Roman" w:hAnsiTheme="minorBidi"/>
          <w:kern w:val="0"/>
          <w:sz w:val="22"/>
          <w:szCs w:val="22"/>
          <w14:ligatures w14:val="none"/>
        </w:rPr>
        <w:t>organisations</w:t>
      </w:r>
      <w:proofErr w:type="spellEnd"/>
      <w:r w:rsidRPr="00085AA0">
        <w:rPr>
          <w:rFonts w:asciiTheme="minorBidi" w:eastAsia="Times New Roman" w:hAnsiTheme="minorBidi"/>
          <w:kern w:val="0"/>
          <w:sz w:val="22"/>
          <w:szCs w:val="22"/>
          <w14:ligatures w14:val="none"/>
        </w:rPr>
        <w:t xml:space="preserve"> carrying out investigations and putting in place corrective actions. It is also mentioned that the Care Act 2014 and </w:t>
      </w:r>
      <w:proofErr w:type="spellStart"/>
      <w:r w:rsidRPr="00085AA0">
        <w:rPr>
          <w:rFonts w:asciiTheme="minorBidi" w:eastAsia="Times New Roman" w:hAnsiTheme="minorBidi"/>
          <w:kern w:val="0"/>
          <w:sz w:val="22"/>
          <w:szCs w:val="22"/>
          <w14:ligatures w14:val="none"/>
        </w:rPr>
        <w:t>organisational</w:t>
      </w:r>
      <w:proofErr w:type="spellEnd"/>
      <w:r w:rsidRPr="00085AA0">
        <w:rPr>
          <w:rFonts w:asciiTheme="minorBidi" w:eastAsia="Times New Roman" w:hAnsiTheme="minorBidi"/>
          <w:kern w:val="0"/>
          <w:sz w:val="22"/>
          <w:szCs w:val="22"/>
          <w14:ligatures w14:val="none"/>
        </w:rPr>
        <w:t xml:space="preserve"> policies underline the principles of safeguarding and accountability. Proper records can assist care providers in identifying threats, monitoring results, and showing adherence to the legislation (Care Quality Commission, 2025).</w:t>
      </w:r>
    </w:p>
    <w:p w14:paraId="2AD6C84F" w14:textId="6C517D09" w:rsidR="008A40FA" w:rsidRPr="008A40FA"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 xml:space="preserve">Practically, accurate administrative proficiencies are defined by detail attention, watchfulness, and digital use. Electronic health records (EHRs) have also improved the way information circulates and reduced errors, although they </w:t>
      </w:r>
      <w:r w:rsidR="00A30E83" w:rsidRPr="00085AA0">
        <w:rPr>
          <w:rFonts w:asciiTheme="minorBidi" w:eastAsia="Times New Roman" w:hAnsiTheme="minorBidi"/>
          <w:kern w:val="0"/>
          <w:sz w:val="22"/>
          <w:szCs w:val="22"/>
          <w14:ligatures w14:val="none"/>
        </w:rPr>
        <w:t>must</w:t>
      </w:r>
      <w:r w:rsidRPr="00085AA0">
        <w:rPr>
          <w:rFonts w:asciiTheme="minorBidi" w:eastAsia="Times New Roman" w:hAnsiTheme="minorBidi"/>
          <w:kern w:val="0"/>
          <w:sz w:val="22"/>
          <w:szCs w:val="22"/>
          <w14:ligatures w14:val="none"/>
        </w:rPr>
        <w:t xml:space="preserve"> be trained and adhere to the guidelines (</w:t>
      </w:r>
      <w:proofErr w:type="spellStart"/>
      <w:r w:rsidRPr="00085AA0">
        <w:rPr>
          <w:rFonts w:asciiTheme="minorBidi" w:eastAsia="Times New Roman" w:hAnsiTheme="minorBidi"/>
          <w:kern w:val="0"/>
          <w:sz w:val="22"/>
          <w:szCs w:val="22"/>
          <w14:ligatures w14:val="none"/>
        </w:rPr>
        <w:t>Tubaishat</w:t>
      </w:r>
      <w:proofErr w:type="spellEnd"/>
      <w:r w:rsidRPr="00085AA0">
        <w:rPr>
          <w:rFonts w:asciiTheme="minorBidi" w:eastAsia="Times New Roman" w:hAnsiTheme="minorBidi"/>
          <w:kern w:val="0"/>
          <w:sz w:val="22"/>
          <w:szCs w:val="22"/>
          <w14:ligatures w14:val="none"/>
        </w:rPr>
        <w:t xml:space="preserve">, 2017).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Ahmed's case may have the digital systems that can be used to track the planned appointment and remind various employees of skipped appointments to help prevent incidences like this in the future. Also, there is record-keeping with incident reporting which is paramount. The instances of missed medication should be reported and discussed to identify their root causes and to avoid them</w:t>
      </w:r>
      <w:r w:rsidR="00102D98">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(WHO, 2021).</w:t>
      </w:r>
    </w:p>
    <w:p w14:paraId="23224276" w14:textId="2ED3701E" w:rsidR="008A40FA" w:rsidRPr="008A40FA" w:rsidRDefault="008A40FA"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t xml:space="preserve">Importance of Collaborative Working in </w:t>
      </w:r>
      <w:r w:rsidR="00A30E83" w:rsidRPr="008A40FA">
        <w:rPr>
          <w:rFonts w:asciiTheme="minorBidi" w:eastAsia="Times New Roman" w:hAnsiTheme="minorBidi"/>
          <w:b/>
          <w:bCs/>
          <w:kern w:val="0"/>
          <w14:ligatures w14:val="none"/>
        </w:rPr>
        <w:t>Mr.</w:t>
      </w:r>
      <w:r w:rsidRPr="008A40FA">
        <w:rPr>
          <w:rFonts w:asciiTheme="minorBidi" w:eastAsia="Times New Roman" w:hAnsiTheme="minorBidi"/>
          <w:b/>
          <w:bCs/>
          <w:kern w:val="0"/>
          <w14:ligatures w14:val="none"/>
        </w:rPr>
        <w:t xml:space="preserve"> Ahmed’s Care </w:t>
      </w:r>
    </w:p>
    <w:p w14:paraId="32A5248E" w14:textId="7334657C" w:rsidR="00085AA0" w:rsidRPr="00085AA0"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 xml:space="preserve">Another activity necessary in the management of complex care needs is collaborative working, otherwise known as multidisciplinary working or multi-agency working. It has several </w:t>
      </w:r>
      <w:r w:rsidRPr="00085AA0">
        <w:rPr>
          <w:rFonts w:asciiTheme="minorBidi" w:eastAsia="Times New Roman" w:hAnsiTheme="minorBidi"/>
          <w:kern w:val="0"/>
          <w:sz w:val="22"/>
          <w:szCs w:val="22"/>
          <w14:ligatures w14:val="none"/>
        </w:rPr>
        <w:lastRenderedPageBreak/>
        <w:t xml:space="preserve">professionals who are involved in the care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including the GP, district nurse, domiciliary care workers, and the speech and language therapist. Effective teamwork can aid in ensuring care is coordinated, holistic, and responsive to patient needs (Reeves et al., 2022). One of the primary ways of creating cooperation is through the definition of roles. Each professional ought to be knowledgeable on what they are expected to provide and their input towards the general care plan. An example is the district nurse since she works on the clinical conditions, whereas the speech therapist is focused on communication and </w:t>
      </w:r>
      <w:r w:rsidR="00102D98">
        <w:rPr>
          <w:rFonts w:asciiTheme="minorBidi" w:eastAsia="Times New Roman" w:hAnsiTheme="minorBidi"/>
          <w:kern w:val="0"/>
          <w:sz w:val="22"/>
          <w:szCs w:val="22"/>
          <w14:ligatures w14:val="none"/>
        </w:rPr>
        <w:t>speech</w:t>
      </w:r>
      <w:r w:rsidRPr="00085AA0">
        <w:rPr>
          <w:rFonts w:asciiTheme="minorBidi" w:eastAsia="Times New Roman" w:hAnsiTheme="minorBidi"/>
          <w:kern w:val="0"/>
          <w:sz w:val="22"/>
          <w:szCs w:val="22"/>
          <w14:ligatures w14:val="none"/>
        </w:rPr>
        <w:t>. Determining roles will reduce overlaps and improve productivity (Collin et al., 2025).</w:t>
      </w:r>
    </w:p>
    <w:p w14:paraId="04783581" w14:textId="3CF8DBD9" w:rsidR="00085AA0" w:rsidRPr="00085AA0"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 xml:space="preserve">Collaboration also revolves around communication. Regular team meetings, shared care plans and digital communication systems would facilitate information sharing between professionals and would aid </w:t>
      </w:r>
      <w:r w:rsidR="006F0E61">
        <w:rPr>
          <w:rFonts w:asciiTheme="minorBidi" w:eastAsia="Times New Roman" w:hAnsiTheme="minorBidi"/>
          <w:kern w:val="0"/>
          <w:sz w:val="22"/>
          <w:szCs w:val="22"/>
          <w14:ligatures w14:val="none"/>
        </w:rPr>
        <w:t>them i</w:t>
      </w:r>
      <w:r w:rsidRPr="00085AA0">
        <w:rPr>
          <w:rFonts w:asciiTheme="minorBidi" w:eastAsia="Times New Roman" w:hAnsiTheme="minorBidi"/>
          <w:kern w:val="0"/>
          <w:sz w:val="22"/>
          <w:szCs w:val="22"/>
          <w14:ligatures w14:val="none"/>
        </w:rPr>
        <w:t xml:space="preserve">n making aware of the status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(NHS England, 2023). The concept of integrating care systems (ICS), which has been adopted in the UK, has further boosted the collaborative practice space in the facilitation of health and social care services where partnership is concerned. However, the possible issues in multi-agency work include communication breakdown and professional incompatibility as well as </w:t>
      </w:r>
      <w:proofErr w:type="spellStart"/>
      <w:r w:rsidRPr="00085AA0">
        <w:rPr>
          <w:rFonts w:asciiTheme="minorBidi" w:eastAsia="Times New Roman" w:hAnsiTheme="minorBidi"/>
          <w:kern w:val="0"/>
          <w:sz w:val="22"/>
          <w:szCs w:val="22"/>
          <w14:ligatures w14:val="none"/>
        </w:rPr>
        <w:t>organisational</w:t>
      </w:r>
      <w:proofErr w:type="spellEnd"/>
      <w:r w:rsidRPr="00085AA0">
        <w:rPr>
          <w:rFonts w:asciiTheme="minorBidi" w:eastAsia="Times New Roman" w:hAnsiTheme="minorBidi"/>
          <w:kern w:val="0"/>
          <w:sz w:val="22"/>
          <w:szCs w:val="22"/>
          <w14:ligatures w14:val="none"/>
        </w:rPr>
        <w:t xml:space="preserve"> differences. The negligence of the visit to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might have been an indication of a coordination failure among care providers. The weak points mentioned above can be addressed with the help of such strategies as the ability to resolve conflicts, effective leadership, and shared decision-making (Reeves et al., 2022).</w:t>
      </w:r>
    </w:p>
    <w:p w14:paraId="53A86AC1" w14:textId="7B81D4FE" w:rsidR="008A40FA" w:rsidRPr="008A40FA"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Another vital strategy is person-</w:t>
      </w:r>
      <w:proofErr w:type="spellStart"/>
      <w:r w:rsidRPr="00085AA0">
        <w:rPr>
          <w:rFonts w:asciiTheme="minorBidi" w:eastAsia="Times New Roman" w:hAnsiTheme="minorBidi"/>
          <w:kern w:val="0"/>
          <w:sz w:val="22"/>
          <w:szCs w:val="22"/>
          <w14:ligatures w14:val="none"/>
        </w:rPr>
        <w:t>centred</w:t>
      </w:r>
      <w:proofErr w:type="spellEnd"/>
      <w:r w:rsidRPr="00085AA0">
        <w:rPr>
          <w:rFonts w:asciiTheme="minorBidi" w:eastAsia="Times New Roman" w:hAnsiTheme="minorBidi"/>
          <w:kern w:val="0"/>
          <w:sz w:val="22"/>
          <w:szCs w:val="22"/>
          <w14:ligatures w14:val="none"/>
        </w:rPr>
        <w:t xml:space="preserve"> care that embraces both the family and the patient in decision-making. The wife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is a significant source of communication, and he ought to incorporate her in the communication provided the independence of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is not affected in any way. Training and interprofessional education also contribute to collaboration and might lead to better knowledge of different roles and support the establishment of a team (WHO, 2021). Collaborative practice has been found to enhance patient outcomes, reduce mistakes, and enhance patient and practitioner satisfaction in general, based on evidence</w:t>
      </w:r>
      <w:r w:rsidR="008A40FA" w:rsidRPr="008A40FA">
        <w:rPr>
          <w:rFonts w:asciiTheme="minorBidi" w:eastAsia="Times New Roman" w:hAnsiTheme="minorBidi"/>
          <w:kern w:val="0"/>
          <w:sz w:val="22"/>
          <w:szCs w:val="22"/>
          <w14:ligatures w14:val="none"/>
        </w:rPr>
        <w:t>.</w:t>
      </w:r>
    </w:p>
    <w:p w14:paraId="03FB288C"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5A6B9858"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98952C4"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6745708D"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148317EB"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25479B59"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1DBD93E7" w14:textId="77777777" w:rsidR="00A30E83" w:rsidRDefault="00A30E83" w:rsidP="00A30E83">
      <w:pPr>
        <w:spacing w:after="0" w:line="360" w:lineRule="auto"/>
        <w:jc w:val="both"/>
        <w:outlineLvl w:val="1"/>
        <w:rPr>
          <w:rFonts w:asciiTheme="minorBidi" w:eastAsia="Times New Roman" w:hAnsiTheme="minorBidi"/>
          <w:b/>
          <w:bCs/>
          <w:kern w:val="0"/>
          <w14:ligatures w14:val="none"/>
        </w:rPr>
      </w:pPr>
    </w:p>
    <w:p w14:paraId="189FC48B" w14:textId="1438EF6A" w:rsidR="008A40FA" w:rsidRPr="008A40FA" w:rsidRDefault="008A40FA" w:rsidP="00A30E83">
      <w:pPr>
        <w:spacing w:after="0" w:line="360" w:lineRule="auto"/>
        <w:jc w:val="both"/>
        <w:outlineLvl w:val="1"/>
        <w:rPr>
          <w:rFonts w:asciiTheme="minorBidi" w:eastAsia="Times New Roman" w:hAnsiTheme="minorBidi"/>
          <w:b/>
          <w:bCs/>
          <w:kern w:val="0"/>
          <w14:ligatures w14:val="none"/>
        </w:rPr>
      </w:pPr>
      <w:r w:rsidRPr="008A40FA">
        <w:rPr>
          <w:rFonts w:asciiTheme="minorBidi" w:eastAsia="Times New Roman" w:hAnsiTheme="minorBidi"/>
          <w:b/>
          <w:bCs/>
          <w:kern w:val="0"/>
          <w14:ligatures w14:val="none"/>
        </w:rPr>
        <w:lastRenderedPageBreak/>
        <w:t>Conclusion</w:t>
      </w:r>
    </w:p>
    <w:p w14:paraId="4443C8C9" w14:textId="0B5376F8" w:rsidR="008A40FA" w:rsidRPr="008A40FA" w:rsidRDefault="00085AA0" w:rsidP="00A30E83">
      <w:pPr>
        <w:spacing w:after="0" w:line="360" w:lineRule="auto"/>
        <w:jc w:val="both"/>
        <w:rPr>
          <w:rFonts w:asciiTheme="minorBidi" w:eastAsia="Times New Roman" w:hAnsiTheme="minorBidi"/>
          <w:kern w:val="0"/>
          <w:sz w:val="22"/>
          <w:szCs w:val="22"/>
          <w14:ligatures w14:val="none"/>
        </w:rPr>
      </w:pPr>
      <w:r w:rsidRPr="00085AA0">
        <w:rPr>
          <w:rFonts w:asciiTheme="minorBidi" w:eastAsia="Times New Roman" w:hAnsiTheme="minorBidi"/>
          <w:kern w:val="0"/>
          <w:sz w:val="22"/>
          <w:szCs w:val="22"/>
          <w14:ligatures w14:val="none"/>
        </w:rPr>
        <w:t>In conclusion, a good quality health and social care practice involves proper communication, proper record keeping, and collaboration. These units are intertwined and required to deliver person-</w:t>
      </w:r>
      <w:proofErr w:type="spellStart"/>
      <w:r w:rsidRPr="00085AA0">
        <w:rPr>
          <w:rFonts w:asciiTheme="minorBidi" w:eastAsia="Times New Roman" w:hAnsiTheme="minorBidi"/>
          <w:kern w:val="0"/>
          <w:sz w:val="22"/>
          <w:szCs w:val="22"/>
          <w14:ligatures w14:val="none"/>
        </w:rPr>
        <w:t>centred</w:t>
      </w:r>
      <w:proofErr w:type="spellEnd"/>
      <w:r w:rsidRPr="00085AA0">
        <w:rPr>
          <w:rFonts w:asciiTheme="minorBidi" w:eastAsia="Times New Roman" w:hAnsiTheme="minorBidi"/>
          <w:kern w:val="0"/>
          <w:sz w:val="22"/>
          <w:szCs w:val="22"/>
          <w14:ligatures w14:val="none"/>
        </w:rPr>
        <w:t xml:space="preserve"> and safe care, which has been revealed to be the case with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 Legislature-informed communication strategies. Other acts such as the Equality Act 2010 prevent language barriers and tackle inclusivity. Similarly, administrative actions that are well cultivated due to the Data Protection Act 2018 make it responsible, private, and ongoing. The interaction of working in a multidisciplinary team is employed in order to deliver holistic care and improve patient outcomes. Any of these areas that do not pass, such as the missed domiciliary visit, can, however, have severe implications. Therefore, medical professionals have a responsibility to </w:t>
      </w:r>
      <w:proofErr w:type="spellStart"/>
      <w:r w:rsidRPr="00085AA0">
        <w:rPr>
          <w:rFonts w:asciiTheme="minorBidi" w:eastAsia="Times New Roman" w:hAnsiTheme="minorBidi"/>
          <w:kern w:val="0"/>
          <w:sz w:val="22"/>
          <w:szCs w:val="22"/>
          <w14:ligatures w14:val="none"/>
        </w:rPr>
        <w:t>practise</w:t>
      </w:r>
      <w:proofErr w:type="spellEnd"/>
      <w:r w:rsidRPr="00085AA0">
        <w:rPr>
          <w:rFonts w:asciiTheme="minorBidi" w:eastAsia="Times New Roman" w:hAnsiTheme="minorBidi"/>
          <w:kern w:val="0"/>
          <w:sz w:val="22"/>
          <w:szCs w:val="22"/>
          <w14:ligatures w14:val="none"/>
        </w:rPr>
        <w:t xml:space="preserve"> according to evidence-based practices, adhere to the rules and continuously improve their practice. In this way, they will be able to improve and achieve good results in individuals with complex demands, such as </w:t>
      </w:r>
      <w:r w:rsidR="00A30E83" w:rsidRPr="00085AA0">
        <w:rPr>
          <w:rFonts w:asciiTheme="minorBidi" w:eastAsia="Times New Roman" w:hAnsiTheme="minorBidi"/>
          <w:kern w:val="0"/>
          <w:sz w:val="22"/>
          <w:szCs w:val="22"/>
          <w14:ligatures w14:val="none"/>
        </w:rPr>
        <w:t>Mr.</w:t>
      </w:r>
      <w:r w:rsidRPr="00085AA0">
        <w:rPr>
          <w:rFonts w:asciiTheme="minorBidi" w:eastAsia="Times New Roman" w:hAnsiTheme="minorBidi"/>
          <w:kern w:val="0"/>
          <w:sz w:val="22"/>
          <w:szCs w:val="22"/>
          <w14:ligatures w14:val="none"/>
        </w:rPr>
        <w:t xml:space="preserve"> Ahmed</w:t>
      </w:r>
      <w:r w:rsidR="008A40FA" w:rsidRPr="008A40FA">
        <w:rPr>
          <w:rFonts w:asciiTheme="minorBidi" w:eastAsia="Times New Roman" w:hAnsiTheme="minorBidi"/>
          <w:kern w:val="0"/>
          <w:sz w:val="22"/>
          <w:szCs w:val="22"/>
          <w14:ligatures w14:val="none"/>
        </w:rPr>
        <w:t>.</w:t>
      </w:r>
    </w:p>
    <w:p w14:paraId="1C725E0E"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0C9CC637"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6E71A9E7"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44BD8F0B"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32DE6B7A"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0B7A5CD3"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0CCE58B9"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0560A4AF"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2A75C281"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3E6AB4F2"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5BBE28FE"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51B3D697"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5293DC99"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6DB09F4C"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33857C74"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763BDA80"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64E22A7D"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2ACC7DB7"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47FE7995"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5E16DDC4"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63A3FE66" w14:textId="77777777" w:rsidR="00A30E83" w:rsidRDefault="00A30E83" w:rsidP="00A30E83">
      <w:pPr>
        <w:spacing w:after="0" w:line="360" w:lineRule="auto"/>
        <w:jc w:val="both"/>
        <w:rPr>
          <w:rFonts w:asciiTheme="minorBidi" w:eastAsia="Times New Roman" w:hAnsiTheme="minorBidi"/>
          <w:kern w:val="0"/>
          <w:sz w:val="22"/>
          <w:szCs w:val="22"/>
          <w14:ligatures w14:val="none"/>
        </w:rPr>
      </w:pPr>
    </w:p>
    <w:p w14:paraId="3599B3AF" w14:textId="2E468D35" w:rsidR="008A40FA" w:rsidRPr="00A30E83" w:rsidRDefault="008A40FA" w:rsidP="00A30E83">
      <w:pPr>
        <w:spacing w:after="0" w:line="360" w:lineRule="auto"/>
        <w:jc w:val="both"/>
        <w:rPr>
          <w:rFonts w:asciiTheme="minorBidi" w:eastAsia="Times New Roman" w:hAnsiTheme="minorBidi"/>
          <w:kern w:val="0"/>
          <w:sz w:val="22"/>
          <w:szCs w:val="22"/>
          <w14:ligatures w14:val="none"/>
        </w:rPr>
      </w:pPr>
      <w:r w:rsidRPr="008A40FA">
        <w:rPr>
          <w:rFonts w:asciiTheme="minorBidi" w:eastAsia="Times New Roman" w:hAnsiTheme="minorBidi"/>
          <w:b/>
          <w:bCs/>
          <w:kern w:val="0"/>
          <w14:ligatures w14:val="none"/>
        </w:rPr>
        <w:lastRenderedPageBreak/>
        <w:t>References</w:t>
      </w:r>
    </w:p>
    <w:p w14:paraId="648F0222" w14:textId="77777777"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t xml:space="preserve">Arnold, E.C. and Boggs, K.U. (2022) </w:t>
      </w:r>
      <w:r w:rsidRPr="008A40FA">
        <w:rPr>
          <w:rFonts w:asciiTheme="minorBidi" w:eastAsia="Times New Roman" w:hAnsiTheme="minorBidi"/>
          <w:i/>
          <w:iCs/>
          <w:kern w:val="0"/>
          <w:sz w:val="22"/>
          <w:szCs w:val="22"/>
          <w14:ligatures w14:val="none"/>
        </w:rPr>
        <w:t>Interpersonal Relationships in Nursing</w:t>
      </w:r>
      <w:r w:rsidRPr="008A40FA">
        <w:rPr>
          <w:rFonts w:asciiTheme="minorBidi" w:eastAsia="Times New Roman" w:hAnsiTheme="minorBidi"/>
          <w:kern w:val="0"/>
          <w:sz w:val="22"/>
          <w:szCs w:val="22"/>
          <w14:ligatures w14:val="none"/>
        </w:rPr>
        <w:t xml:space="preserve">. 9th </w:t>
      </w:r>
      <w:proofErr w:type="spellStart"/>
      <w:r w:rsidRPr="008A40FA">
        <w:rPr>
          <w:rFonts w:asciiTheme="minorBidi" w:eastAsia="Times New Roman" w:hAnsiTheme="minorBidi"/>
          <w:kern w:val="0"/>
          <w:sz w:val="22"/>
          <w:szCs w:val="22"/>
          <w14:ligatures w14:val="none"/>
        </w:rPr>
        <w:t>edn</w:t>
      </w:r>
      <w:proofErr w:type="spellEnd"/>
      <w:r w:rsidRPr="008A40FA">
        <w:rPr>
          <w:rFonts w:asciiTheme="minorBidi" w:eastAsia="Times New Roman" w:hAnsiTheme="minorBidi"/>
          <w:kern w:val="0"/>
          <w:sz w:val="22"/>
          <w:szCs w:val="22"/>
          <w14:ligatures w14:val="none"/>
        </w:rPr>
        <w:t>. Elsevier.</w:t>
      </w:r>
    </w:p>
    <w:p w14:paraId="3797C39A" w14:textId="77777777" w:rsidR="008A40FA" w:rsidRPr="00085AA0" w:rsidRDefault="008A40FA" w:rsidP="00085AA0">
      <w:pPr>
        <w:pStyle w:val="NormalWeb"/>
        <w:spacing w:before="0" w:beforeAutospacing="0" w:after="0" w:afterAutospacing="0" w:line="360" w:lineRule="auto"/>
        <w:ind w:left="720" w:hanging="720"/>
        <w:rPr>
          <w:rFonts w:asciiTheme="minorBidi" w:hAnsiTheme="minorBidi" w:cstheme="minorBidi"/>
          <w:sz w:val="22"/>
          <w:szCs w:val="22"/>
        </w:rPr>
      </w:pPr>
      <w:r w:rsidRPr="00085AA0">
        <w:rPr>
          <w:rFonts w:asciiTheme="minorBidi" w:hAnsiTheme="minorBidi" w:cstheme="minorBidi"/>
          <w:sz w:val="22"/>
          <w:szCs w:val="22"/>
        </w:rPr>
        <w:t xml:space="preserve">Collin, V., Meiring, S., Noden, S., Barber, S. and Hayhoe, B.W.J. (2025) “Training health and social care professionals in multidisciplinary team working: a document analysis of undergraduate educational requirements,” </w:t>
      </w:r>
      <w:r w:rsidRPr="00085AA0">
        <w:rPr>
          <w:rFonts w:asciiTheme="minorBidi" w:hAnsiTheme="minorBidi" w:cstheme="minorBidi"/>
          <w:i/>
          <w:iCs/>
          <w:sz w:val="22"/>
          <w:szCs w:val="22"/>
        </w:rPr>
        <w:t>Journal of Interprofessional Care</w:t>
      </w:r>
      <w:r w:rsidRPr="00085AA0">
        <w:rPr>
          <w:rFonts w:asciiTheme="minorBidi" w:hAnsiTheme="minorBidi" w:cstheme="minorBidi"/>
          <w:sz w:val="22"/>
          <w:szCs w:val="22"/>
        </w:rPr>
        <w:t xml:space="preserve">, 39(3), pp. 448–458. Available at: </w:t>
      </w:r>
      <w:r w:rsidRPr="00085AA0">
        <w:rPr>
          <w:rStyle w:val="url"/>
          <w:rFonts w:asciiTheme="minorBidi" w:eastAsiaTheme="majorEastAsia" w:hAnsiTheme="minorBidi" w:cstheme="minorBidi"/>
          <w:sz w:val="22"/>
          <w:szCs w:val="22"/>
        </w:rPr>
        <w:t>https://doi.org/10.1080/13561820.2025.2469298</w:t>
      </w:r>
      <w:r w:rsidRPr="00085AA0">
        <w:rPr>
          <w:rFonts w:asciiTheme="minorBidi" w:hAnsiTheme="minorBidi" w:cstheme="minorBidi"/>
          <w:sz w:val="22"/>
          <w:szCs w:val="22"/>
        </w:rPr>
        <w:t>.</w:t>
      </w:r>
    </w:p>
    <w:p w14:paraId="5D51D014" w14:textId="081B0D0D"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t>Care Quality Commission (202</w:t>
      </w:r>
      <w:r w:rsidRPr="00085AA0">
        <w:rPr>
          <w:rFonts w:asciiTheme="minorBidi" w:eastAsia="Times New Roman" w:hAnsiTheme="minorBidi"/>
          <w:kern w:val="0"/>
          <w:sz w:val="22"/>
          <w:szCs w:val="22"/>
          <w14:ligatures w14:val="none"/>
        </w:rPr>
        <w:t>5</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i/>
          <w:iCs/>
          <w:kern w:val="0"/>
          <w:sz w:val="22"/>
          <w:szCs w:val="22"/>
          <w14:ligatures w14:val="none"/>
        </w:rPr>
        <w:t>State of Care 2022/23</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 xml:space="preserve">Available at: </w:t>
      </w:r>
      <w:hyperlink r:id="rId8" w:history="1">
        <w:r w:rsidRPr="00085AA0">
          <w:rPr>
            <w:rStyle w:val="Hyperlink"/>
            <w:rFonts w:asciiTheme="minorBidi" w:eastAsia="Times New Roman" w:hAnsiTheme="minorBidi"/>
            <w:kern w:val="0"/>
            <w:sz w:val="22"/>
            <w:szCs w:val="22"/>
            <w14:ligatures w14:val="none"/>
          </w:rPr>
          <w:t>https://www.cqc.org.uk/publications/major-report/state-care/2022-2023</w:t>
        </w:r>
      </w:hyperlink>
      <w:r w:rsidRPr="00085AA0">
        <w:rPr>
          <w:rFonts w:asciiTheme="minorBidi" w:eastAsia="Times New Roman" w:hAnsiTheme="minorBidi"/>
          <w:kern w:val="0"/>
          <w:sz w:val="22"/>
          <w:szCs w:val="22"/>
          <w14:ligatures w14:val="none"/>
        </w:rPr>
        <w:t xml:space="preserve"> (Accessed: 11 Apr 2026).</w:t>
      </w:r>
    </w:p>
    <w:p w14:paraId="26A88787" w14:textId="359372E9"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t xml:space="preserve">Department of Health and Social Care (2022) </w:t>
      </w:r>
      <w:r w:rsidRPr="008A40FA">
        <w:rPr>
          <w:rFonts w:asciiTheme="minorBidi" w:eastAsia="Times New Roman" w:hAnsiTheme="minorBidi"/>
          <w:i/>
          <w:iCs/>
          <w:kern w:val="0"/>
          <w:sz w:val="22"/>
          <w:szCs w:val="22"/>
          <w14:ligatures w14:val="none"/>
        </w:rPr>
        <w:t>Equality in health and care services</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 xml:space="preserve">Available at: </w:t>
      </w:r>
      <w:hyperlink r:id="rId9" w:history="1">
        <w:r w:rsidRPr="00085AA0">
          <w:rPr>
            <w:rStyle w:val="Hyperlink"/>
            <w:rFonts w:asciiTheme="minorBidi" w:eastAsia="Times New Roman" w:hAnsiTheme="minorBidi"/>
            <w:kern w:val="0"/>
            <w:sz w:val="22"/>
            <w:szCs w:val="22"/>
            <w14:ligatures w14:val="none"/>
          </w:rPr>
          <w:t>https://www.gov.uk/government/publications/dhsc-equality-information-2022/equality-in-2022-how-dhsc-met-the-public-sector-equality-duty</w:t>
        </w:r>
      </w:hyperlink>
      <w:r w:rsidRPr="00085AA0">
        <w:rPr>
          <w:rFonts w:asciiTheme="minorBidi" w:eastAsia="Times New Roman" w:hAnsiTheme="minorBidi"/>
          <w:kern w:val="0"/>
          <w:sz w:val="22"/>
          <w:szCs w:val="22"/>
          <w14:ligatures w14:val="none"/>
        </w:rPr>
        <w:t xml:space="preserve"> (Accessed: 11 Apr 2026).</w:t>
      </w:r>
    </w:p>
    <w:p w14:paraId="2A640DFA" w14:textId="0566AB39"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t xml:space="preserve">Information Commissioner’s Office (ICO) (2023) </w:t>
      </w:r>
      <w:r w:rsidRPr="008A40FA">
        <w:rPr>
          <w:rFonts w:asciiTheme="minorBidi" w:eastAsia="Times New Roman" w:hAnsiTheme="minorBidi"/>
          <w:i/>
          <w:iCs/>
          <w:kern w:val="0"/>
          <w:sz w:val="22"/>
          <w:szCs w:val="22"/>
          <w14:ligatures w14:val="none"/>
        </w:rPr>
        <w:t>Guide to the UK GDPR</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 xml:space="preserve">Available at: </w:t>
      </w:r>
      <w:hyperlink r:id="rId10" w:history="1">
        <w:r w:rsidRPr="00085AA0">
          <w:rPr>
            <w:rStyle w:val="Hyperlink"/>
            <w:rFonts w:asciiTheme="minorBidi" w:eastAsia="Times New Roman" w:hAnsiTheme="minorBidi"/>
            <w:kern w:val="0"/>
            <w:sz w:val="22"/>
            <w:szCs w:val="22"/>
            <w14:ligatures w14:val="none"/>
          </w:rPr>
          <w:t>https://ico.org.uk/for-organisations/uk-gdpr-guidance-and-resources/</w:t>
        </w:r>
      </w:hyperlink>
      <w:r w:rsidRPr="00085AA0">
        <w:rPr>
          <w:rFonts w:asciiTheme="minorBidi" w:eastAsia="Times New Roman" w:hAnsiTheme="minorBidi"/>
          <w:kern w:val="0"/>
          <w:sz w:val="22"/>
          <w:szCs w:val="22"/>
          <w14:ligatures w14:val="none"/>
        </w:rPr>
        <w:t xml:space="preserve"> (Accessed: 11 Apr 2026).</w:t>
      </w:r>
    </w:p>
    <w:p w14:paraId="0DD0FF1E" w14:textId="77777777" w:rsidR="008A40FA" w:rsidRPr="00085AA0" w:rsidRDefault="008A40FA" w:rsidP="00085AA0">
      <w:pPr>
        <w:pStyle w:val="NormalWeb"/>
        <w:spacing w:before="0" w:beforeAutospacing="0" w:after="0" w:afterAutospacing="0" w:line="360" w:lineRule="auto"/>
        <w:ind w:left="720" w:hanging="720"/>
        <w:rPr>
          <w:rFonts w:asciiTheme="minorBidi" w:hAnsiTheme="minorBidi" w:cstheme="minorBidi"/>
          <w:sz w:val="22"/>
          <w:szCs w:val="22"/>
        </w:rPr>
      </w:pPr>
      <w:proofErr w:type="spellStart"/>
      <w:r w:rsidRPr="00085AA0">
        <w:rPr>
          <w:rFonts w:asciiTheme="minorBidi" w:hAnsiTheme="minorBidi" w:cstheme="minorBidi"/>
          <w:sz w:val="22"/>
          <w:szCs w:val="22"/>
        </w:rPr>
        <w:t>Kaihlanen</w:t>
      </w:r>
      <w:proofErr w:type="spellEnd"/>
      <w:r w:rsidRPr="00085AA0">
        <w:rPr>
          <w:rFonts w:asciiTheme="minorBidi" w:hAnsiTheme="minorBidi" w:cstheme="minorBidi"/>
          <w:sz w:val="22"/>
          <w:szCs w:val="22"/>
        </w:rPr>
        <w:t xml:space="preserve">, A.-M., </w:t>
      </w:r>
      <w:proofErr w:type="spellStart"/>
      <w:r w:rsidRPr="00085AA0">
        <w:rPr>
          <w:rFonts w:asciiTheme="minorBidi" w:hAnsiTheme="minorBidi" w:cstheme="minorBidi"/>
          <w:sz w:val="22"/>
          <w:szCs w:val="22"/>
        </w:rPr>
        <w:t>Hietapakka</w:t>
      </w:r>
      <w:proofErr w:type="spellEnd"/>
      <w:r w:rsidRPr="00085AA0">
        <w:rPr>
          <w:rFonts w:asciiTheme="minorBidi" w:hAnsiTheme="minorBidi" w:cstheme="minorBidi"/>
          <w:sz w:val="22"/>
          <w:szCs w:val="22"/>
        </w:rPr>
        <w:t xml:space="preserve">, L. and </w:t>
      </w:r>
      <w:proofErr w:type="spellStart"/>
      <w:r w:rsidRPr="00085AA0">
        <w:rPr>
          <w:rFonts w:asciiTheme="minorBidi" w:hAnsiTheme="minorBidi" w:cstheme="minorBidi"/>
          <w:sz w:val="22"/>
          <w:szCs w:val="22"/>
        </w:rPr>
        <w:t>Heponiemi</w:t>
      </w:r>
      <w:proofErr w:type="spellEnd"/>
      <w:r w:rsidRPr="00085AA0">
        <w:rPr>
          <w:rFonts w:asciiTheme="minorBidi" w:hAnsiTheme="minorBidi" w:cstheme="minorBidi"/>
          <w:sz w:val="22"/>
          <w:szCs w:val="22"/>
        </w:rPr>
        <w:t xml:space="preserve">, T. (2019) “Increasing cultural awareness: qualitative study of nurses’ perceptions about cultural competence training,” </w:t>
      </w:r>
      <w:r w:rsidRPr="00085AA0">
        <w:rPr>
          <w:rFonts w:asciiTheme="minorBidi" w:hAnsiTheme="minorBidi" w:cstheme="minorBidi"/>
          <w:i/>
          <w:iCs/>
          <w:sz w:val="22"/>
          <w:szCs w:val="22"/>
        </w:rPr>
        <w:t>BMC Nursing</w:t>
      </w:r>
      <w:r w:rsidRPr="00085AA0">
        <w:rPr>
          <w:rFonts w:asciiTheme="minorBidi" w:hAnsiTheme="minorBidi" w:cstheme="minorBidi"/>
          <w:sz w:val="22"/>
          <w:szCs w:val="22"/>
        </w:rPr>
        <w:t xml:space="preserve">, 18(1), p. 38. Available at: </w:t>
      </w:r>
      <w:r w:rsidRPr="00085AA0">
        <w:rPr>
          <w:rStyle w:val="url"/>
          <w:rFonts w:asciiTheme="minorBidi" w:eastAsiaTheme="majorEastAsia" w:hAnsiTheme="minorBidi" w:cstheme="minorBidi"/>
          <w:sz w:val="22"/>
          <w:szCs w:val="22"/>
        </w:rPr>
        <w:t>https://doi.org/10.1186/s12912-019-0363-x</w:t>
      </w:r>
      <w:r w:rsidRPr="00085AA0">
        <w:rPr>
          <w:rFonts w:asciiTheme="minorBidi" w:hAnsiTheme="minorBidi" w:cstheme="minorBidi"/>
          <w:sz w:val="22"/>
          <w:szCs w:val="22"/>
        </w:rPr>
        <w:t>.</w:t>
      </w:r>
    </w:p>
    <w:p w14:paraId="71FD3303" w14:textId="0CEB418B"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t xml:space="preserve">NHS Digital (2022) </w:t>
      </w:r>
      <w:r w:rsidRPr="008A40FA">
        <w:rPr>
          <w:rFonts w:asciiTheme="minorBidi" w:eastAsia="Times New Roman" w:hAnsiTheme="minorBidi"/>
          <w:i/>
          <w:iCs/>
          <w:kern w:val="0"/>
          <w:sz w:val="22"/>
          <w:szCs w:val="22"/>
          <w14:ligatures w14:val="none"/>
        </w:rPr>
        <w:t>Records management code of practice for health and social care</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 xml:space="preserve">Available at: </w:t>
      </w:r>
      <w:hyperlink r:id="rId11" w:history="1">
        <w:r w:rsidR="00085AA0" w:rsidRPr="00085AA0">
          <w:rPr>
            <w:rStyle w:val="Hyperlink"/>
            <w:rFonts w:asciiTheme="minorBidi" w:eastAsia="Times New Roman" w:hAnsiTheme="minorBidi"/>
            <w:kern w:val="0"/>
            <w:sz w:val="22"/>
            <w:szCs w:val="22"/>
            <w14:ligatures w14:val="none"/>
          </w:rPr>
          <w:t>https://www.gov.wales/sites/default/files/publications/2022-03/records-management-code-of-practice-for-health-and-social-care-2022.pdf</w:t>
        </w:r>
      </w:hyperlink>
      <w:r w:rsidR="00085AA0" w:rsidRPr="00085AA0">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(Accessed: 11 Apr 2026).</w:t>
      </w:r>
    </w:p>
    <w:p w14:paraId="199AFA98" w14:textId="35D1E671"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t xml:space="preserve">NHS England (2023) </w:t>
      </w:r>
      <w:r w:rsidRPr="008A40FA">
        <w:rPr>
          <w:rFonts w:asciiTheme="minorBidi" w:eastAsia="Times New Roman" w:hAnsiTheme="minorBidi"/>
          <w:i/>
          <w:iCs/>
          <w:kern w:val="0"/>
          <w:sz w:val="22"/>
          <w:szCs w:val="22"/>
          <w14:ligatures w14:val="none"/>
        </w:rPr>
        <w:t>Integrated care systems: design framework</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 xml:space="preserve">Available at: </w:t>
      </w:r>
      <w:hyperlink r:id="rId12" w:history="1">
        <w:r w:rsidR="00085AA0" w:rsidRPr="00085AA0">
          <w:rPr>
            <w:rStyle w:val="Hyperlink"/>
            <w:rFonts w:asciiTheme="minorBidi" w:eastAsia="Times New Roman" w:hAnsiTheme="minorBidi"/>
            <w:kern w:val="0"/>
            <w:sz w:val="22"/>
            <w:szCs w:val="22"/>
            <w14:ligatures w14:val="none"/>
          </w:rPr>
          <w:t>https://www.england.nhs.uk/wp-content/uploads/2021/06/B0642-ics-design-framework-june-2021.pdf</w:t>
        </w:r>
      </w:hyperlink>
      <w:r w:rsidR="00085AA0" w:rsidRPr="00085AA0">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(Accessed: 11 Apr 2026).</w:t>
      </w:r>
    </w:p>
    <w:p w14:paraId="2CB82B2E" w14:textId="474B6269" w:rsidR="00085AA0" w:rsidRPr="00085AA0" w:rsidRDefault="00085AA0" w:rsidP="00085AA0">
      <w:pPr>
        <w:pStyle w:val="NormalWeb"/>
        <w:spacing w:before="0" w:beforeAutospacing="0" w:after="0" w:afterAutospacing="0" w:line="360" w:lineRule="auto"/>
        <w:ind w:left="720" w:hanging="720"/>
        <w:rPr>
          <w:rFonts w:asciiTheme="minorBidi" w:hAnsiTheme="minorBidi" w:cstheme="minorBidi"/>
          <w:sz w:val="22"/>
          <w:szCs w:val="22"/>
        </w:rPr>
      </w:pPr>
      <w:r w:rsidRPr="00085AA0">
        <w:rPr>
          <w:rFonts w:asciiTheme="minorBidi" w:hAnsiTheme="minorBidi" w:cstheme="minorBidi"/>
          <w:sz w:val="22"/>
          <w:szCs w:val="22"/>
        </w:rPr>
        <w:t xml:space="preserve">Parra, D.A., Gladkikh, M. and Jones, L.M. (2023) “Factors influencing teamwork in healthcare applicable to interventional and diagnostic radiology,” </w:t>
      </w:r>
      <w:r w:rsidRPr="00085AA0">
        <w:rPr>
          <w:rFonts w:asciiTheme="minorBidi" w:hAnsiTheme="minorBidi" w:cstheme="minorBidi"/>
          <w:i/>
          <w:iCs/>
          <w:sz w:val="22"/>
          <w:szCs w:val="22"/>
        </w:rPr>
        <w:t>Clinical Radiology</w:t>
      </w:r>
      <w:r w:rsidRPr="00085AA0">
        <w:rPr>
          <w:rFonts w:asciiTheme="minorBidi" w:hAnsiTheme="minorBidi" w:cstheme="minorBidi"/>
          <w:sz w:val="22"/>
          <w:szCs w:val="22"/>
        </w:rPr>
        <w:t xml:space="preserve">, 78(12), pp. 897–903. Available at: </w:t>
      </w:r>
      <w:hyperlink r:id="rId13" w:history="1">
        <w:r w:rsidRPr="00085AA0">
          <w:rPr>
            <w:rStyle w:val="Hyperlink"/>
            <w:rFonts w:asciiTheme="minorBidi" w:eastAsiaTheme="majorEastAsia" w:hAnsiTheme="minorBidi" w:cstheme="minorBidi"/>
            <w:sz w:val="22"/>
            <w:szCs w:val="22"/>
          </w:rPr>
          <w:t>https://doi.org/10.1016/j.crad.2023.09.011</w:t>
        </w:r>
      </w:hyperlink>
      <w:r w:rsidRPr="00085AA0">
        <w:rPr>
          <w:rFonts w:asciiTheme="minorBidi" w:hAnsiTheme="minorBidi" w:cstheme="minorBidi"/>
          <w:sz w:val="22"/>
          <w:szCs w:val="22"/>
        </w:rPr>
        <w:t>.</w:t>
      </w:r>
    </w:p>
    <w:p w14:paraId="495DF832" w14:textId="5511F385" w:rsidR="008A40FA" w:rsidRPr="008A40FA" w:rsidRDefault="008A40FA" w:rsidP="00085AA0">
      <w:pPr>
        <w:pStyle w:val="NormalWeb"/>
        <w:spacing w:before="0" w:beforeAutospacing="0" w:after="0" w:afterAutospacing="0" w:line="360" w:lineRule="auto"/>
        <w:ind w:left="720" w:hanging="720"/>
        <w:rPr>
          <w:rFonts w:asciiTheme="minorBidi" w:hAnsiTheme="minorBidi" w:cstheme="minorBidi"/>
          <w:sz w:val="22"/>
          <w:szCs w:val="22"/>
        </w:rPr>
      </w:pPr>
      <w:r w:rsidRPr="008A40FA">
        <w:rPr>
          <w:rFonts w:asciiTheme="minorBidi" w:hAnsiTheme="minorBidi" w:cstheme="minorBidi"/>
          <w:sz w:val="22"/>
          <w:szCs w:val="22"/>
        </w:rPr>
        <w:t xml:space="preserve">Reeves, S. et al. (2022) </w:t>
      </w:r>
      <w:r w:rsidRPr="008A40FA">
        <w:rPr>
          <w:rFonts w:asciiTheme="minorBidi" w:hAnsiTheme="minorBidi" w:cstheme="minorBidi"/>
          <w:i/>
          <w:iCs/>
          <w:sz w:val="22"/>
          <w:szCs w:val="22"/>
        </w:rPr>
        <w:t>Interprofessional teamwork for health and social care</w:t>
      </w:r>
      <w:r w:rsidRPr="008A40FA">
        <w:rPr>
          <w:rFonts w:asciiTheme="minorBidi" w:hAnsiTheme="minorBidi" w:cstheme="minorBidi"/>
          <w:sz w:val="22"/>
          <w:szCs w:val="22"/>
        </w:rPr>
        <w:t xml:space="preserve">. 2nd </w:t>
      </w:r>
      <w:proofErr w:type="spellStart"/>
      <w:r w:rsidRPr="008A40FA">
        <w:rPr>
          <w:rFonts w:asciiTheme="minorBidi" w:hAnsiTheme="minorBidi" w:cstheme="minorBidi"/>
          <w:sz w:val="22"/>
          <w:szCs w:val="22"/>
        </w:rPr>
        <w:t>edn</w:t>
      </w:r>
      <w:proofErr w:type="spellEnd"/>
      <w:r w:rsidRPr="008A40FA">
        <w:rPr>
          <w:rFonts w:asciiTheme="minorBidi" w:hAnsiTheme="minorBidi" w:cstheme="minorBidi"/>
          <w:sz w:val="22"/>
          <w:szCs w:val="22"/>
        </w:rPr>
        <w:t>. Wiley-Blackwell.</w:t>
      </w:r>
    </w:p>
    <w:p w14:paraId="05A11D1B" w14:textId="77777777" w:rsidR="00085AA0" w:rsidRPr="00085AA0" w:rsidRDefault="00085AA0" w:rsidP="00085AA0">
      <w:pPr>
        <w:pStyle w:val="NormalWeb"/>
        <w:spacing w:before="0" w:beforeAutospacing="0" w:after="0" w:afterAutospacing="0" w:line="360" w:lineRule="auto"/>
        <w:ind w:left="720" w:hanging="720"/>
        <w:rPr>
          <w:rFonts w:asciiTheme="minorBidi" w:hAnsiTheme="minorBidi" w:cstheme="minorBidi"/>
          <w:sz w:val="22"/>
          <w:szCs w:val="22"/>
        </w:rPr>
      </w:pPr>
      <w:proofErr w:type="spellStart"/>
      <w:r w:rsidRPr="00085AA0">
        <w:rPr>
          <w:rFonts w:asciiTheme="minorBidi" w:hAnsiTheme="minorBidi" w:cstheme="minorBidi"/>
          <w:sz w:val="22"/>
          <w:szCs w:val="22"/>
        </w:rPr>
        <w:t>Tubaishat</w:t>
      </w:r>
      <w:proofErr w:type="spellEnd"/>
      <w:r w:rsidRPr="00085AA0">
        <w:rPr>
          <w:rFonts w:asciiTheme="minorBidi" w:hAnsiTheme="minorBidi" w:cstheme="minorBidi"/>
          <w:sz w:val="22"/>
          <w:szCs w:val="22"/>
        </w:rPr>
        <w:t xml:space="preserve">, A. (2017) “The effect of electronic health records on patient safety: A qualitative exploratory study,” </w:t>
      </w:r>
      <w:r w:rsidRPr="00085AA0">
        <w:rPr>
          <w:rFonts w:asciiTheme="minorBidi" w:hAnsiTheme="minorBidi" w:cstheme="minorBidi"/>
          <w:i/>
          <w:iCs/>
          <w:sz w:val="22"/>
          <w:szCs w:val="22"/>
        </w:rPr>
        <w:t>Informatics for Health and Social Care</w:t>
      </w:r>
      <w:r w:rsidRPr="00085AA0">
        <w:rPr>
          <w:rFonts w:asciiTheme="minorBidi" w:hAnsiTheme="minorBidi" w:cstheme="minorBidi"/>
          <w:sz w:val="22"/>
          <w:szCs w:val="22"/>
        </w:rPr>
        <w:t xml:space="preserve">, 44(1), pp. 79–91. Available at: </w:t>
      </w:r>
      <w:r w:rsidRPr="00085AA0">
        <w:rPr>
          <w:rStyle w:val="url"/>
          <w:rFonts w:asciiTheme="minorBidi" w:eastAsiaTheme="majorEastAsia" w:hAnsiTheme="minorBidi" w:cstheme="minorBidi"/>
          <w:sz w:val="22"/>
          <w:szCs w:val="22"/>
        </w:rPr>
        <w:t>https://doi.org/10.1080/17538157.2017.1398753</w:t>
      </w:r>
      <w:r w:rsidRPr="00085AA0">
        <w:rPr>
          <w:rFonts w:asciiTheme="minorBidi" w:hAnsiTheme="minorBidi" w:cstheme="minorBidi"/>
          <w:sz w:val="22"/>
          <w:szCs w:val="22"/>
        </w:rPr>
        <w:t>.</w:t>
      </w:r>
    </w:p>
    <w:p w14:paraId="773E809B" w14:textId="0911177B" w:rsidR="008A40FA" w:rsidRPr="008A40FA" w:rsidRDefault="008A40FA" w:rsidP="00085AA0">
      <w:pPr>
        <w:spacing w:after="0" w:line="360" w:lineRule="auto"/>
        <w:ind w:left="720" w:hanging="720"/>
        <w:rPr>
          <w:rFonts w:asciiTheme="minorBidi" w:eastAsia="Times New Roman" w:hAnsiTheme="minorBidi"/>
          <w:kern w:val="0"/>
          <w:sz w:val="22"/>
          <w:szCs w:val="22"/>
          <w14:ligatures w14:val="none"/>
        </w:rPr>
      </w:pPr>
      <w:r w:rsidRPr="008A40FA">
        <w:rPr>
          <w:rFonts w:asciiTheme="minorBidi" w:eastAsia="Times New Roman" w:hAnsiTheme="minorBidi"/>
          <w:kern w:val="0"/>
          <w:sz w:val="22"/>
          <w:szCs w:val="22"/>
          <w14:ligatures w14:val="none"/>
        </w:rPr>
        <w:lastRenderedPageBreak/>
        <w:t xml:space="preserve">World Health </w:t>
      </w:r>
      <w:proofErr w:type="spellStart"/>
      <w:r w:rsidRPr="008A40FA">
        <w:rPr>
          <w:rFonts w:asciiTheme="minorBidi" w:eastAsia="Times New Roman" w:hAnsiTheme="minorBidi"/>
          <w:kern w:val="0"/>
          <w:sz w:val="22"/>
          <w:szCs w:val="22"/>
          <w14:ligatures w14:val="none"/>
        </w:rPr>
        <w:t>Organ</w:t>
      </w:r>
      <w:r w:rsidR="00085AA0">
        <w:rPr>
          <w:rFonts w:asciiTheme="minorBidi" w:eastAsia="Times New Roman" w:hAnsiTheme="minorBidi"/>
          <w:kern w:val="0"/>
          <w:sz w:val="22"/>
          <w:szCs w:val="22"/>
          <w14:ligatures w14:val="none"/>
        </w:rPr>
        <w:t>is</w:t>
      </w:r>
      <w:r w:rsidRPr="008A40FA">
        <w:rPr>
          <w:rFonts w:asciiTheme="minorBidi" w:eastAsia="Times New Roman" w:hAnsiTheme="minorBidi"/>
          <w:kern w:val="0"/>
          <w:sz w:val="22"/>
          <w:szCs w:val="22"/>
          <w14:ligatures w14:val="none"/>
        </w:rPr>
        <w:t>ation</w:t>
      </w:r>
      <w:proofErr w:type="spellEnd"/>
      <w:r w:rsidRPr="008A40FA">
        <w:rPr>
          <w:rFonts w:asciiTheme="minorBidi" w:eastAsia="Times New Roman" w:hAnsiTheme="minorBidi"/>
          <w:kern w:val="0"/>
          <w:sz w:val="22"/>
          <w:szCs w:val="22"/>
          <w14:ligatures w14:val="none"/>
        </w:rPr>
        <w:t xml:space="preserve"> (WHO) (2021) </w:t>
      </w:r>
      <w:r w:rsidRPr="008A40FA">
        <w:rPr>
          <w:rFonts w:asciiTheme="minorBidi" w:eastAsia="Times New Roman" w:hAnsiTheme="minorBidi"/>
          <w:i/>
          <w:iCs/>
          <w:kern w:val="0"/>
          <w:sz w:val="22"/>
          <w:szCs w:val="22"/>
          <w14:ligatures w14:val="none"/>
        </w:rPr>
        <w:t>Patient safety and quality improvement</w:t>
      </w:r>
      <w:r w:rsidRPr="008A40FA">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 xml:space="preserve">Available at: </w:t>
      </w:r>
      <w:hyperlink r:id="rId14" w:history="1">
        <w:r w:rsidR="00085AA0" w:rsidRPr="00085AA0">
          <w:rPr>
            <w:rStyle w:val="Hyperlink"/>
            <w:rFonts w:asciiTheme="minorBidi" w:eastAsia="Times New Roman" w:hAnsiTheme="minorBidi"/>
            <w:kern w:val="0"/>
            <w:sz w:val="22"/>
            <w:szCs w:val="22"/>
            <w14:ligatures w14:val="none"/>
          </w:rPr>
          <w:t>https://www.who.int/teams/integrated-health-services/patient-safety/policy/global-patient-safety-action-plan</w:t>
        </w:r>
      </w:hyperlink>
      <w:r w:rsidR="00085AA0" w:rsidRPr="00085AA0">
        <w:rPr>
          <w:rFonts w:asciiTheme="minorBidi" w:eastAsia="Times New Roman" w:hAnsiTheme="minorBidi"/>
          <w:kern w:val="0"/>
          <w:sz w:val="22"/>
          <w:szCs w:val="22"/>
          <w14:ligatures w14:val="none"/>
        </w:rPr>
        <w:t xml:space="preserve"> </w:t>
      </w:r>
      <w:r w:rsidRPr="00085AA0">
        <w:rPr>
          <w:rFonts w:asciiTheme="minorBidi" w:eastAsia="Times New Roman" w:hAnsiTheme="minorBidi"/>
          <w:kern w:val="0"/>
          <w:sz w:val="22"/>
          <w:szCs w:val="22"/>
          <w14:ligatures w14:val="none"/>
        </w:rPr>
        <w:t>(Accessed: 11 Apr 2026).</w:t>
      </w:r>
    </w:p>
    <w:p w14:paraId="291640D4" w14:textId="77777777" w:rsidR="008A40FA" w:rsidRPr="00085AA0" w:rsidRDefault="008A40FA" w:rsidP="00085AA0">
      <w:pPr>
        <w:pStyle w:val="NormalWeb"/>
        <w:spacing w:before="0" w:beforeAutospacing="0" w:after="0" w:afterAutospacing="0" w:line="360" w:lineRule="auto"/>
        <w:ind w:left="720" w:hanging="720"/>
        <w:rPr>
          <w:rFonts w:asciiTheme="minorBidi" w:hAnsiTheme="minorBidi" w:cstheme="minorBidi"/>
          <w:sz w:val="22"/>
          <w:szCs w:val="22"/>
        </w:rPr>
      </w:pPr>
      <w:r w:rsidRPr="00085AA0">
        <w:rPr>
          <w:rFonts w:asciiTheme="minorBidi" w:hAnsiTheme="minorBidi" w:cstheme="minorBidi"/>
          <w:sz w:val="22"/>
          <w:szCs w:val="22"/>
        </w:rPr>
        <w:t xml:space="preserve">Yeung, J.W.Y., Ho, K.H.M., Cheung, J., Tsang, J.T.Y. and Chong, D.K.Y. (2025) “Artificial intelligence-based technology in communication training in nursing education: A scoping review,” </w:t>
      </w:r>
      <w:r w:rsidRPr="00085AA0">
        <w:rPr>
          <w:rFonts w:asciiTheme="minorBidi" w:hAnsiTheme="minorBidi" w:cstheme="minorBidi"/>
          <w:i/>
          <w:iCs/>
          <w:sz w:val="22"/>
          <w:szCs w:val="22"/>
        </w:rPr>
        <w:t>Journal of Professional Nursing</w:t>
      </w:r>
      <w:r w:rsidRPr="00085AA0">
        <w:rPr>
          <w:rFonts w:asciiTheme="minorBidi" w:hAnsiTheme="minorBidi" w:cstheme="minorBidi"/>
          <w:sz w:val="22"/>
          <w:szCs w:val="22"/>
        </w:rPr>
        <w:t xml:space="preserve">, 59, pp. 40–50. Available at: </w:t>
      </w:r>
      <w:r w:rsidRPr="00085AA0">
        <w:rPr>
          <w:rStyle w:val="url"/>
          <w:rFonts w:asciiTheme="minorBidi" w:eastAsiaTheme="majorEastAsia" w:hAnsiTheme="minorBidi" w:cstheme="minorBidi"/>
          <w:sz w:val="22"/>
          <w:szCs w:val="22"/>
        </w:rPr>
        <w:t>https://doi.org/10.1016/j.profnurs.2025.04.011</w:t>
      </w:r>
      <w:r w:rsidRPr="00085AA0">
        <w:rPr>
          <w:rFonts w:asciiTheme="minorBidi" w:hAnsiTheme="minorBidi" w:cstheme="minorBidi"/>
          <w:sz w:val="22"/>
          <w:szCs w:val="22"/>
        </w:rPr>
        <w:t>.</w:t>
      </w:r>
    </w:p>
    <w:p w14:paraId="31800173" w14:textId="77777777" w:rsidR="00F64E5D" w:rsidRPr="00085AA0" w:rsidRDefault="00F64E5D" w:rsidP="00085AA0">
      <w:pPr>
        <w:spacing w:after="0" w:line="360" w:lineRule="auto"/>
        <w:rPr>
          <w:rFonts w:asciiTheme="minorBidi" w:hAnsiTheme="minorBidi"/>
          <w:sz w:val="22"/>
          <w:szCs w:val="22"/>
        </w:rPr>
      </w:pPr>
    </w:p>
    <w:sectPr w:rsidR="00F64E5D" w:rsidRPr="00085AA0">
      <w:footerReference w:type="even"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D2F6E" w14:textId="77777777" w:rsidR="00EF3173" w:rsidRDefault="00EF3173" w:rsidP="00A30E83">
      <w:pPr>
        <w:spacing w:after="0" w:line="240" w:lineRule="auto"/>
      </w:pPr>
      <w:r>
        <w:separator/>
      </w:r>
    </w:p>
  </w:endnote>
  <w:endnote w:type="continuationSeparator" w:id="0">
    <w:p w14:paraId="4C8B409D" w14:textId="77777777" w:rsidR="00EF3173" w:rsidRDefault="00EF3173" w:rsidP="00A30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57612257"/>
      <w:docPartObj>
        <w:docPartGallery w:val="Page Numbers (Bottom of Page)"/>
        <w:docPartUnique/>
      </w:docPartObj>
    </w:sdtPr>
    <w:sdtContent>
      <w:p w14:paraId="468FCC0E" w14:textId="6B7DBDB3" w:rsidR="00A30E83" w:rsidRDefault="00A30E83" w:rsidP="005A70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16CD0B8" w14:textId="77777777" w:rsidR="00A30E83" w:rsidRDefault="00A30E83" w:rsidP="00A30E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6135495"/>
      <w:docPartObj>
        <w:docPartGallery w:val="Page Numbers (Bottom of Page)"/>
        <w:docPartUnique/>
      </w:docPartObj>
    </w:sdtPr>
    <w:sdtContent>
      <w:p w14:paraId="5CE2E3E5" w14:textId="5A8B93A3" w:rsidR="00A30E83" w:rsidRDefault="00A30E83" w:rsidP="005A70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B2D003" w14:textId="77777777" w:rsidR="00A30E83" w:rsidRDefault="00A30E83" w:rsidP="00A30E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EDCDD" w14:textId="77777777" w:rsidR="00EF3173" w:rsidRDefault="00EF3173" w:rsidP="00A30E83">
      <w:pPr>
        <w:spacing w:after="0" w:line="240" w:lineRule="auto"/>
      </w:pPr>
      <w:r>
        <w:separator/>
      </w:r>
    </w:p>
  </w:footnote>
  <w:footnote w:type="continuationSeparator" w:id="0">
    <w:p w14:paraId="0603079A" w14:textId="77777777" w:rsidR="00EF3173" w:rsidRDefault="00EF3173" w:rsidP="00A30E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0FA"/>
    <w:rsid w:val="00065C17"/>
    <w:rsid w:val="00081761"/>
    <w:rsid w:val="000826F1"/>
    <w:rsid w:val="00085AA0"/>
    <w:rsid w:val="00102D98"/>
    <w:rsid w:val="0018568C"/>
    <w:rsid w:val="001D57F2"/>
    <w:rsid w:val="00305952"/>
    <w:rsid w:val="0045415B"/>
    <w:rsid w:val="004A38E5"/>
    <w:rsid w:val="005431E1"/>
    <w:rsid w:val="005B6387"/>
    <w:rsid w:val="006B6BB5"/>
    <w:rsid w:val="006F0E61"/>
    <w:rsid w:val="008A40FA"/>
    <w:rsid w:val="008E2B3E"/>
    <w:rsid w:val="009759CF"/>
    <w:rsid w:val="009A56B9"/>
    <w:rsid w:val="009E1A3F"/>
    <w:rsid w:val="00A30E83"/>
    <w:rsid w:val="00A4314B"/>
    <w:rsid w:val="00B67E41"/>
    <w:rsid w:val="00B80389"/>
    <w:rsid w:val="00BD4FE5"/>
    <w:rsid w:val="00C07639"/>
    <w:rsid w:val="00CB6B97"/>
    <w:rsid w:val="00D2579B"/>
    <w:rsid w:val="00DB410D"/>
    <w:rsid w:val="00E753EF"/>
    <w:rsid w:val="00EF3173"/>
    <w:rsid w:val="00F64E5D"/>
    <w:rsid w:val="00FA414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A9950"/>
  <w15:chartTrackingRefBased/>
  <w15:docId w15:val="{B1F0C798-A60A-604C-999E-91DE0A5DD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0F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A40F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40F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40F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40F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40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0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0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0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0F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A40F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40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40F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40F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40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0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0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0FA"/>
    <w:rPr>
      <w:rFonts w:eastAsiaTheme="majorEastAsia" w:cstheme="majorBidi"/>
      <w:color w:val="272727" w:themeColor="text1" w:themeTint="D8"/>
    </w:rPr>
  </w:style>
  <w:style w:type="paragraph" w:styleId="Title">
    <w:name w:val="Title"/>
    <w:basedOn w:val="Normal"/>
    <w:next w:val="Normal"/>
    <w:link w:val="TitleChar"/>
    <w:uiPriority w:val="10"/>
    <w:qFormat/>
    <w:rsid w:val="008A40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0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0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0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0FA"/>
    <w:pPr>
      <w:spacing w:before="160"/>
      <w:jc w:val="center"/>
    </w:pPr>
    <w:rPr>
      <w:i/>
      <w:iCs/>
      <w:color w:val="404040" w:themeColor="text1" w:themeTint="BF"/>
    </w:rPr>
  </w:style>
  <w:style w:type="character" w:customStyle="1" w:styleId="QuoteChar">
    <w:name w:val="Quote Char"/>
    <w:basedOn w:val="DefaultParagraphFont"/>
    <w:link w:val="Quote"/>
    <w:uiPriority w:val="29"/>
    <w:rsid w:val="008A40FA"/>
    <w:rPr>
      <w:i/>
      <w:iCs/>
      <w:color w:val="404040" w:themeColor="text1" w:themeTint="BF"/>
    </w:rPr>
  </w:style>
  <w:style w:type="paragraph" w:styleId="ListParagraph">
    <w:name w:val="List Paragraph"/>
    <w:basedOn w:val="Normal"/>
    <w:uiPriority w:val="34"/>
    <w:qFormat/>
    <w:rsid w:val="008A40FA"/>
    <w:pPr>
      <w:ind w:left="720"/>
      <w:contextualSpacing/>
    </w:pPr>
  </w:style>
  <w:style w:type="character" w:styleId="IntenseEmphasis">
    <w:name w:val="Intense Emphasis"/>
    <w:basedOn w:val="DefaultParagraphFont"/>
    <w:uiPriority w:val="21"/>
    <w:qFormat/>
    <w:rsid w:val="008A40FA"/>
    <w:rPr>
      <w:i/>
      <w:iCs/>
      <w:color w:val="2F5496" w:themeColor="accent1" w:themeShade="BF"/>
    </w:rPr>
  </w:style>
  <w:style w:type="paragraph" w:styleId="IntenseQuote">
    <w:name w:val="Intense Quote"/>
    <w:basedOn w:val="Normal"/>
    <w:next w:val="Normal"/>
    <w:link w:val="IntenseQuoteChar"/>
    <w:uiPriority w:val="30"/>
    <w:qFormat/>
    <w:rsid w:val="008A40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40FA"/>
    <w:rPr>
      <w:i/>
      <w:iCs/>
      <w:color w:val="2F5496" w:themeColor="accent1" w:themeShade="BF"/>
    </w:rPr>
  </w:style>
  <w:style w:type="character" w:styleId="IntenseReference">
    <w:name w:val="Intense Reference"/>
    <w:basedOn w:val="DefaultParagraphFont"/>
    <w:uiPriority w:val="32"/>
    <w:qFormat/>
    <w:rsid w:val="008A40FA"/>
    <w:rPr>
      <w:b/>
      <w:bCs/>
      <w:smallCaps/>
      <w:color w:val="2F5496" w:themeColor="accent1" w:themeShade="BF"/>
      <w:spacing w:val="5"/>
    </w:rPr>
  </w:style>
  <w:style w:type="character" w:styleId="Strong">
    <w:name w:val="Strong"/>
    <w:basedOn w:val="DefaultParagraphFont"/>
    <w:uiPriority w:val="22"/>
    <w:qFormat/>
    <w:rsid w:val="008A40FA"/>
    <w:rPr>
      <w:b/>
      <w:bCs/>
    </w:rPr>
  </w:style>
  <w:style w:type="paragraph" w:styleId="NormalWeb">
    <w:name w:val="Normal (Web)"/>
    <w:basedOn w:val="Normal"/>
    <w:uiPriority w:val="99"/>
    <w:unhideWhenUsed/>
    <w:rsid w:val="008A40F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8A40FA"/>
    <w:rPr>
      <w:i/>
      <w:iCs/>
    </w:rPr>
  </w:style>
  <w:style w:type="character" w:styleId="Hyperlink">
    <w:name w:val="Hyperlink"/>
    <w:basedOn w:val="DefaultParagraphFont"/>
    <w:uiPriority w:val="99"/>
    <w:unhideWhenUsed/>
    <w:rsid w:val="008A40FA"/>
    <w:rPr>
      <w:color w:val="0000FF"/>
      <w:u w:val="single"/>
    </w:rPr>
  </w:style>
  <w:style w:type="character" w:styleId="UnresolvedMention">
    <w:name w:val="Unresolved Mention"/>
    <w:basedOn w:val="DefaultParagraphFont"/>
    <w:uiPriority w:val="99"/>
    <w:semiHidden/>
    <w:unhideWhenUsed/>
    <w:rsid w:val="008A40FA"/>
    <w:rPr>
      <w:color w:val="605E5C"/>
      <w:shd w:val="clear" w:color="auto" w:fill="E1DFDD"/>
    </w:rPr>
  </w:style>
  <w:style w:type="character" w:customStyle="1" w:styleId="url">
    <w:name w:val="url"/>
    <w:basedOn w:val="DefaultParagraphFont"/>
    <w:rsid w:val="008A40FA"/>
  </w:style>
  <w:style w:type="character" w:styleId="CommentReference">
    <w:name w:val="annotation reference"/>
    <w:basedOn w:val="DefaultParagraphFont"/>
    <w:uiPriority w:val="99"/>
    <w:semiHidden/>
    <w:unhideWhenUsed/>
    <w:rsid w:val="00065C17"/>
    <w:rPr>
      <w:sz w:val="16"/>
      <w:szCs w:val="16"/>
    </w:rPr>
  </w:style>
  <w:style w:type="paragraph" w:styleId="CommentText">
    <w:name w:val="annotation text"/>
    <w:basedOn w:val="Normal"/>
    <w:link w:val="CommentTextChar"/>
    <w:uiPriority w:val="99"/>
    <w:unhideWhenUsed/>
    <w:rsid w:val="00065C17"/>
    <w:pPr>
      <w:spacing w:line="240" w:lineRule="auto"/>
    </w:pPr>
    <w:rPr>
      <w:sz w:val="20"/>
      <w:szCs w:val="20"/>
    </w:rPr>
  </w:style>
  <w:style w:type="character" w:customStyle="1" w:styleId="CommentTextChar">
    <w:name w:val="Comment Text Char"/>
    <w:basedOn w:val="DefaultParagraphFont"/>
    <w:link w:val="CommentText"/>
    <w:uiPriority w:val="99"/>
    <w:rsid w:val="00065C17"/>
    <w:rPr>
      <w:sz w:val="20"/>
      <w:szCs w:val="20"/>
    </w:rPr>
  </w:style>
  <w:style w:type="paragraph" w:styleId="CommentSubject">
    <w:name w:val="annotation subject"/>
    <w:basedOn w:val="CommentText"/>
    <w:next w:val="CommentText"/>
    <w:link w:val="CommentSubjectChar"/>
    <w:uiPriority w:val="99"/>
    <w:semiHidden/>
    <w:unhideWhenUsed/>
    <w:rsid w:val="00065C17"/>
    <w:rPr>
      <w:b/>
      <w:bCs/>
    </w:rPr>
  </w:style>
  <w:style w:type="character" w:customStyle="1" w:styleId="CommentSubjectChar">
    <w:name w:val="Comment Subject Char"/>
    <w:basedOn w:val="CommentTextChar"/>
    <w:link w:val="CommentSubject"/>
    <w:uiPriority w:val="99"/>
    <w:semiHidden/>
    <w:rsid w:val="00065C17"/>
    <w:rPr>
      <w:b/>
      <w:bCs/>
      <w:sz w:val="20"/>
      <w:szCs w:val="20"/>
    </w:rPr>
  </w:style>
  <w:style w:type="paragraph" w:styleId="Footer">
    <w:name w:val="footer"/>
    <w:basedOn w:val="Normal"/>
    <w:link w:val="FooterChar"/>
    <w:uiPriority w:val="99"/>
    <w:unhideWhenUsed/>
    <w:rsid w:val="00A30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E83"/>
  </w:style>
  <w:style w:type="character" w:styleId="PageNumber">
    <w:name w:val="page number"/>
    <w:basedOn w:val="DefaultParagraphFont"/>
    <w:uiPriority w:val="99"/>
    <w:semiHidden/>
    <w:unhideWhenUsed/>
    <w:rsid w:val="00A30E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2-2023" TargetMode="External"/><Relationship Id="rId13" Type="http://schemas.openxmlformats.org/officeDocument/2006/relationships/hyperlink" Target="https://doi.org/10.1016/j.crad.2023.09.01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england.nhs.uk/wp-content/uploads/2021/06/B0642-ics-design-framework-june-2021.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wales/sites/default/files/publications/2022-03/records-management-code-of-practice-for-health-and-social-care-2022.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ico.org.uk/for-organisations/uk-gdpr-guidance-and-resources/" TargetMode="External"/><Relationship Id="rId4" Type="http://schemas.openxmlformats.org/officeDocument/2006/relationships/footnotes" Target="footnotes.xml"/><Relationship Id="rId9" Type="http://schemas.openxmlformats.org/officeDocument/2006/relationships/hyperlink" Target="https://www.gov.uk/government/publications/dhsc-equality-information-2022/equality-in-2022-how-dhsc-met-the-public-sector-equality-duty" TargetMode="External"/><Relationship Id="rId14" Type="http://schemas.openxmlformats.org/officeDocument/2006/relationships/hyperlink" Target="https://www.who.int/teams/integrated-health-services/patient-safety/policy/global-patient-safety-ac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9</Pages>
  <Words>1859</Words>
  <Characters>13106</Characters>
  <Application>Microsoft Office Word</Application>
  <DocSecurity>0</DocSecurity>
  <Lines>297</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Daylinda Araujo Beleta (2509670)</cp:lastModifiedBy>
  <cp:revision>3</cp:revision>
  <dcterms:created xsi:type="dcterms:W3CDTF">2026-04-19T10:01:00Z</dcterms:created>
  <dcterms:modified xsi:type="dcterms:W3CDTF">2026-04-19T12:07:00Z</dcterms:modified>
</cp:coreProperties>
</file>