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AEEAE" w14:textId="77777777" w:rsidR="00D52797" w:rsidRPr="00D52797" w:rsidRDefault="00D52797" w:rsidP="00D52797">
      <w:pPr>
        <w:jc w:val="center"/>
        <w:rPr>
          <w:b/>
          <w:sz w:val="56"/>
          <w:szCs w:val="56"/>
        </w:rPr>
      </w:pPr>
      <w:r w:rsidRPr="00D52797">
        <w:rPr>
          <w:b/>
          <w:sz w:val="56"/>
          <w:szCs w:val="56"/>
        </w:rPr>
        <w:t>Component 1: Coursework: Individual Essay</w:t>
      </w:r>
    </w:p>
    <w:p w14:paraId="09F37290" w14:textId="77777777" w:rsidR="00D52797" w:rsidRDefault="00D52797" w:rsidP="00D52797">
      <w:pPr>
        <w:jc w:val="center"/>
      </w:pPr>
    </w:p>
    <w:p w14:paraId="5B7EC09F" w14:textId="77777777" w:rsidR="00D52797" w:rsidRDefault="00D52797" w:rsidP="00D52797">
      <w:pPr>
        <w:jc w:val="center"/>
      </w:pPr>
    </w:p>
    <w:p w14:paraId="28B08A73" w14:textId="77777777" w:rsidR="00D52797" w:rsidRPr="007311EF" w:rsidRDefault="00D52797" w:rsidP="00D52797">
      <w:pPr>
        <w:jc w:val="center"/>
        <w:rPr>
          <w:b/>
          <w:sz w:val="32"/>
          <w:szCs w:val="32"/>
        </w:rPr>
      </w:pPr>
      <w:r w:rsidRPr="007311EF">
        <w:rPr>
          <w:b/>
          <w:sz w:val="32"/>
          <w:szCs w:val="32"/>
        </w:rPr>
        <w:t>Bridging Cultural Differences: Enhancing Communication and Collaboration between UK and Japanese Teams in Multinational Partnerships</w:t>
      </w:r>
    </w:p>
    <w:p w14:paraId="17BC2CD4" w14:textId="1722D461" w:rsidR="00D52797" w:rsidRDefault="007311EF" w:rsidP="00D52797">
      <w:pPr>
        <w:jc w:val="center"/>
      </w:pPr>
      <w:r w:rsidRPr="007311EF">
        <w:rPr>
          <w:noProof/>
        </w:rPr>
        <w:drawing>
          <wp:inline distT="0" distB="0" distL="0" distR="0" wp14:anchorId="2E3A48F5" wp14:editId="544A4CEC">
            <wp:extent cx="2169763" cy="2169763"/>
            <wp:effectExtent l="0" t="0" r="2540" b="2540"/>
            <wp:docPr id="142725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25367" name=""/>
                    <pic:cNvPicPr/>
                  </pic:nvPicPr>
                  <pic:blipFill>
                    <a:blip r:embed="rId8"/>
                    <a:stretch>
                      <a:fillRect/>
                    </a:stretch>
                  </pic:blipFill>
                  <pic:spPr>
                    <a:xfrm>
                      <a:off x="0" y="0"/>
                      <a:ext cx="2184570" cy="2184570"/>
                    </a:xfrm>
                    <a:prstGeom prst="rect">
                      <a:avLst/>
                    </a:prstGeom>
                  </pic:spPr>
                </pic:pic>
              </a:graphicData>
            </a:graphic>
          </wp:inline>
        </w:drawing>
      </w:r>
    </w:p>
    <w:p w14:paraId="6098BC31" w14:textId="77777777" w:rsidR="007311EF" w:rsidRDefault="007311EF" w:rsidP="007311EF">
      <w:pPr>
        <w:rPr>
          <w:b/>
          <w:sz w:val="20"/>
          <w:szCs w:val="20"/>
        </w:rPr>
      </w:pPr>
      <w:r w:rsidRPr="007311EF">
        <w:rPr>
          <w:b/>
          <w:sz w:val="20"/>
          <w:szCs w:val="20"/>
        </w:rPr>
        <w:t xml:space="preserve">                                       </w:t>
      </w:r>
    </w:p>
    <w:p w14:paraId="53DF9B8E" w14:textId="77777777" w:rsidR="007311EF" w:rsidRDefault="007311EF" w:rsidP="007311EF">
      <w:pPr>
        <w:rPr>
          <w:b/>
          <w:sz w:val="20"/>
          <w:szCs w:val="20"/>
        </w:rPr>
      </w:pPr>
    </w:p>
    <w:p w14:paraId="000C8B4D" w14:textId="500E1EC6" w:rsidR="007311EF" w:rsidRPr="007311EF" w:rsidRDefault="007311EF" w:rsidP="007311EF">
      <w:pPr>
        <w:rPr>
          <w:b/>
          <w:sz w:val="20"/>
          <w:szCs w:val="20"/>
        </w:rPr>
      </w:pPr>
      <w:r>
        <w:rPr>
          <w:b/>
          <w:sz w:val="20"/>
          <w:szCs w:val="20"/>
        </w:rPr>
        <w:t xml:space="preserve">                                                           </w:t>
      </w:r>
      <w:r w:rsidRPr="007311EF">
        <w:rPr>
          <w:b/>
          <w:sz w:val="20"/>
          <w:szCs w:val="20"/>
        </w:rPr>
        <w:t xml:space="preserve">  Student Name: Nedelcho Vichev</w:t>
      </w:r>
    </w:p>
    <w:p w14:paraId="7C48C6C9" w14:textId="77777777" w:rsidR="007311EF" w:rsidRPr="007311EF" w:rsidRDefault="007311EF" w:rsidP="007311EF">
      <w:pPr>
        <w:jc w:val="center"/>
        <w:rPr>
          <w:b/>
          <w:sz w:val="20"/>
          <w:szCs w:val="20"/>
        </w:rPr>
      </w:pPr>
      <w:r w:rsidRPr="007311EF">
        <w:rPr>
          <w:b/>
          <w:sz w:val="20"/>
          <w:szCs w:val="20"/>
        </w:rPr>
        <w:t>Student ID: 22294</w:t>
      </w:r>
    </w:p>
    <w:p w14:paraId="0EFF079B" w14:textId="77777777" w:rsidR="007311EF" w:rsidRPr="007311EF" w:rsidRDefault="007311EF" w:rsidP="007311EF">
      <w:pPr>
        <w:jc w:val="center"/>
        <w:rPr>
          <w:b/>
          <w:sz w:val="20"/>
          <w:szCs w:val="20"/>
        </w:rPr>
      </w:pPr>
      <w:r w:rsidRPr="007311EF">
        <w:rPr>
          <w:b/>
          <w:sz w:val="20"/>
          <w:szCs w:val="20"/>
        </w:rPr>
        <w:t xml:space="preserve">Module: International Business Communication </w:t>
      </w:r>
    </w:p>
    <w:p w14:paraId="68D38CB7" w14:textId="77777777" w:rsidR="007311EF" w:rsidRPr="007311EF" w:rsidRDefault="007311EF" w:rsidP="007311EF">
      <w:pPr>
        <w:jc w:val="center"/>
        <w:rPr>
          <w:b/>
          <w:sz w:val="20"/>
          <w:szCs w:val="20"/>
        </w:rPr>
      </w:pPr>
      <w:r w:rsidRPr="007311EF">
        <w:rPr>
          <w:b/>
          <w:sz w:val="20"/>
          <w:szCs w:val="20"/>
        </w:rPr>
        <w:t>Module Number: LBCC6001</w:t>
      </w:r>
    </w:p>
    <w:p w14:paraId="29108CB2" w14:textId="48BF6C25" w:rsidR="00D52797" w:rsidRDefault="007311EF" w:rsidP="007311EF">
      <w:pPr>
        <w:jc w:val="center"/>
      </w:pPr>
      <w:r w:rsidRPr="007311EF">
        <w:rPr>
          <w:b/>
          <w:sz w:val="20"/>
          <w:szCs w:val="20"/>
        </w:rPr>
        <w:t>Lecturer: Dr Rexon Nting</w:t>
      </w:r>
    </w:p>
    <w:p w14:paraId="7AF24DAB" w14:textId="77777777" w:rsidR="00D52797" w:rsidRDefault="00D52797" w:rsidP="00D52797">
      <w:pPr>
        <w:jc w:val="center"/>
      </w:pPr>
    </w:p>
    <w:p w14:paraId="3C9AA47D" w14:textId="77777777" w:rsidR="00D52797" w:rsidRDefault="00D52797" w:rsidP="00D52797">
      <w:pPr>
        <w:jc w:val="center"/>
        <w:rPr>
          <w:b/>
        </w:rPr>
      </w:pPr>
    </w:p>
    <w:p w14:paraId="13A5238F" w14:textId="77777777" w:rsidR="00D52797" w:rsidRDefault="00D52797" w:rsidP="00D52797">
      <w:pPr>
        <w:jc w:val="center"/>
        <w:rPr>
          <w:b/>
        </w:rPr>
      </w:pPr>
    </w:p>
    <w:p w14:paraId="4151D7C0" w14:textId="77777777" w:rsidR="00D52797" w:rsidRDefault="00D52797" w:rsidP="00D52797">
      <w:pPr>
        <w:jc w:val="center"/>
        <w:rPr>
          <w:b/>
        </w:rPr>
      </w:pPr>
    </w:p>
    <w:p w14:paraId="7BCEC06E" w14:textId="77777777" w:rsidR="00D52797" w:rsidRDefault="00D52797" w:rsidP="00D52797">
      <w:pPr>
        <w:jc w:val="center"/>
        <w:rPr>
          <w:b/>
        </w:rPr>
      </w:pPr>
    </w:p>
    <w:p w14:paraId="45B93A71" w14:textId="77777777" w:rsidR="00D52797" w:rsidRDefault="00D52797" w:rsidP="00D52797">
      <w:pPr>
        <w:jc w:val="center"/>
        <w:rPr>
          <w:b/>
        </w:rPr>
      </w:pPr>
    </w:p>
    <w:p w14:paraId="6E03CBE7" w14:textId="77777777" w:rsidR="00D52797" w:rsidRDefault="00D52797" w:rsidP="00D52797">
      <w:pPr>
        <w:jc w:val="center"/>
        <w:rPr>
          <w:b/>
        </w:rPr>
      </w:pPr>
    </w:p>
    <w:p w14:paraId="22B2485E" w14:textId="77777777" w:rsidR="00D52797" w:rsidRDefault="00D52797" w:rsidP="00D52797">
      <w:pPr>
        <w:jc w:val="center"/>
        <w:rPr>
          <w:b/>
        </w:rPr>
      </w:pPr>
    </w:p>
    <w:sdt>
      <w:sdtPr>
        <w:rPr>
          <w:rFonts w:asciiTheme="minorHAnsi" w:eastAsiaTheme="minorHAnsi" w:hAnsiTheme="minorHAnsi" w:cstheme="minorBidi"/>
          <w:color w:val="auto"/>
          <w:sz w:val="22"/>
          <w:szCs w:val="22"/>
          <w:lang w:val="en-IN"/>
        </w:rPr>
        <w:id w:val="843524231"/>
        <w:docPartObj>
          <w:docPartGallery w:val="Table of Contents"/>
          <w:docPartUnique/>
        </w:docPartObj>
      </w:sdtPr>
      <w:sdtEndPr>
        <w:rPr>
          <w:rFonts w:ascii="Times New Roman" w:eastAsia="Times New Roman" w:hAnsi="Times New Roman" w:cs="Times New Roman"/>
          <w:b/>
          <w:bCs/>
          <w:noProof/>
          <w:sz w:val="24"/>
          <w:szCs w:val="24"/>
          <w:lang w:val="en-GB" w:eastAsia="en-GB"/>
        </w:rPr>
      </w:sdtEndPr>
      <w:sdtContent>
        <w:p w14:paraId="0481B05D" w14:textId="77777777" w:rsidR="007311EF" w:rsidRPr="00BB0154" w:rsidRDefault="007311EF" w:rsidP="007311EF">
          <w:pPr>
            <w:pStyle w:val="TOCHeading"/>
            <w:rPr>
              <w:rFonts w:ascii="Times New Roman" w:hAnsi="Times New Roman" w:cs="Times New Roman"/>
            </w:rPr>
          </w:pPr>
          <w:r w:rsidRPr="00BB0154">
            <w:rPr>
              <w:rFonts w:ascii="Times New Roman" w:hAnsi="Times New Roman" w:cs="Times New Roman"/>
            </w:rPr>
            <w:t>Table of Contents</w:t>
          </w:r>
        </w:p>
        <w:p w14:paraId="7E578A57"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r w:rsidRPr="00BB0154">
            <w:rPr>
              <w:rFonts w:ascii="Times New Roman" w:hAnsi="Times New Roman" w:cs="Times New Roman"/>
              <w:b/>
              <w:bCs/>
              <w:noProof/>
            </w:rPr>
            <w:fldChar w:fldCharType="begin"/>
          </w:r>
          <w:r w:rsidRPr="00BB0154">
            <w:rPr>
              <w:rFonts w:ascii="Times New Roman" w:hAnsi="Times New Roman" w:cs="Times New Roman"/>
              <w:b/>
              <w:bCs/>
              <w:noProof/>
            </w:rPr>
            <w:instrText xml:space="preserve"> TOC \o "1-3" \h \z \u </w:instrText>
          </w:r>
          <w:r w:rsidRPr="00BB0154">
            <w:rPr>
              <w:rFonts w:ascii="Times New Roman" w:hAnsi="Times New Roman" w:cs="Times New Roman"/>
              <w:b/>
              <w:bCs/>
              <w:noProof/>
            </w:rPr>
            <w:fldChar w:fldCharType="separate"/>
          </w:r>
          <w:hyperlink w:anchor="_Toc192776347" w:history="1">
            <w:r w:rsidRPr="00BB0154">
              <w:rPr>
                <w:rStyle w:val="Hyperlink"/>
                <w:rFonts w:ascii="Times New Roman" w:eastAsiaTheme="majorEastAsia" w:hAnsi="Times New Roman" w:cs="Times New Roman"/>
                <w:noProof/>
              </w:rPr>
              <w:t>Introduction</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_Toc192776347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3</w:t>
            </w:r>
            <w:r w:rsidRPr="00BB0154">
              <w:rPr>
                <w:rFonts w:ascii="Times New Roman" w:hAnsi="Times New Roman" w:cs="Times New Roman"/>
                <w:noProof/>
                <w:webHidden/>
              </w:rPr>
              <w:fldChar w:fldCharType="end"/>
            </w:r>
          </w:hyperlink>
        </w:p>
        <w:p w14:paraId="7F633266"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hyperlink w:anchor="_Toc192776348" w:history="1">
            <w:r w:rsidRPr="00BB0154">
              <w:rPr>
                <w:rStyle w:val="Hyperlink"/>
                <w:rFonts w:ascii="Times New Roman" w:eastAsiaTheme="majorEastAsia" w:hAnsi="Times New Roman" w:cs="Times New Roman"/>
                <w:noProof/>
              </w:rPr>
              <w:t>Background of the Companies and Cultural Context</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_Toc192776348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4</w:t>
            </w:r>
            <w:r w:rsidRPr="00BB0154">
              <w:rPr>
                <w:rFonts w:ascii="Times New Roman" w:hAnsi="Times New Roman" w:cs="Times New Roman"/>
                <w:noProof/>
                <w:webHidden/>
              </w:rPr>
              <w:fldChar w:fldCharType="end"/>
            </w:r>
          </w:hyperlink>
        </w:p>
        <w:p w14:paraId="1B916A91"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hyperlink w:anchor="_Toc192776349" w:history="1">
            <w:r w:rsidRPr="00BB0154">
              <w:rPr>
                <w:rStyle w:val="Hyperlink"/>
                <w:rFonts w:ascii="Times New Roman" w:eastAsiaTheme="majorEastAsia" w:hAnsi="Times New Roman" w:cs="Times New Roman"/>
                <w:noProof/>
              </w:rPr>
              <w:t>Communication Differences between UK and Japan</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_Toc192776349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5</w:t>
            </w:r>
            <w:r w:rsidRPr="00BB0154">
              <w:rPr>
                <w:rFonts w:ascii="Times New Roman" w:hAnsi="Times New Roman" w:cs="Times New Roman"/>
                <w:noProof/>
                <w:webHidden/>
              </w:rPr>
              <w:fldChar w:fldCharType="end"/>
            </w:r>
          </w:hyperlink>
        </w:p>
        <w:p w14:paraId="34B20BBA"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hyperlink w:anchor="_Toc192776350" w:history="1">
            <w:r w:rsidRPr="00BB0154">
              <w:rPr>
                <w:rStyle w:val="Hyperlink"/>
                <w:rFonts w:ascii="Times New Roman" w:eastAsiaTheme="majorEastAsia" w:hAnsi="Times New Roman" w:cs="Times New Roman"/>
                <w:noProof/>
              </w:rPr>
              <w:t>Application of Cultural Theories</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_Toc192776350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7</w:t>
            </w:r>
            <w:r w:rsidRPr="00BB0154">
              <w:rPr>
                <w:rFonts w:ascii="Times New Roman" w:hAnsi="Times New Roman" w:cs="Times New Roman"/>
                <w:noProof/>
                <w:webHidden/>
              </w:rPr>
              <w:fldChar w:fldCharType="end"/>
            </w:r>
          </w:hyperlink>
        </w:p>
        <w:p w14:paraId="2D78AA40"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1" w:history="1">
            <w:r w:rsidRPr="00BB0154">
              <w:rPr>
                <w:rStyle w:val="Hyperlink"/>
                <w:rFonts w:ascii="Times New Roman" w:hAnsi="Times New Roman" w:cs="Times New Roman"/>
                <w:noProof/>
              </w:rPr>
              <w:t>Hofstede’s Cultural Dimensions</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_Toc192776351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7</w:t>
            </w:r>
            <w:r w:rsidRPr="00BB0154">
              <w:rPr>
                <w:rFonts w:ascii="Times New Roman" w:hAnsi="Times New Roman" w:cs="Times New Roman"/>
                <w:noProof/>
                <w:webHidden/>
              </w:rPr>
              <w:fldChar w:fldCharType="end"/>
            </w:r>
          </w:hyperlink>
        </w:p>
        <w:p w14:paraId="09281E43"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2" w:history="1">
            <w:r w:rsidRPr="00BB0154">
              <w:rPr>
                <w:rStyle w:val="Hyperlink"/>
                <w:rFonts w:ascii="Times New Roman" w:hAnsi="Times New Roman" w:cs="Times New Roman"/>
                <w:noProof/>
              </w:rPr>
              <w:t>High-conte</w:t>
            </w:r>
            <w:r w:rsidRPr="00BB0154">
              <w:rPr>
                <w:rStyle w:val="Hyperlink"/>
                <w:rFonts w:ascii="Times New Roman" w:hAnsi="Times New Roman" w:cs="Times New Roman"/>
                <w:noProof/>
              </w:rPr>
              <w:t>x</w:t>
            </w:r>
            <w:r w:rsidRPr="00BB0154">
              <w:rPr>
                <w:rStyle w:val="Hyperlink"/>
                <w:rFonts w:ascii="Times New Roman" w:hAnsi="Times New Roman" w:cs="Times New Roman"/>
                <w:noProof/>
              </w:rPr>
              <w:t>t and Low-context Communication Theory</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_Toc192776352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9</w:t>
            </w:r>
            <w:r w:rsidRPr="00BB0154">
              <w:rPr>
                <w:rFonts w:ascii="Times New Roman" w:hAnsi="Times New Roman" w:cs="Times New Roman"/>
                <w:noProof/>
                <w:webHidden/>
              </w:rPr>
              <w:fldChar w:fldCharType="end"/>
            </w:r>
          </w:hyperlink>
        </w:p>
        <w:p w14:paraId="631DAEFA"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3" w:history="1">
            <w:r w:rsidRPr="00BB0154">
              <w:rPr>
                <w:rStyle w:val="Hyperlink"/>
                <w:rFonts w:ascii="Times New Roman" w:hAnsi="Times New Roman" w:cs="Times New Roman"/>
                <w:noProof/>
              </w:rPr>
              <w:t>7 Dimensions of Culture</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_Toc192776353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10</w:t>
            </w:r>
            <w:r w:rsidRPr="00BB0154">
              <w:rPr>
                <w:rFonts w:ascii="Times New Roman" w:hAnsi="Times New Roman" w:cs="Times New Roman"/>
                <w:noProof/>
                <w:webHidden/>
              </w:rPr>
              <w:fldChar w:fldCharType="end"/>
            </w:r>
          </w:hyperlink>
        </w:p>
        <w:p w14:paraId="04CEA755"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hyperlink w:anchor="_Toc192776354" w:history="1">
            <w:r w:rsidRPr="00BB0154">
              <w:rPr>
                <w:rStyle w:val="Hyperlink"/>
                <w:rFonts w:ascii="Times New Roman" w:eastAsiaTheme="majorEastAsia" w:hAnsi="Times New Roman" w:cs="Times New Roman"/>
                <w:noProof/>
              </w:rPr>
              <w:t>Implications for Effective Communication and Collaboration</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_Toc192776354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12</w:t>
            </w:r>
            <w:r w:rsidRPr="00BB0154">
              <w:rPr>
                <w:rFonts w:ascii="Times New Roman" w:hAnsi="Times New Roman" w:cs="Times New Roman"/>
                <w:noProof/>
                <w:webHidden/>
              </w:rPr>
              <w:fldChar w:fldCharType="end"/>
            </w:r>
          </w:hyperlink>
        </w:p>
        <w:p w14:paraId="06F61AAF"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5" w:history="1">
            <w:r w:rsidRPr="00BB0154">
              <w:rPr>
                <w:rStyle w:val="Hyperlink"/>
                <w:rFonts w:ascii="Times New Roman" w:hAnsi="Times New Roman" w:cs="Times New Roman"/>
                <w:noProof/>
              </w:rPr>
              <w:t>1. Intercultural Training</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_Toc192776355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12</w:t>
            </w:r>
            <w:r w:rsidRPr="00BB0154">
              <w:rPr>
                <w:rFonts w:ascii="Times New Roman" w:hAnsi="Times New Roman" w:cs="Times New Roman"/>
                <w:noProof/>
                <w:webHidden/>
              </w:rPr>
              <w:fldChar w:fldCharType="end"/>
            </w:r>
          </w:hyperlink>
        </w:p>
        <w:p w14:paraId="2A6A64E5"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6" w:history="1">
            <w:r w:rsidRPr="00BB0154">
              <w:rPr>
                <w:rStyle w:val="Hyperlink"/>
                <w:rFonts w:ascii="Times New Roman" w:hAnsi="Times New Roman" w:cs="Times New Roman"/>
                <w:noProof/>
              </w:rPr>
              <w:t>2. Communication Practices and Adaptation</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_Toc192776356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12</w:t>
            </w:r>
            <w:r w:rsidRPr="00BB0154">
              <w:rPr>
                <w:rFonts w:ascii="Times New Roman" w:hAnsi="Times New Roman" w:cs="Times New Roman"/>
                <w:noProof/>
                <w:webHidden/>
              </w:rPr>
              <w:fldChar w:fldCharType="end"/>
            </w:r>
          </w:hyperlink>
        </w:p>
        <w:p w14:paraId="4EAD7D4E"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7" w:history="1">
            <w:r w:rsidRPr="00BB0154">
              <w:rPr>
                <w:rStyle w:val="Hyperlink"/>
                <w:rFonts w:ascii="Times New Roman" w:hAnsi="Times New Roman" w:cs="Times New Roman"/>
                <w:noProof/>
              </w:rPr>
              <w:t>3. Creating a Collaborative Environment</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_Toc192776357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12</w:t>
            </w:r>
            <w:r w:rsidRPr="00BB0154">
              <w:rPr>
                <w:rFonts w:ascii="Times New Roman" w:hAnsi="Times New Roman" w:cs="Times New Roman"/>
                <w:noProof/>
                <w:webHidden/>
              </w:rPr>
              <w:fldChar w:fldCharType="end"/>
            </w:r>
          </w:hyperlink>
        </w:p>
        <w:p w14:paraId="70AD0A8D" w14:textId="77777777" w:rsidR="007311EF" w:rsidRPr="00BB0154" w:rsidRDefault="007311EF" w:rsidP="007311EF">
          <w:pPr>
            <w:pStyle w:val="TOC2"/>
            <w:tabs>
              <w:tab w:val="right" w:leader="dot" w:pos="9016"/>
            </w:tabs>
            <w:rPr>
              <w:rFonts w:ascii="Times New Roman" w:eastAsiaTheme="minorEastAsia" w:hAnsi="Times New Roman" w:cs="Times New Roman"/>
              <w:noProof/>
              <w:lang w:eastAsia="en-IN"/>
            </w:rPr>
          </w:pPr>
          <w:hyperlink w:anchor="_Toc192776358" w:history="1">
            <w:r w:rsidRPr="00BB0154">
              <w:rPr>
                <w:rStyle w:val="Hyperlink"/>
                <w:rFonts w:ascii="Times New Roman" w:hAnsi="Times New Roman" w:cs="Times New Roman"/>
                <w:noProof/>
              </w:rPr>
              <w:t>4. Continuous Feedback and Adaptation</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_Toc192776358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13</w:t>
            </w:r>
            <w:r w:rsidRPr="00BB0154">
              <w:rPr>
                <w:rFonts w:ascii="Times New Roman" w:hAnsi="Times New Roman" w:cs="Times New Roman"/>
                <w:noProof/>
                <w:webHidden/>
              </w:rPr>
              <w:fldChar w:fldCharType="end"/>
            </w:r>
          </w:hyperlink>
        </w:p>
        <w:p w14:paraId="397AAEAC"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hyperlink w:anchor="_Toc192776359" w:history="1">
            <w:r w:rsidRPr="00BB0154">
              <w:rPr>
                <w:rStyle w:val="Hyperlink"/>
                <w:rFonts w:ascii="Times New Roman" w:eastAsiaTheme="majorEastAsia" w:hAnsi="Times New Roman" w:cs="Times New Roman"/>
                <w:noProof/>
              </w:rPr>
              <w:t>Conclusion</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_Toc192776359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14</w:t>
            </w:r>
            <w:r w:rsidRPr="00BB0154">
              <w:rPr>
                <w:rFonts w:ascii="Times New Roman" w:hAnsi="Times New Roman" w:cs="Times New Roman"/>
                <w:noProof/>
                <w:webHidden/>
              </w:rPr>
              <w:fldChar w:fldCharType="end"/>
            </w:r>
          </w:hyperlink>
        </w:p>
        <w:p w14:paraId="328BC218" w14:textId="77777777" w:rsidR="007311EF" w:rsidRPr="00BB0154" w:rsidRDefault="007311EF" w:rsidP="007311EF">
          <w:pPr>
            <w:pStyle w:val="TOC1"/>
            <w:tabs>
              <w:tab w:val="right" w:leader="dot" w:pos="9016"/>
            </w:tabs>
            <w:rPr>
              <w:rFonts w:ascii="Times New Roman" w:eastAsiaTheme="minorEastAsia" w:hAnsi="Times New Roman" w:cs="Times New Roman"/>
              <w:noProof/>
              <w:lang w:eastAsia="en-IN"/>
            </w:rPr>
          </w:pPr>
          <w:hyperlink w:anchor="_Toc192776360" w:history="1">
            <w:r w:rsidRPr="00BB0154">
              <w:rPr>
                <w:rStyle w:val="Hyperlink"/>
                <w:rFonts w:ascii="Times New Roman" w:hAnsi="Times New Roman" w:cs="Times New Roman"/>
                <w:noProof/>
              </w:rPr>
              <w:t>References</w:t>
            </w:r>
            <w:r w:rsidRPr="00BB0154">
              <w:rPr>
                <w:rFonts w:ascii="Times New Roman" w:hAnsi="Times New Roman" w:cs="Times New Roman"/>
                <w:noProof/>
                <w:webHidden/>
              </w:rPr>
              <w:tab/>
            </w:r>
            <w:r w:rsidRPr="00BB0154">
              <w:rPr>
                <w:rFonts w:ascii="Times New Roman" w:hAnsi="Times New Roman" w:cs="Times New Roman"/>
                <w:noProof/>
                <w:webHidden/>
              </w:rPr>
              <w:fldChar w:fldCharType="begin"/>
            </w:r>
            <w:r w:rsidRPr="00BB0154">
              <w:rPr>
                <w:rFonts w:ascii="Times New Roman" w:hAnsi="Times New Roman" w:cs="Times New Roman"/>
                <w:noProof/>
                <w:webHidden/>
              </w:rPr>
              <w:instrText xml:space="preserve"> PAGEREF _Toc192776360 \h </w:instrText>
            </w:r>
            <w:r w:rsidRPr="00BB0154">
              <w:rPr>
                <w:rFonts w:ascii="Times New Roman" w:hAnsi="Times New Roman" w:cs="Times New Roman"/>
                <w:noProof/>
                <w:webHidden/>
              </w:rPr>
            </w:r>
            <w:r w:rsidRPr="00BB0154">
              <w:rPr>
                <w:rFonts w:ascii="Times New Roman" w:hAnsi="Times New Roman" w:cs="Times New Roman"/>
                <w:noProof/>
                <w:webHidden/>
              </w:rPr>
              <w:fldChar w:fldCharType="separate"/>
            </w:r>
            <w:r w:rsidRPr="00BB0154">
              <w:rPr>
                <w:rFonts w:ascii="Times New Roman" w:hAnsi="Times New Roman" w:cs="Times New Roman"/>
                <w:noProof/>
                <w:webHidden/>
              </w:rPr>
              <w:t>15</w:t>
            </w:r>
            <w:r w:rsidRPr="00BB0154">
              <w:rPr>
                <w:rFonts w:ascii="Times New Roman" w:hAnsi="Times New Roman" w:cs="Times New Roman"/>
                <w:noProof/>
                <w:webHidden/>
              </w:rPr>
              <w:fldChar w:fldCharType="end"/>
            </w:r>
          </w:hyperlink>
        </w:p>
        <w:p w14:paraId="36A1E2BE" w14:textId="77777777" w:rsidR="007311EF" w:rsidRDefault="007311EF" w:rsidP="007311EF">
          <w:pPr>
            <w:rPr>
              <w:b/>
              <w:bCs/>
              <w:noProof/>
            </w:rPr>
          </w:pPr>
          <w:r w:rsidRPr="00BB0154">
            <w:rPr>
              <w:b/>
              <w:bCs/>
              <w:noProof/>
            </w:rPr>
            <w:fldChar w:fldCharType="end"/>
          </w:r>
        </w:p>
      </w:sdtContent>
    </w:sdt>
    <w:p w14:paraId="2C8F03C2" w14:textId="77777777" w:rsidR="00D52797" w:rsidRDefault="00D52797" w:rsidP="00D52797">
      <w:pPr>
        <w:jc w:val="center"/>
        <w:rPr>
          <w:b/>
        </w:rPr>
      </w:pPr>
    </w:p>
    <w:p w14:paraId="058FF981" w14:textId="77777777" w:rsidR="00D52797" w:rsidRDefault="00D52797" w:rsidP="007311EF">
      <w:pPr>
        <w:rPr>
          <w:b/>
        </w:rPr>
      </w:pPr>
    </w:p>
    <w:p w14:paraId="7F637D09" w14:textId="77777777" w:rsidR="00D52797" w:rsidRDefault="00D52797" w:rsidP="00D52797">
      <w:pPr>
        <w:jc w:val="center"/>
        <w:rPr>
          <w:b/>
        </w:rPr>
      </w:pPr>
    </w:p>
    <w:p w14:paraId="26C0C4CC" w14:textId="77777777" w:rsidR="00D52797" w:rsidRDefault="00D52797" w:rsidP="00D52797">
      <w:pPr>
        <w:jc w:val="center"/>
        <w:rPr>
          <w:b/>
        </w:rPr>
      </w:pPr>
    </w:p>
    <w:p w14:paraId="4C4A899F" w14:textId="77777777" w:rsidR="00D52797" w:rsidRDefault="00D52797" w:rsidP="00D52797">
      <w:pPr>
        <w:jc w:val="center"/>
        <w:rPr>
          <w:b/>
        </w:rPr>
      </w:pPr>
    </w:p>
    <w:p w14:paraId="628E657D" w14:textId="77777777" w:rsidR="00D52797" w:rsidRDefault="00D52797" w:rsidP="00D52797">
      <w:pPr>
        <w:jc w:val="center"/>
        <w:rPr>
          <w:b/>
        </w:rPr>
      </w:pPr>
    </w:p>
    <w:p w14:paraId="0BD84641" w14:textId="77777777" w:rsidR="00D52797" w:rsidRPr="007311EF" w:rsidRDefault="00D52797" w:rsidP="00D52797">
      <w:pPr>
        <w:jc w:val="center"/>
        <w:rPr>
          <w:b/>
          <w:sz w:val="20"/>
          <w:szCs w:val="20"/>
        </w:rPr>
      </w:pPr>
    </w:p>
    <w:p w14:paraId="38297FE0" w14:textId="2AB75996" w:rsidR="00D52797" w:rsidRPr="00D52797" w:rsidRDefault="00D52797" w:rsidP="00D52797">
      <w:pPr>
        <w:jc w:val="center"/>
        <w:rPr>
          <w:rStyle w:val="Strong"/>
          <w:rFonts w:eastAsiaTheme="majorEastAsia"/>
          <w:bCs w:val="0"/>
          <w:lang w:eastAsia="en-IN"/>
        </w:rPr>
      </w:pPr>
      <w:r w:rsidRPr="00D52797">
        <w:rPr>
          <w:rStyle w:val="Strong"/>
          <w:rFonts w:eastAsiaTheme="majorEastAsia"/>
          <w:b w:val="0"/>
          <w:bCs w:val="0"/>
        </w:rPr>
        <w:br w:type="page"/>
      </w:r>
    </w:p>
    <w:sdt>
      <w:sdtPr>
        <w:rPr>
          <w:rFonts w:asciiTheme="minorHAnsi" w:eastAsiaTheme="minorHAnsi" w:hAnsiTheme="minorHAnsi" w:cstheme="minorBidi"/>
          <w:color w:val="auto"/>
          <w:sz w:val="22"/>
          <w:szCs w:val="22"/>
          <w:lang w:val="en-IN"/>
        </w:rPr>
        <w:id w:val="832024878"/>
        <w:docPartObj>
          <w:docPartGallery w:val="Table of Contents"/>
          <w:docPartUnique/>
        </w:docPartObj>
      </w:sdtPr>
      <w:sdtEndPr>
        <w:rPr>
          <w:rFonts w:ascii="Times New Roman" w:eastAsia="Times New Roman" w:hAnsi="Times New Roman" w:cs="Times New Roman"/>
          <w:b/>
          <w:bCs/>
          <w:noProof/>
          <w:sz w:val="24"/>
          <w:szCs w:val="24"/>
          <w:lang w:val="en-GB" w:eastAsia="en-GB"/>
        </w:rPr>
      </w:sdtEndPr>
      <w:sdtContent>
        <w:p w14:paraId="2B1B96C2" w14:textId="3E00B029" w:rsidR="007311EF" w:rsidRDefault="007311EF" w:rsidP="007311EF">
          <w:pPr>
            <w:pStyle w:val="TOCHeading"/>
          </w:pPr>
        </w:p>
        <w:p w14:paraId="30AA4CE2" w14:textId="1291FC18" w:rsidR="00D52797" w:rsidRDefault="00000000"/>
      </w:sdtContent>
    </w:sdt>
    <w:p w14:paraId="0A4562D8" w14:textId="1383AE44" w:rsidR="001A0B2F" w:rsidRPr="007311EF" w:rsidRDefault="001A0B2F" w:rsidP="007311EF">
      <w:pPr>
        <w:rPr>
          <w:rFonts w:eastAsiaTheme="majorEastAsia" w:cstheme="majorBidi"/>
          <w:b/>
          <w:sz w:val="36"/>
          <w:szCs w:val="36"/>
          <w:lang w:eastAsia="en-IN"/>
        </w:rPr>
      </w:pPr>
      <w:bookmarkStart w:id="0" w:name="_Toc192776347"/>
      <w:r w:rsidRPr="007311EF">
        <w:rPr>
          <w:rStyle w:val="Strong"/>
          <w:rFonts w:eastAsiaTheme="majorEastAsia"/>
          <w:bCs w:val="0"/>
          <w:sz w:val="36"/>
          <w:szCs w:val="36"/>
        </w:rPr>
        <w:t>Introduction</w:t>
      </w:r>
      <w:bookmarkEnd w:id="0"/>
      <w:r w:rsidRPr="007311EF">
        <w:rPr>
          <w:rStyle w:val="Strong"/>
          <w:rFonts w:eastAsiaTheme="majorEastAsia"/>
          <w:bCs w:val="0"/>
          <w:sz w:val="36"/>
          <w:szCs w:val="36"/>
        </w:rPr>
        <w:t xml:space="preserve"> </w:t>
      </w:r>
    </w:p>
    <w:p w14:paraId="45DACC76" w14:textId="77777777" w:rsidR="002E0A2A" w:rsidRPr="009E7F0F" w:rsidRDefault="002E0A2A" w:rsidP="009E7F0F">
      <w:bookmarkStart w:id="1" w:name="_Toc192776348"/>
      <w:r w:rsidRPr="009E7F0F">
        <w:t>In today’s globalized business landscape, effective cross-cultural communication is vital for multinational partnerships. The UK’s low-context, individualistic culture contrasts with Japan’s high-context, collectivist approach, often leading to misunderstandings in corporate interactions (Hofstede, 1980; Hall, 1976).</w:t>
      </w:r>
    </w:p>
    <w:p w14:paraId="75E2AC45" w14:textId="77777777" w:rsidR="002E0A2A" w:rsidRDefault="002E0A2A" w:rsidP="009E7F0F">
      <w:r w:rsidRPr="009E7F0F">
        <w:t>This essay examines how Unilever and Toyota navigate these cultural differences in leadership, training, and operational efficiency. Using Hofstede’s cultural dimensions and Hall’s communication model, it explores strategies to enhance collaboration and minimize miscommunication in international business</w:t>
      </w:r>
      <w:r>
        <w:t>.</w:t>
      </w:r>
    </w:p>
    <w:p w14:paraId="02D08F27" w14:textId="24E04AE2" w:rsidR="001A0B2F" w:rsidRPr="007311EF" w:rsidRDefault="001A0B2F" w:rsidP="007311EF">
      <w:pPr>
        <w:rPr>
          <w:rFonts w:eastAsiaTheme="majorEastAsia" w:cstheme="majorBidi"/>
          <w:b/>
          <w:sz w:val="32"/>
          <w:szCs w:val="32"/>
          <w:lang w:eastAsia="en-IN"/>
        </w:rPr>
      </w:pPr>
      <w:r w:rsidRPr="007311EF">
        <w:rPr>
          <w:rStyle w:val="Strong"/>
          <w:rFonts w:eastAsiaTheme="majorEastAsia"/>
          <w:bCs w:val="0"/>
          <w:sz w:val="32"/>
          <w:szCs w:val="32"/>
        </w:rPr>
        <w:t>Background of the Companies and Cultural Context</w:t>
      </w:r>
      <w:bookmarkEnd w:id="1"/>
      <w:r w:rsidRPr="007311EF">
        <w:rPr>
          <w:rStyle w:val="Strong"/>
          <w:rFonts w:eastAsiaTheme="majorEastAsia"/>
          <w:bCs w:val="0"/>
          <w:sz w:val="32"/>
          <w:szCs w:val="32"/>
        </w:rPr>
        <w:t xml:space="preserve"> </w:t>
      </w:r>
    </w:p>
    <w:p w14:paraId="17551F77" w14:textId="7F7A317A" w:rsidR="002E0A2A" w:rsidRDefault="002E0A2A" w:rsidP="005E3CD1">
      <w:pPr>
        <w:pStyle w:val="NormalWeb"/>
        <w:jc w:val="both"/>
      </w:pPr>
      <w:bookmarkStart w:id="2" w:name="_Toc192776349"/>
      <w:r>
        <w:t>Unilever is a global leader in consumer goods, specializing in personal care, food, and household products. Established in 1929 through a Dutch-British merger, it is headquartered in the UK and the Netherlands, serving over 2 billion consumers in 190+ countries (Unilever, 2023). Committed to sustainability, Unilever integrates social responsibility into its operations</w:t>
      </w:r>
      <w:r w:rsidR="005E3CD1">
        <w:t>.</w:t>
      </w:r>
    </w:p>
    <w:p w14:paraId="37A4D3E0" w14:textId="77777777" w:rsidR="002E0A2A" w:rsidRDefault="002E0A2A" w:rsidP="005E3CD1">
      <w:pPr>
        <w:pStyle w:val="NormalWeb"/>
        <w:jc w:val="both"/>
      </w:pPr>
      <w:r>
        <w:t>Toyota, founded in 1937, is among the world’s largest car manufacturers. Headquartered in Toyota City, Japan, it revolutionized production with the Toyota Production System, prioritizing efficiency and quality (Mikami &amp; Bird, 2022). Operating in 170+ countries, Toyota advances eco-friendly transport solutions (Fu et al., 2022).</w:t>
      </w:r>
    </w:p>
    <w:p w14:paraId="70ED2976" w14:textId="77777777" w:rsidR="007141E0" w:rsidRDefault="007141E0" w:rsidP="005E3CD1">
      <w:r>
        <w:t>To enhance partnerships, Unilever and Toyota must address cultural barriers through training and adapted communication strategies, fostering mutual understanding and business success (Leal Filho et al., 2024; Meyer, 2014).</w:t>
      </w:r>
    </w:p>
    <w:p w14:paraId="1B38629B" w14:textId="77777777" w:rsidR="007141E0" w:rsidRDefault="007141E0" w:rsidP="002E0A2A">
      <w:pPr>
        <w:pStyle w:val="NormalWeb"/>
      </w:pPr>
    </w:p>
    <w:p w14:paraId="5D77D5C4" w14:textId="7C399EFD" w:rsidR="001A0B2F" w:rsidRPr="00FC3BDC" w:rsidRDefault="001A0B2F" w:rsidP="00FC3BDC">
      <w:pPr>
        <w:rPr>
          <w:rFonts w:eastAsiaTheme="majorEastAsia" w:cstheme="majorBidi"/>
          <w:b/>
          <w:sz w:val="28"/>
          <w:szCs w:val="28"/>
          <w:lang w:eastAsia="en-IN"/>
        </w:rPr>
      </w:pPr>
      <w:r w:rsidRPr="00FC3BDC">
        <w:rPr>
          <w:rStyle w:val="Strong"/>
          <w:rFonts w:eastAsiaTheme="majorEastAsia"/>
          <w:bCs w:val="0"/>
          <w:sz w:val="28"/>
          <w:szCs w:val="28"/>
        </w:rPr>
        <w:t>Communication Differences between UK and Japan</w:t>
      </w:r>
      <w:bookmarkEnd w:id="2"/>
      <w:r w:rsidRPr="00FC3BDC">
        <w:rPr>
          <w:rStyle w:val="Strong"/>
          <w:rFonts w:eastAsiaTheme="majorEastAsia"/>
          <w:bCs w:val="0"/>
          <w:sz w:val="28"/>
          <w:szCs w:val="28"/>
        </w:rPr>
        <w:t xml:space="preserve"> </w:t>
      </w:r>
    </w:p>
    <w:p w14:paraId="506DB713" w14:textId="77777777" w:rsidR="00FC3BDC" w:rsidRDefault="00FC18A4" w:rsidP="001A0B2F">
      <w:pPr>
        <w:pStyle w:val="NormalWeb"/>
        <w:spacing w:line="360" w:lineRule="auto"/>
        <w:jc w:val="both"/>
      </w:pPr>
      <w:r>
        <w:t>This has resulted in a clash of cultures since the UK uses a low-context communication style while the Japanese use a high-context communication style brought about by individualism and collectivism.</w:t>
      </w:r>
    </w:p>
    <w:p w14:paraId="08823803" w14:textId="338D57CA" w:rsidR="001A0B2F" w:rsidRPr="001A0B2F" w:rsidRDefault="001A0B2F" w:rsidP="001A0B2F">
      <w:pPr>
        <w:pStyle w:val="NormalWeb"/>
        <w:spacing w:line="360" w:lineRule="auto"/>
        <w:jc w:val="both"/>
      </w:pPr>
      <w:r w:rsidRPr="001A0B2F">
        <w:rPr>
          <w:rStyle w:val="Strong"/>
          <w:rFonts w:eastAsiaTheme="majorEastAsia"/>
        </w:rPr>
        <w:t>UK Communication Style: Direct, Low-Context, Individualistic Culture</w:t>
      </w:r>
    </w:p>
    <w:p w14:paraId="06AB7487" w14:textId="77777777" w:rsidR="001A0B2F" w:rsidRPr="001A0B2F" w:rsidRDefault="00FC18A4" w:rsidP="001A0B2F">
      <w:pPr>
        <w:pStyle w:val="NormalWeb"/>
        <w:spacing w:line="360" w:lineRule="auto"/>
        <w:jc w:val="both"/>
      </w:pPr>
      <w:r>
        <w:t>The British communication style is rather blunt and straightforward, people express their thoughts and opinions in an easily understandable manner. This is due to its individualistic culture, which emphasizes liberty, free speech, and individualism</w:t>
      </w:r>
      <w:r w:rsidR="0054091C">
        <w:t xml:space="preserve"> (Morley, et. al., 2022)</w:t>
      </w:r>
      <w:r>
        <w:t xml:space="preserve">. As a result of this structure, individuals are encouraged to express themselves directly and without discretion where necessary, making communications efficient and transaction-based. However, it can cause some offense in cultures that are collectivistic in nature, which are those cultures </w:t>
      </w:r>
      <w:r>
        <w:lastRenderedPageBreak/>
        <w:t>that prioritize harmony. While dealing with issues, conflict is not concealed or hidden because unlike some cultures that seek traditional or indirect ways of solving issues, the UK takes time to engage in direct communication to solve those issues</w:t>
      </w:r>
      <w:r w:rsidR="0054091C">
        <w:t xml:space="preserve"> (Horan, 2022)</w:t>
      </w:r>
      <w:r>
        <w:t>.</w:t>
      </w:r>
    </w:p>
    <w:p w14:paraId="7AA223AD" w14:textId="77777777" w:rsidR="001A0B2F" w:rsidRPr="001A0B2F" w:rsidRDefault="001A0B2F" w:rsidP="001A0B2F">
      <w:pPr>
        <w:pStyle w:val="NormalWeb"/>
        <w:spacing w:line="360" w:lineRule="auto"/>
        <w:jc w:val="both"/>
      </w:pPr>
      <w:r w:rsidRPr="001A0B2F">
        <w:rPr>
          <w:rStyle w:val="Strong"/>
          <w:rFonts w:eastAsiaTheme="majorEastAsia"/>
        </w:rPr>
        <w:t>Japan Communication Style: Indirect, High-Context, Collectivist Culture</w:t>
      </w:r>
    </w:p>
    <w:p w14:paraId="393F8C60" w14:textId="0E7BD49A" w:rsidR="001A0B2F" w:rsidRPr="001A0B2F" w:rsidRDefault="00062099" w:rsidP="001A0B2F">
      <w:pPr>
        <w:pStyle w:val="NormalWeb"/>
        <w:spacing w:line="360" w:lineRule="auto"/>
        <w:jc w:val="both"/>
      </w:pPr>
      <w:r>
        <w:t>While the U</w:t>
      </w:r>
      <w:r w:rsidR="005E3CD1">
        <w:t>K</w:t>
      </w:r>
      <w:r>
        <w:t xml:space="preserve"> is an individualist culture that is very direct and assertive in its communication, the Japan is the opposite, with high-context communication, where nonverbal cues and the level of formality is important. While in the UK words have a definitive message, language in Japan is often understated, and nonverbally in particular are often instructions, signals, and indicators. Japanese business culture, being based on collectivism, focuses on maintaining social order, decision-making based on group consensus as well as observing strict hierarchies. The conflict within roles is managed to </w:t>
      </w:r>
      <w:r w:rsidR="002F7A72">
        <w:t>maintain</w:t>
      </w:r>
      <w:r>
        <w:t xml:space="preserve"> group cohesion: negative feedback is not given, and disagreements are not confrontational. That can cause vagueness, figurative language, which means that a listener has to guess a lot, which makes it different from the UK, where it is much clearer</w:t>
      </w:r>
      <w:r w:rsidR="0054091C">
        <w:t xml:space="preserve"> (Morse, et. al., 2022)</w:t>
      </w:r>
      <w:r>
        <w:t>.</w:t>
      </w:r>
    </w:p>
    <w:p w14:paraId="55F90156" w14:textId="77777777" w:rsidR="001A0B2F" w:rsidRPr="001A0B2F" w:rsidRDefault="001A0B2F" w:rsidP="001A0B2F">
      <w:pPr>
        <w:pStyle w:val="NormalWeb"/>
        <w:spacing w:line="360" w:lineRule="auto"/>
        <w:jc w:val="both"/>
      </w:pPr>
      <w:r w:rsidRPr="001A0B2F">
        <w:rPr>
          <w:rStyle w:val="Strong"/>
          <w:rFonts w:eastAsiaTheme="majorEastAsia"/>
        </w:rPr>
        <w:t>Potential for Misunderstandings in a Business Setting</w:t>
      </w:r>
    </w:p>
    <w:p w14:paraId="4CB51E80" w14:textId="77777777" w:rsidR="001A0B2F" w:rsidRPr="001A0B2F" w:rsidRDefault="00062099" w:rsidP="001A0B2F">
      <w:pPr>
        <w:pStyle w:val="NormalWeb"/>
        <w:spacing w:line="360" w:lineRule="auto"/>
        <w:jc w:val="both"/>
      </w:pPr>
      <w:r>
        <w:t>These cultural differences in communication may cause misunderstandings between the UK and Japan. It might seem hectoring or even rude to the Japanese compared to the indirect approach that the UK is used to. British participants may consider the lack of vocal communication of Japanese counterparts as weak decisions while Japanese individuals may find UK’s direct approach as confrontational</w:t>
      </w:r>
      <w:r w:rsidR="0054091C">
        <w:t xml:space="preserve"> (O'Dowd, 2021)</w:t>
      </w:r>
      <w:r>
        <w:t>. Also, UK employees may have challenges with Japan’s decision-making process where it is hierarchal while in the UK it is more of a flat structure where everyone gets a chance to participate. The UK team may perceive it as storing information unnecessarily and not sharing it openly while the Japanese team may consider the UK team members’ decisions as disruptive and going against the group’s collective decision-making process.</w:t>
      </w:r>
    </w:p>
    <w:p w14:paraId="5B6001AB" w14:textId="77777777" w:rsidR="001A0B2F" w:rsidRPr="001A0B2F" w:rsidRDefault="001A0B2F" w:rsidP="001A0B2F">
      <w:pPr>
        <w:pStyle w:val="NormalWeb"/>
        <w:spacing w:line="360" w:lineRule="auto"/>
        <w:jc w:val="both"/>
      </w:pPr>
      <w:r w:rsidRPr="001A0B2F">
        <w:t>These communication differences can manifest in several ways, such as:</w:t>
      </w:r>
    </w:p>
    <w:p w14:paraId="0D2CEFEA" w14:textId="77777777" w:rsidR="00062099" w:rsidRPr="00062099" w:rsidRDefault="00062099" w:rsidP="00062099">
      <w:pPr>
        <w:spacing w:before="100" w:beforeAutospacing="1" w:after="100" w:afterAutospacing="1" w:line="360" w:lineRule="auto"/>
        <w:jc w:val="both"/>
      </w:pPr>
      <w:r w:rsidRPr="00062099">
        <w:rPr>
          <w:b/>
        </w:rPr>
        <w:t>Communication and Decision-Making:</w:t>
      </w:r>
      <w:r w:rsidRPr="00062099">
        <w:t xml:space="preserve"> UK employees might be used to making decisions on their own and faster than their Japanese counterparts who might take time to consult widely before coming to a conclusion.</w:t>
      </w:r>
    </w:p>
    <w:p w14:paraId="0FFCA1FA" w14:textId="77777777" w:rsidR="00062099" w:rsidRPr="00062099" w:rsidRDefault="00062099" w:rsidP="00062099">
      <w:pPr>
        <w:spacing w:before="100" w:beforeAutospacing="1" w:after="100" w:afterAutospacing="1" w:line="360" w:lineRule="auto"/>
        <w:jc w:val="both"/>
      </w:pPr>
      <w:r w:rsidRPr="00062099">
        <w:rPr>
          <w:b/>
        </w:rPr>
        <w:lastRenderedPageBreak/>
        <w:t>Feedback:</w:t>
      </w:r>
      <w:r w:rsidRPr="00062099">
        <w:t xml:space="preserve"> UK workers may be direct when providing feedback, which may be perceived as blunt to our Japanese colleagues who work best when criticized gently.</w:t>
      </w:r>
    </w:p>
    <w:p w14:paraId="69DEAF9C" w14:textId="77777777" w:rsidR="001A0B2F" w:rsidRPr="001A0B2F" w:rsidRDefault="00062099" w:rsidP="00062099">
      <w:pPr>
        <w:spacing w:before="100" w:beforeAutospacing="1" w:after="100" w:afterAutospacing="1" w:line="360" w:lineRule="auto"/>
        <w:jc w:val="both"/>
      </w:pPr>
      <w:r w:rsidRPr="00062099">
        <w:rPr>
          <w:b/>
        </w:rPr>
        <w:t>Cultural influence:</w:t>
      </w:r>
      <w:r w:rsidRPr="00062099">
        <w:t xml:space="preserve"> British negotiators may seek prompt answers or an immediate agreement, whereas Japanese negotiators will be more likely to focus on the long-term partnership rather than the specific outcome.</w:t>
      </w:r>
    </w:p>
    <w:p w14:paraId="7564ED68" w14:textId="12935957" w:rsidR="001A0B2F" w:rsidRPr="007141E0" w:rsidRDefault="001A0B2F" w:rsidP="007141E0">
      <w:pPr>
        <w:rPr>
          <w:rFonts w:eastAsiaTheme="majorEastAsia" w:cstheme="majorBidi"/>
          <w:b/>
          <w:sz w:val="28"/>
          <w:szCs w:val="32"/>
          <w:lang w:eastAsia="en-IN"/>
        </w:rPr>
      </w:pPr>
      <w:bookmarkStart w:id="3" w:name="_Toc192776350"/>
      <w:r w:rsidRPr="001A0B2F">
        <w:rPr>
          <w:rStyle w:val="Strong"/>
          <w:rFonts w:eastAsiaTheme="majorEastAsia"/>
          <w:bCs w:val="0"/>
        </w:rPr>
        <w:t>Application of Cultural Theories</w:t>
      </w:r>
      <w:bookmarkEnd w:id="3"/>
      <w:r w:rsidRPr="001A0B2F">
        <w:rPr>
          <w:rStyle w:val="Strong"/>
          <w:rFonts w:eastAsiaTheme="majorEastAsia"/>
          <w:bCs w:val="0"/>
        </w:rPr>
        <w:t xml:space="preserve"> </w:t>
      </w:r>
    </w:p>
    <w:p w14:paraId="3BF4A698" w14:textId="77777777" w:rsidR="001A0B2F" w:rsidRPr="001A0B2F" w:rsidRDefault="00062099" w:rsidP="001A0B2F">
      <w:pPr>
        <w:pStyle w:val="NormalWeb"/>
        <w:spacing w:line="360" w:lineRule="auto"/>
        <w:jc w:val="both"/>
      </w:pPr>
      <w:r>
        <w:t>Therefore, in order to better comprehend the differences in communication between the UK and Japan, one needs to apply the frameworks that explain how culture influences communication patterns. In this section, one can will explain Hofstede’s Cultural Dimensions, the High-context and Low-context Communication Theory, and the 7 Dimensions of Culture to argue how these theories can be used to understand the communication barriers that UK-based Unilever and Japanese-based Toyota encountered in their partnership</w:t>
      </w:r>
      <w:r w:rsidR="0054091C">
        <w:t xml:space="preserve"> (Tambo, et. al., 2021)</w:t>
      </w:r>
      <w:r>
        <w:t>.</w:t>
      </w:r>
    </w:p>
    <w:p w14:paraId="33A7D9C7" w14:textId="77777777" w:rsidR="001A0B2F" w:rsidRPr="00D52797" w:rsidRDefault="001A0B2F" w:rsidP="00D52797">
      <w:pPr>
        <w:pStyle w:val="Heading2"/>
      </w:pPr>
      <w:bookmarkStart w:id="4" w:name="_Toc192776351"/>
      <w:r w:rsidRPr="00D52797">
        <w:rPr>
          <w:rStyle w:val="Strong"/>
          <w:b/>
          <w:bCs w:val="0"/>
        </w:rPr>
        <w:t>Hofstede’s Cultural Dimensions</w:t>
      </w:r>
      <w:bookmarkEnd w:id="4"/>
    </w:p>
    <w:p w14:paraId="495A88D9" w14:textId="3315FD15" w:rsidR="001A0B2F" w:rsidRPr="001A0B2F" w:rsidRDefault="00062099" w:rsidP="001A0B2F">
      <w:pPr>
        <w:pStyle w:val="NormalWeb"/>
        <w:spacing w:line="360" w:lineRule="auto"/>
        <w:jc w:val="both"/>
      </w:pPr>
      <w:r>
        <w:t>Hofstede’s Cultural Dimensions Theory offers the guidelines for studying cultural distinction between countries. In Hofstede’s framework, there are outlined a number of dimensions that make up culture and which defines how people communicate, solve problems and behave in different contexts</w:t>
      </w:r>
      <w:r w:rsidR="005E3CD1">
        <w:t xml:space="preserve"> (Hofstede, </w:t>
      </w:r>
      <w:r w:rsidR="00092784">
        <w:t>1980</w:t>
      </w:r>
      <w:r w:rsidR="005E3CD1">
        <w:t>)</w:t>
      </w:r>
      <w:r>
        <w:t>.</w:t>
      </w:r>
    </w:p>
    <w:p w14:paraId="3140D9B4" w14:textId="77777777" w:rsidR="001A0B2F" w:rsidRDefault="001A0B2F" w:rsidP="001A0B2F">
      <w:pPr>
        <w:pStyle w:val="NormalWeb"/>
        <w:numPr>
          <w:ilvl w:val="0"/>
          <w:numId w:val="41"/>
        </w:numPr>
        <w:spacing w:line="360" w:lineRule="auto"/>
        <w:jc w:val="both"/>
      </w:pPr>
      <w:r w:rsidRPr="001A0B2F">
        <w:rPr>
          <w:rStyle w:val="Strong"/>
          <w:rFonts w:eastAsiaTheme="majorEastAsia"/>
        </w:rPr>
        <w:t>Power Distance</w:t>
      </w:r>
      <w:r w:rsidRPr="001A0B2F">
        <w:t>:</w:t>
      </w:r>
    </w:p>
    <w:p w14:paraId="1FECA54F" w14:textId="77777777" w:rsidR="00062099" w:rsidRDefault="00062099" w:rsidP="001A0B2F">
      <w:pPr>
        <w:pStyle w:val="NormalWeb"/>
        <w:spacing w:line="360" w:lineRule="auto"/>
        <w:ind w:left="720"/>
        <w:jc w:val="both"/>
      </w:pPr>
      <w:r>
        <w:t>The overall power distance in the UK is quite small, so there isn’t a big divide between the upper management and the employees. The British business culture intends managers to be more approachable and friendly than their counterparts in other countries and take decisions along with subordinates. This is because communication within the UK is generally rather direct, and the power relations within organisations tend to be less hierarchical than in other countries.</w:t>
      </w:r>
    </w:p>
    <w:p w14:paraId="548E9626" w14:textId="77777777" w:rsidR="00062099" w:rsidRDefault="00062099" w:rsidP="001A0B2F">
      <w:pPr>
        <w:pStyle w:val="NormalWeb"/>
        <w:spacing w:line="360" w:lineRule="auto"/>
        <w:ind w:left="720"/>
        <w:jc w:val="both"/>
      </w:pPr>
      <w:r>
        <w:t xml:space="preserve">In contrast, Japan is characterized by high power distance which means emphasis on obedience to authority figures and the elderly. Decision-making in Japanese organizations is basically centralized with line managers providing guidelines and the final decisions being made by the organizational executives who seek recommendations </w:t>
      </w:r>
      <w:r>
        <w:lastRenderedPageBreak/>
        <w:t>from subordinates. This structural pattern affects communication because subordinates cannot question the authorities and may conceal disagreement.</w:t>
      </w:r>
    </w:p>
    <w:p w14:paraId="7D231075" w14:textId="77777777" w:rsidR="001A0B2F" w:rsidRPr="001A0B2F" w:rsidRDefault="00062099" w:rsidP="001A0B2F">
      <w:pPr>
        <w:pStyle w:val="NormalWeb"/>
        <w:spacing w:line="360" w:lineRule="auto"/>
        <w:ind w:left="720"/>
        <w:jc w:val="both"/>
      </w:pPr>
      <w:r w:rsidRPr="00062099">
        <w:rPr>
          <w:b/>
        </w:rPr>
        <w:t>Example:</w:t>
      </w:r>
      <w:r>
        <w:t xml:space="preserve"> If Unilever sources its team from the UK while Toyota sources its team from Japan, then Unilever’s team may expect more employee participation and proactivity as opposed to the Toyota team that may expect subordinates to be submissive and only respond when they are spoken to.</w:t>
      </w:r>
    </w:p>
    <w:p w14:paraId="453B64D8" w14:textId="77777777" w:rsidR="001A0B2F" w:rsidRDefault="001A0B2F" w:rsidP="001A0B2F">
      <w:pPr>
        <w:pStyle w:val="NormalWeb"/>
        <w:numPr>
          <w:ilvl w:val="0"/>
          <w:numId w:val="41"/>
        </w:numPr>
        <w:spacing w:line="360" w:lineRule="auto"/>
        <w:jc w:val="both"/>
      </w:pPr>
      <w:r w:rsidRPr="001A0B2F">
        <w:rPr>
          <w:rStyle w:val="Strong"/>
          <w:rFonts w:eastAsiaTheme="majorEastAsia"/>
        </w:rPr>
        <w:t>Individualism vs. Collectivism</w:t>
      </w:r>
      <w:r w:rsidRPr="001A0B2F">
        <w:t>:</w:t>
      </w:r>
    </w:p>
    <w:p w14:paraId="1298948E" w14:textId="263C5F97" w:rsidR="00062099" w:rsidRDefault="00062099" w:rsidP="001A0B2F">
      <w:pPr>
        <w:pStyle w:val="NormalWeb"/>
        <w:spacing w:line="360" w:lineRule="auto"/>
        <w:ind w:left="720"/>
        <w:jc w:val="both"/>
      </w:pPr>
      <w:r>
        <w:t>It was found that the UK is an individualistic culture, which means that its members adhere to beliefs such as the importance of self-identity, personal liberty, and rights. This applies to business practices in the sense of measuring and rewarding individual results, employee initiatives, and the freedom of speech in an organization. Risk taking and assertiveness regarding ideas and necessary actions are valued by society.</w:t>
      </w:r>
      <w:r>
        <w:br/>
        <w:t xml:space="preserve">For instance, whereas the United </w:t>
      </w:r>
      <w:r w:rsidR="006D7B7E">
        <w:rPr>
          <w:lang w:val="en-GB"/>
        </w:rPr>
        <w:t>Kingdom</w:t>
      </w:r>
      <w:r>
        <w:t xml:space="preserve"> is an individualist culture that emphasizes independence, autonomy, liberty, and self-expression, Japan is a collectivist culture that values interdependence, cooperation, consensus, collectivism and intergroup obeisance. This can also be seen in Japanese business practices where few decisions are made individually and everyone is expected to work towards the common goal. This being the case, communication is more indirect and focused on maintaining compromise and avoiding conflict with the other person</w:t>
      </w:r>
      <w:r w:rsidR="0054091C">
        <w:t xml:space="preserve"> (Leal Filho, et. al., 2023)</w:t>
      </w:r>
      <w:r>
        <w:t>.</w:t>
      </w:r>
    </w:p>
    <w:p w14:paraId="0287B626" w14:textId="77777777" w:rsidR="001A0B2F" w:rsidRPr="001A0B2F" w:rsidRDefault="00062099" w:rsidP="001A0B2F">
      <w:pPr>
        <w:pStyle w:val="NormalWeb"/>
        <w:spacing w:line="360" w:lineRule="auto"/>
        <w:ind w:left="720"/>
        <w:jc w:val="both"/>
      </w:pPr>
      <w:r w:rsidRPr="00062099">
        <w:rPr>
          <w:b/>
        </w:rPr>
        <w:t>Example:</w:t>
      </w:r>
      <w:r>
        <w:t xml:space="preserve"> In the case of Unilever and Toyota joint venture, the British team might make decisions in a snap and on their own, while the Japanese team may spend time consulting with a lot of people before arriving at the final decision.</w:t>
      </w:r>
    </w:p>
    <w:p w14:paraId="2B6389E0" w14:textId="77777777" w:rsidR="001A0B2F" w:rsidRDefault="001A0B2F" w:rsidP="001A0B2F">
      <w:pPr>
        <w:pStyle w:val="NormalWeb"/>
        <w:numPr>
          <w:ilvl w:val="0"/>
          <w:numId w:val="41"/>
        </w:numPr>
        <w:spacing w:line="360" w:lineRule="auto"/>
        <w:jc w:val="both"/>
      </w:pPr>
      <w:r w:rsidRPr="001A0B2F">
        <w:rPr>
          <w:rStyle w:val="Strong"/>
          <w:rFonts w:eastAsiaTheme="majorEastAsia"/>
        </w:rPr>
        <w:t>Uncertainty Avoidance</w:t>
      </w:r>
      <w:r w:rsidRPr="001A0B2F">
        <w:t>:</w:t>
      </w:r>
    </w:p>
    <w:p w14:paraId="24AD2774" w14:textId="62DADD3E" w:rsidR="00062099" w:rsidRDefault="00062099" w:rsidP="001A0B2F">
      <w:pPr>
        <w:pStyle w:val="NormalWeb"/>
        <w:spacing w:line="360" w:lineRule="auto"/>
        <w:ind w:left="720"/>
        <w:jc w:val="both"/>
      </w:pPr>
      <w:r>
        <w:t xml:space="preserve">Next, Japan has a high uncertainty avoidance index which suggests that people from Japan do not like situations where things are not well defined or where there is lot of room for </w:t>
      </w:r>
      <w:r w:rsidR="006D7B7E">
        <w:t>manoeuvre</w:t>
      </w:r>
      <w:r>
        <w:t>. In business, this tendency is manifested in thorough preparation, avoidance of risks, and the desire for specific rules and well-developed contracts. There is always a formal way of communicating with superiors to ensure that there is no conflict of any sort</w:t>
      </w:r>
      <w:r w:rsidR="0054091C">
        <w:t xml:space="preserve"> (Jae Moon, et. al., 2021)</w:t>
      </w:r>
      <w:r>
        <w:t>.</w:t>
      </w:r>
    </w:p>
    <w:p w14:paraId="21CF45CA" w14:textId="77777777" w:rsidR="00062099" w:rsidRDefault="00062099" w:rsidP="001A0B2F">
      <w:pPr>
        <w:pStyle w:val="NormalWeb"/>
        <w:spacing w:line="360" w:lineRule="auto"/>
        <w:ind w:left="720"/>
        <w:jc w:val="both"/>
      </w:pPr>
      <w:r>
        <w:lastRenderedPageBreak/>
        <w:t>In contrast, the UK with a moderate score of this dimension is more accepting of uncertainty and vagueness. This is best demonstrated by the UK’s attitude towards time management, decision making, and information sharing. Another cultural difference may be seen in the manner how British teams manage uncertain situations; they may not necessarily over-prepare, and prioritize the ‘now’ time.</w:t>
      </w:r>
    </w:p>
    <w:p w14:paraId="27B51626" w14:textId="77777777" w:rsidR="001A0B2F" w:rsidRPr="001A0B2F" w:rsidRDefault="00062099" w:rsidP="001A0B2F">
      <w:pPr>
        <w:pStyle w:val="NormalWeb"/>
        <w:spacing w:line="360" w:lineRule="auto"/>
        <w:ind w:left="720"/>
        <w:jc w:val="both"/>
      </w:pPr>
      <w:r>
        <w:t>Toyota’s team may assume well-defined processes and planned goals in the collaboration, while Unilever may be more open to simply exploring, with an emphasis on the dynamics of the cooperation.</w:t>
      </w:r>
    </w:p>
    <w:p w14:paraId="691F7962" w14:textId="77777777" w:rsidR="001A0B2F" w:rsidRPr="001A0B2F" w:rsidRDefault="001A0B2F" w:rsidP="001A0B2F">
      <w:pPr>
        <w:spacing w:line="360" w:lineRule="auto"/>
        <w:jc w:val="both"/>
      </w:pPr>
    </w:p>
    <w:p w14:paraId="77808CAD" w14:textId="715EE654" w:rsidR="001A0B2F" w:rsidRPr="00D52797" w:rsidRDefault="00E74FA2" w:rsidP="00D52797">
      <w:pPr>
        <w:pStyle w:val="Heading2"/>
      </w:pPr>
      <w:bookmarkStart w:id="5" w:name="_Toc192776352"/>
      <w:r>
        <w:rPr>
          <w:rStyle w:val="Strong"/>
          <w:b/>
          <w:bCs w:val="0"/>
        </w:rPr>
        <w:t xml:space="preserve"> </w:t>
      </w:r>
      <w:r w:rsidR="001A0B2F" w:rsidRPr="00D52797">
        <w:rPr>
          <w:rStyle w:val="Strong"/>
          <w:b/>
          <w:bCs w:val="0"/>
        </w:rPr>
        <w:t>High-context and Low-context Communication Theory</w:t>
      </w:r>
      <w:bookmarkEnd w:id="5"/>
    </w:p>
    <w:p w14:paraId="19A1AE27" w14:textId="77777777" w:rsidR="001A0B2F" w:rsidRPr="001A0B2F" w:rsidRDefault="00062099" w:rsidP="001A0B2F">
      <w:pPr>
        <w:pStyle w:val="NormalWeb"/>
        <w:spacing w:line="360" w:lineRule="auto"/>
        <w:jc w:val="both"/>
      </w:pPr>
      <w:r>
        <w:t>The High-context and Low-context Communication Theory by Edward T. Hall explains the differences in communication between the United Kingdom and Japan in a more detailed manner. Hall distinguishes two types of culture: high-context and low-context, in which high-context cultures use much of the context, gestures, and references within the cultures to convey meaning, while low-context cultures utilize words and straightforward directions.</w:t>
      </w:r>
    </w:p>
    <w:p w14:paraId="6AA2D7D2" w14:textId="77777777" w:rsidR="00062099" w:rsidRPr="00062099" w:rsidRDefault="00062099" w:rsidP="00062099">
      <w:pPr>
        <w:pStyle w:val="NormalWeb"/>
        <w:spacing w:line="360" w:lineRule="auto"/>
        <w:jc w:val="both"/>
        <w:rPr>
          <w:lang w:val="en-US"/>
        </w:rPr>
      </w:pPr>
      <w:r w:rsidRPr="00062099">
        <w:rPr>
          <w:b/>
          <w:lang w:val="en-US"/>
        </w:rPr>
        <w:t>Nonverbal communication:</w:t>
      </w:r>
      <w:r w:rsidRPr="00062099">
        <w:rPr>
          <w:lang w:val="en-US"/>
        </w:rPr>
        <w:t xml:space="preserve"> The national culture of the United Kingdom is low context, which means that people directly state what they want to convey. Less use of body language and gestures, and more focus is put on the clarity of the words being said. In the British business environment, employees are required to express their ideas coherently, and the debates are typically rational and explicit</w:t>
      </w:r>
      <w:r w:rsidR="0054091C">
        <w:rPr>
          <w:lang w:val="en-US"/>
        </w:rPr>
        <w:t xml:space="preserve"> </w:t>
      </w:r>
      <w:r w:rsidR="0054091C">
        <w:t>(Fraccastoro, et. al., 2021)</w:t>
      </w:r>
      <w:r w:rsidRPr="00062099">
        <w:rPr>
          <w:lang w:val="en-US"/>
        </w:rPr>
        <w:t>.</w:t>
      </w:r>
    </w:p>
    <w:p w14:paraId="043E8256" w14:textId="77777777" w:rsidR="00062099" w:rsidRPr="00062099" w:rsidRDefault="00062099" w:rsidP="00062099">
      <w:pPr>
        <w:pStyle w:val="NormalWeb"/>
        <w:spacing w:line="360" w:lineRule="auto"/>
        <w:jc w:val="both"/>
        <w:rPr>
          <w:lang w:val="en-US"/>
        </w:rPr>
      </w:pPr>
      <w:r w:rsidRPr="00062099">
        <w:rPr>
          <w:lang w:val="en-US"/>
        </w:rPr>
        <w:t>Japan is a high-context culture, meaning that a significant portion of communication involves interpreting the message using contextual information. Nonverbal communication, particularly the absence of speech, body movements, and tone of voice, all play significant roles in the transmission of information</w:t>
      </w:r>
      <w:r w:rsidR="0054091C">
        <w:rPr>
          <w:lang w:val="en-US"/>
        </w:rPr>
        <w:t xml:space="preserve"> </w:t>
      </w:r>
      <w:r w:rsidR="0054091C">
        <w:t>(da Costa and Rose, 2024)</w:t>
      </w:r>
      <w:r w:rsidRPr="00062099">
        <w:rPr>
          <w:lang w:val="en-US"/>
        </w:rPr>
        <w:t>. Indirectness, context dependency, and other aspects of Japanese communication means that matters are often not communicated overtly and the listener has to infer the message based on the relationship between the sender and the receiver.</w:t>
      </w:r>
    </w:p>
    <w:p w14:paraId="6D1AD80F" w14:textId="77777777" w:rsidR="001A0B2F" w:rsidRPr="001A0B2F" w:rsidRDefault="00062099" w:rsidP="00062099">
      <w:pPr>
        <w:pStyle w:val="NormalWeb"/>
        <w:spacing w:line="360" w:lineRule="auto"/>
        <w:jc w:val="both"/>
      </w:pPr>
      <w:r w:rsidRPr="00062099">
        <w:rPr>
          <w:b/>
          <w:lang w:val="en-US"/>
        </w:rPr>
        <w:t>Example:</w:t>
      </w:r>
      <w:r w:rsidRPr="00062099">
        <w:rPr>
          <w:lang w:val="en-US"/>
        </w:rPr>
        <w:t xml:space="preserve"> The direct style of communication that Unilever uses may sometimes be interpreted as aggressive or rude by Toyota’s team, while the latter may expect the former to use such cues as tone of voice, gestures, and facial expressions to convey the same message. It may be </w:t>
      </w:r>
      <w:r w:rsidRPr="00062099">
        <w:rPr>
          <w:lang w:val="en-US"/>
        </w:rPr>
        <w:lastRenderedPageBreak/>
        <w:t>accustomed to using nonverbal cues such as speaking little and using hand gestures in meetings, which might prove puzzling to the Unilever team should they not understand nonverbal cues well.</w:t>
      </w:r>
    </w:p>
    <w:p w14:paraId="39DFA7D8" w14:textId="77777777" w:rsidR="001A0B2F" w:rsidRPr="001A0B2F" w:rsidRDefault="001A0B2F" w:rsidP="001A0B2F">
      <w:pPr>
        <w:spacing w:line="360" w:lineRule="auto"/>
        <w:jc w:val="both"/>
      </w:pPr>
    </w:p>
    <w:p w14:paraId="5436CEA0" w14:textId="77777777" w:rsidR="001A0B2F" w:rsidRPr="00D52797" w:rsidRDefault="001A0B2F" w:rsidP="00D52797">
      <w:pPr>
        <w:pStyle w:val="Heading2"/>
      </w:pPr>
      <w:bookmarkStart w:id="6" w:name="_Toc192776353"/>
      <w:r w:rsidRPr="00D52797">
        <w:rPr>
          <w:rStyle w:val="Strong"/>
          <w:b/>
          <w:bCs w:val="0"/>
        </w:rPr>
        <w:t>7 Dimensions of Culture</w:t>
      </w:r>
      <w:bookmarkEnd w:id="6"/>
    </w:p>
    <w:p w14:paraId="55A1C310" w14:textId="77777777" w:rsidR="001A0B2F" w:rsidRPr="001A0B2F" w:rsidRDefault="00062099" w:rsidP="001A0B2F">
      <w:pPr>
        <w:pStyle w:val="NormalWeb"/>
        <w:spacing w:line="360" w:lineRule="auto"/>
        <w:jc w:val="both"/>
      </w:pPr>
      <w:r>
        <w:t>The book ‘Riding the Waves of Culture: Understanding the 7 Dimensions of Culture by Fons Trompenaars and Charles Hampden-Turner offer another approach to comparing the culture of the UK and Japan. These dimensions assist in understanding and facilitating differences in values, practice, and expressions among the peoples of diverse culture.</w:t>
      </w:r>
    </w:p>
    <w:p w14:paraId="39C52F14" w14:textId="77777777" w:rsidR="001A0B2F" w:rsidRDefault="001A0B2F" w:rsidP="001A0B2F">
      <w:pPr>
        <w:pStyle w:val="NormalWeb"/>
        <w:numPr>
          <w:ilvl w:val="0"/>
          <w:numId w:val="43"/>
        </w:numPr>
        <w:spacing w:line="360" w:lineRule="auto"/>
        <w:jc w:val="both"/>
      </w:pPr>
      <w:r w:rsidRPr="001A0B2F">
        <w:rPr>
          <w:rStyle w:val="Strong"/>
          <w:rFonts w:eastAsiaTheme="majorEastAsia"/>
        </w:rPr>
        <w:t>Universalism vs. Particularism</w:t>
      </w:r>
      <w:r w:rsidRPr="001A0B2F">
        <w:t>:</w:t>
      </w:r>
    </w:p>
    <w:p w14:paraId="5CABEC2E" w14:textId="77777777" w:rsidR="00062099" w:rsidRDefault="00062099" w:rsidP="001A0B2F">
      <w:pPr>
        <w:pStyle w:val="NormalWeb"/>
        <w:spacing w:line="360" w:lineRule="auto"/>
        <w:ind w:left="720"/>
        <w:jc w:val="both"/>
        <w:rPr>
          <w:lang w:val="en-US"/>
        </w:rPr>
      </w:pPr>
      <w:r w:rsidRPr="00062099">
        <w:rPr>
          <w:lang w:val="en-US"/>
        </w:rPr>
        <w:t>The UK is a legalistic country, and everyone is treated legally in the same way, with no compromising for one or the other. That indicates that attention is paid to consistency and equal treatment of all parties involved, resulting in communication that is relatively clear and easily interpretable by different parties and adherent to regulated rules.</w:t>
      </w:r>
      <w:r w:rsidRPr="00062099">
        <w:rPr>
          <w:lang w:val="en-US"/>
        </w:rPr>
        <w:br/>
        <w:t>Japan is also a more ‘particularistic’ society, making what people can and cannot do heavily dependent on the circumstances and the relationship that exists between different people. It is important to recognize that rules are operationalized in relation to contexts and the social dynamics involved, in this case the business relationship between the two parties</w:t>
      </w:r>
      <w:r w:rsidR="0054091C">
        <w:rPr>
          <w:lang w:val="en-US"/>
        </w:rPr>
        <w:t xml:space="preserve"> </w:t>
      </w:r>
      <w:r w:rsidR="0054091C">
        <w:t>(Masuda, et. al., 2021)</w:t>
      </w:r>
      <w:r w:rsidRPr="00062099">
        <w:rPr>
          <w:lang w:val="en-US"/>
        </w:rPr>
        <w:t>.</w:t>
      </w:r>
    </w:p>
    <w:p w14:paraId="4A90795A" w14:textId="77777777" w:rsidR="001A0B2F" w:rsidRPr="001A0B2F" w:rsidRDefault="00062099" w:rsidP="001A0B2F">
      <w:pPr>
        <w:pStyle w:val="NormalWeb"/>
        <w:spacing w:line="360" w:lineRule="auto"/>
        <w:ind w:left="720"/>
        <w:jc w:val="both"/>
      </w:pPr>
      <w:r w:rsidRPr="00062099">
        <w:rPr>
          <w:lang w:val="en-US"/>
        </w:rPr>
        <w:t>For instance, while one partner, such as Unilever, believes that everyone should be black and white and get the job done, another partner, such as Toyota, may view flexibility as a priority; meaning that they do not need to do things in a rigid manner but can adapt depending on their respective affiliation or circumstances.</w:t>
      </w:r>
    </w:p>
    <w:p w14:paraId="0C0B53BA" w14:textId="77777777" w:rsidR="007141E0" w:rsidRDefault="007141E0" w:rsidP="007141E0">
      <w:pPr>
        <w:pStyle w:val="NormalWeb"/>
        <w:spacing w:line="360" w:lineRule="auto"/>
        <w:ind w:left="360"/>
        <w:jc w:val="both"/>
        <w:rPr>
          <w:rStyle w:val="Strong"/>
          <w:rFonts w:eastAsiaTheme="majorEastAsia"/>
        </w:rPr>
      </w:pPr>
    </w:p>
    <w:p w14:paraId="238C46F7" w14:textId="6D548794" w:rsidR="001A0B2F" w:rsidRDefault="007141E0" w:rsidP="007141E0">
      <w:pPr>
        <w:pStyle w:val="NormalWeb"/>
        <w:spacing w:line="360" w:lineRule="auto"/>
        <w:ind w:left="360"/>
        <w:jc w:val="both"/>
      </w:pPr>
      <w:r>
        <w:rPr>
          <w:rStyle w:val="Strong"/>
          <w:rFonts w:eastAsiaTheme="majorEastAsia"/>
          <w:b w:val="0"/>
          <w:bCs w:val="0"/>
        </w:rPr>
        <w:t>2.</w:t>
      </w:r>
      <w:r>
        <w:rPr>
          <w:rStyle w:val="Strong"/>
          <w:rFonts w:eastAsiaTheme="majorEastAsia"/>
        </w:rPr>
        <w:t xml:space="preserve"> </w:t>
      </w:r>
      <w:r w:rsidR="001A0B2F" w:rsidRPr="001A0B2F">
        <w:rPr>
          <w:rStyle w:val="Strong"/>
          <w:rFonts w:eastAsiaTheme="majorEastAsia"/>
        </w:rPr>
        <w:t>Achievement vs. Ascription</w:t>
      </w:r>
      <w:r w:rsidR="001A0B2F" w:rsidRPr="001A0B2F">
        <w:t>:</w:t>
      </w:r>
    </w:p>
    <w:p w14:paraId="578B4054" w14:textId="77777777" w:rsidR="00062099" w:rsidRDefault="00062099" w:rsidP="00062099">
      <w:pPr>
        <w:pStyle w:val="NormalWeb"/>
        <w:spacing w:line="360" w:lineRule="auto"/>
        <w:ind w:left="720"/>
        <w:jc w:val="both"/>
      </w:pPr>
      <w:r>
        <w:t>The UK is predominantly an achievement oriented culture, which emphasizes status on the basis of merit and performance. Communication is not as group-oriented here, and more personal and focused on the demonstration of one’s abilities and achievements.</w:t>
      </w:r>
      <w:r>
        <w:br/>
      </w:r>
      <w:r>
        <w:lastRenderedPageBreak/>
        <w:t>Japan has a strong culture of ascription where people earn certain status depending on factors such as age, organizational rank, and tenure. This may lead to the restriction of communication due to hierarchical structures which require subordinates to respect seniors.</w:t>
      </w:r>
    </w:p>
    <w:p w14:paraId="1C491264" w14:textId="77777777" w:rsidR="00FC3BDC" w:rsidRDefault="00062099" w:rsidP="00FC3BDC">
      <w:pPr>
        <w:pStyle w:val="NormalWeb"/>
        <w:spacing w:line="360" w:lineRule="auto"/>
        <w:ind w:left="720"/>
        <w:jc w:val="both"/>
      </w:pPr>
      <w:r w:rsidRPr="00062099">
        <w:rPr>
          <w:b/>
        </w:rPr>
        <w:t>Example:</w:t>
      </w:r>
      <w:r>
        <w:t xml:space="preserve"> The British team at Unilever may believe that they deserve respect due to the expertise and performance in the partnership while the Japanese team at Toyota may respect the relationship they have built over time regardless of performance.</w:t>
      </w:r>
      <w:bookmarkStart w:id="7" w:name="_Toc192776354"/>
    </w:p>
    <w:p w14:paraId="118EC70A" w14:textId="3A535095" w:rsidR="001A0B2F" w:rsidRPr="00FC3BDC" w:rsidRDefault="001A0B2F" w:rsidP="00FC3BDC">
      <w:pPr>
        <w:pStyle w:val="NormalWeb"/>
        <w:spacing w:line="360" w:lineRule="auto"/>
        <w:ind w:left="720"/>
        <w:rPr>
          <w:sz w:val="28"/>
          <w:szCs w:val="28"/>
        </w:rPr>
      </w:pPr>
      <w:r w:rsidRPr="00FC3BDC">
        <w:rPr>
          <w:rStyle w:val="Strong"/>
          <w:rFonts w:eastAsiaTheme="majorEastAsia"/>
          <w:bCs w:val="0"/>
          <w:sz w:val="28"/>
          <w:szCs w:val="28"/>
        </w:rPr>
        <w:t>Implications for Effective Communication and Collaboration</w:t>
      </w:r>
      <w:bookmarkEnd w:id="7"/>
      <w:r w:rsidRPr="00FC3BDC">
        <w:rPr>
          <w:rStyle w:val="Strong"/>
          <w:rFonts w:eastAsiaTheme="majorEastAsia"/>
          <w:bCs w:val="0"/>
          <w:sz w:val="28"/>
          <w:szCs w:val="28"/>
        </w:rPr>
        <w:t xml:space="preserve"> </w:t>
      </w:r>
    </w:p>
    <w:p w14:paraId="2D768D8C" w14:textId="77777777" w:rsidR="001A0B2F" w:rsidRPr="001A0B2F" w:rsidRDefault="00062099" w:rsidP="001A0B2F">
      <w:pPr>
        <w:pStyle w:val="NormalWeb"/>
        <w:spacing w:line="360" w:lineRule="auto"/>
        <w:jc w:val="both"/>
      </w:pPr>
      <w:r>
        <w:t>Due to cultural differences between UK and Japanese employees, communication is a vital factor determining the outcomes of international partnerships. In the case of the UK-based Unilever and the Japanese-based Toyota, effective communication can only be enhanced by having one party learn the cultural practices of the other. By participating in intercultural training strategies, improving interpersonal communication, and managing cultural differences, these teams could avoid communication breakdown and work effectively.</w:t>
      </w:r>
    </w:p>
    <w:p w14:paraId="3820EF34" w14:textId="77777777" w:rsidR="001A0B2F" w:rsidRPr="00D52797" w:rsidRDefault="001A0B2F" w:rsidP="00D52797">
      <w:pPr>
        <w:pStyle w:val="Heading2"/>
      </w:pPr>
      <w:bookmarkStart w:id="8" w:name="_Toc192776355"/>
      <w:r w:rsidRPr="00D52797">
        <w:rPr>
          <w:rStyle w:val="Strong"/>
          <w:b/>
          <w:bCs w:val="0"/>
        </w:rPr>
        <w:t>1. Intercultural Training</w:t>
      </w:r>
      <w:bookmarkEnd w:id="8"/>
    </w:p>
    <w:p w14:paraId="62857255" w14:textId="799561ED" w:rsidR="001A0B2F" w:rsidRPr="001A0B2F" w:rsidRDefault="00062099" w:rsidP="001A0B2F">
      <w:pPr>
        <w:pStyle w:val="NormalWeb"/>
        <w:spacing w:line="360" w:lineRule="auto"/>
        <w:jc w:val="both"/>
      </w:pPr>
      <w:r>
        <w:t xml:space="preserve">As intercultural training help to enhance the collaboration between UK and Japanese teams. This makes it easy for individuals to learn about the cultural and communication practices that their colleagues embrace. British professionals can learn about how </w:t>
      </w:r>
      <w:r w:rsidR="00BA53A3">
        <w:t>Japanese</w:t>
      </w:r>
      <w:r>
        <w:t xml:space="preserve"> organization culture is highly hierarchical and how the Japanese tend to be less direct when communicating their ideas while the Japanese employees can learn about how UK organization culture is more direct and individualistic. This training should also build cultural intelligence (CQ) by providing tangible resources such as role-plays in order to use culturally acquired knowledge in practice. In addition, intercultural training helps us to establish relationships pervaded by respect and understanding, and thus avoid possible misunderstandings during group discussions.</w:t>
      </w:r>
    </w:p>
    <w:p w14:paraId="34801BEB" w14:textId="77777777" w:rsidR="001A0B2F" w:rsidRPr="00D52797" w:rsidRDefault="001A0B2F" w:rsidP="00D52797">
      <w:pPr>
        <w:pStyle w:val="Heading2"/>
      </w:pPr>
      <w:bookmarkStart w:id="9" w:name="_Toc192776356"/>
      <w:r w:rsidRPr="00D52797">
        <w:rPr>
          <w:rStyle w:val="Strong"/>
          <w:b/>
          <w:bCs w:val="0"/>
        </w:rPr>
        <w:t>2. Communication Practices and Adaptation</w:t>
      </w:r>
      <w:bookmarkEnd w:id="9"/>
    </w:p>
    <w:p w14:paraId="31BBD592" w14:textId="77777777" w:rsidR="001A0B2F" w:rsidRPr="001A0B2F" w:rsidRDefault="00062099" w:rsidP="001A0B2F">
      <w:pPr>
        <w:pStyle w:val="NormalWeb"/>
        <w:spacing w:line="360" w:lineRule="auto"/>
        <w:jc w:val="both"/>
      </w:pPr>
      <w:r>
        <w:t xml:space="preserve">Both UK and Japanese teams need to change to ensure proper communication occurs. People from Britain should remember that Japanese do not always express their opinion directly, so one should pause and look for body language signals that may indicate hesitation, confusion or </w:t>
      </w:r>
      <w:r>
        <w:lastRenderedPageBreak/>
        <w:t xml:space="preserve">anything else. This may mean that </w:t>
      </w:r>
      <w:r w:rsidR="000A190A">
        <w:t>one can</w:t>
      </w:r>
      <w:r>
        <w:t xml:space="preserve"> unsure or </w:t>
      </w:r>
      <w:r w:rsidR="000A190A">
        <w:t>one can</w:t>
      </w:r>
      <w:r>
        <w:t xml:space="preserve"> require extra time to think. On the same note, the Japanese team should be aware that the UK clients value clear and direct communication. For feedback and decision making, Japanese colleagues should step out of their comfort zone and justify their stand and also ensure UK team understands why they are taking that stand</w:t>
      </w:r>
      <w:r w:rsidR="0054091C">
        <w:t xml:space="preserve"> (Lu, et. al., 2022)</w:t>
      </w:r>
      <w:r>
        <w:t>.</w:t>
      </w:r>
    </w:p>
    <w:p w14:paraId="0DFD1BA8" w14:textId="77777777" w:rsidR="001A0B2F" w:rsidRPr="00D52797" w:rsidRDefault="001A0B2F" w:rsidP="00D52797">
      <w:pPr>
        <w:pStyle w:val="Heading2"/>
      </w:pPr>
      <w:bookmarkStart w:id="10" w:name="_Toc192776357"/>
      <w:r w:rsidRPr="00D52797">
        <w:rPr>
          <w:rStyle w:val="Strong"/>
          <w:b/>
          <w:bCs w:val="0"/>
        </w:rPr>
        <w:t>3. Creating a Collaborative Environment</w:t>
      </w:r>
      <w:bookmarkEnd w:id="10"/>
    </w:p>
    <w:p w14:paraId="421AB8CC" w14:textId="77777777" w:rsidR="001A0B2F" w:rsidRPr="001A0B2F" w:rsidRDefault="00062099" w:rsidP="001A0B2F">
      <w:pPr>
        <w:pStyle w:val="NormalWeb"/>
        <w:spacing w:line="360" w:lineRule="auto"/>
        <w:jc w:val="both"/>
      </w:pPr>
      <w:r>
        <w:t>If the decision-making is to be collaborative, then both the UK and Japanese teams must feel at ease to share information. Mitigating the conflict between the United Kingdom’s culture of individualism and Japan’s communal values is crucial. The UK team must discuss, make certain all members have a chance to, while the Japanese team may contribute silently by nodding or leading the group to consensus. Procedures like setting agendas, checking consensus after decisions, and summing up discussions will enhance collaboration. By implementing these measures, both Unilever and Toyota can achieve clear communication, everyone working towards the same goals, and reduced misunderstanding, which is great for team cohesion.</w:t>
      </w:r>
    </w:p>
    <w:p w14:paraId="16304FDD" w14:textId="77777777" w:rsidR="001A0B2F" w:rsidRPr="00D52797" w:rsidRDefault="001A0B2F" w:rsidP="00D52797">
      <w:pPr>
        <w:pStyle w:val="Heading2"/>
      </w:pPr>
      <w:bookmarkStart w:id="11" w:name="_Toc192776358"/>
      <w:r w:rsidRPr="00D52797">
        <w:rPr>
          <w:rStyle w:val="Strong"/>
          <w:b/>
          <w:bCs w:val="0"/>
        </w:rPr>
        <w:t>4. Continuous Feedback and Adaptation</w:t>
      </w:r>
      <w:bookmarkEnd w:id="11"/>
    </w:p>
    <w:p w14:paraId="56749E63" w14:textId="77777777" w:rsidR="001A0B2F" w:rsidRPr="001A0B2F" w:rsidRDefault="00062099" w:rsidP="001A0B2F">
      <w:pPr>
        <w:pStyle w:val="NormalWeb"/>
        <w:spacing w:line="360" w:lineRule="auto"/>
        <w:jc w:val="both"/>
      </w:pPr>
      <w:r>
        <w:t>Communication is not a onetime undertaking, and as such, both teams should cultivate the habit of offering and receiving feedback regularly. This feedback should be geared toward enhancing communication strategies and filling in communication gaps that may have led to miscommunication</w:t>
      </w:r>
      <w:r w:rsidR="0054091C">
        <w:t xml:space="preserve"> (Freiermuth and Huang, 2021)</w:t>
      </w:r>
      <w:r>
        <w:t>. It’s essential to regularly check for understanding and follow up on previous communication sessions so that both teams will be adjusting their approaches ongoing as well as fostering long-term strong cross-communication.</w:t>
      </w:r>
    </w:p>
    <w:p w14:paraId="52ED1248" w14:textId="77777777" w:rsidR="001A0B2F" w:rsidRDefault="001A0B2F">
      <w:pPr>
        <w:rPr>
          <w:rStyle w:val="Strong"/>
          <w:rFonts w:eastAsiaTheme="majorEastAsia" w:cstheme="majorBidi"/>
          <w:bCs w:val="0"/>
          <w:sz w:val="28"/>
          <w:szCs w:val="32"/>
          <w:lang w:eastAsia="en-IN"/>
        </w:rPr>
      </w:pPr>
      <w:r>
        <w:rPr>
          <w:rStyle w:val="Strong"/>
          <w:rFonts w:eastAsiaTheme="majorEastAsia"/>
          <w:b w:val="0"/>
          <w:bCs w:val="0"/>
        </w:rPr>
        <w:br w:type="page"/>
      </w:r>
    </w:p>
    <w:p w14:paraId="6BE33795" w14:textId="77777777" w:rsidR="001A0B2F" w:rsidRPr="001A0B2F" w:rsidRDefault="001A0B2F" w:rsidP="001A0B2F">
      <w:pPr>
        <w:pStyle w:val="Heading1"/>
      </w:pPr>
      <w:bookmarkStart w:id="12" w:name="_Toc192776359"/>
      <w:r w:rsidRPr="001A0B2F">
        <w:rPr>
          <w:rStyle w:val="Strong"/>
          <w:rFonts w:eastAsiaTheme="majorEastAsia"/>
          <w:b/>
          <w:bCs w:val="0"/>
        </w:rPr>
        <w:lastRenderedPageBreak/>
        <w:t>Conclusion</w:t>
      </w:r>
      <w:bookmarkEnd w:id="12"/>
      <w:r w:rsidRPr="001A0B2F">
        <w:rPr>
          <w:rStyle w:val="Strong"/>
          <w:rFonts w:eastAsiaTheme="majorEastAsia"/>
          <w:b/>
          <w:bCs w:val="0"/>
        </w:rPr>
        <w:t xml:space="preserve"> </w:t>
      </w:r>
    </w:p>
    <w:p w14:paraId="06D850C2" w14:textId="5E8D69A5" w:rsidR="001A0B2F" w:rsidRDefault="00162810" w:rsidP="001A0B2F">
      <w:pPr>
        <w:pStyle w:val="NormalWeb"/>
        <w:spacing w:line="360" w:lineRule="auto"/>
        <w:jc w:val="both"/>
      </w:pPr>
      <w:r>
        <w:t xml:space="preserve">Focusing on the comparison between Unilever in the UK and Toyota in Japan, the cultural gaps in communication shall be highlighted. The interpersonal communication style of the UK is more realistic, brief and self-oriented while that of Japan is more intuitive, lengthy and other-oriented. These differences create discrepancies in communication or rather the UK prefers momentary expressions and direct language as compared to Japanese indirectness. These differences can be better understood through cultural theories such as Hofstede’s dimensions and the high-context/low-context communication theory. Recognition of these cultural differences is crucial for any interpersonal interaction at the international level. Intercultural training, acknowledging practices preferred by both the </w:t>
      </w:r>
      <w:r w:rsidR="00BA53A3">
        <w:t>UK</w:t>
      </w:r>
      <w:r>
        <w:t xml:space="preserve"> and the Japanese and continuing to seek feedback to improve collaboration between Unilever and Toyota are other recommendations.</w:t>
      </w:r>
    </w:p>
    <w:p w14:paraId="339EDF18" w14:textId="77777777" w:rsidR="00D52797" w:rsidRDefault="00D52797">
      <w:pPr>
        <w:rPr>
          <w:lang w:eastAsia="en-IN"/>
        </w:rPr>
      </w:pPr>
      <w:r>
        <w:br w:type="page"/>
      </w:r>
    </w:p>
    <w:p w14:paraId="70E17388" w14:textId="77777777" w:rsidR="00D52797" w:rsidRPr="001A0B2F" w:rsidRDefault="00D52797" w:rsidP="00D52797">
      <w:pPr>
        <w:pStyle w:val="Heading1"/>
      </w:pPr>
      <w:bookmarkStart w:id="13" w:name="_Toc192776360"/>
      <w:r>
        <w:lastRenderedPageBreak/>
        <w:t>References</w:t>
      </w:r>
      <w:bookmarkEnd w:id="13"/>
    </w:p>
    <w:p w14:paraId="141A241E" w14:textId="6C15F2A8" w:rsidR="00D52797" w:rsidRPr="00D52797" w:rsidRDefault="00D52797" w:rsidP="00D52797">
      <w:pPr>
        <w:pStyle w:val="NormalWeb"/>
        <w:spacing w:line="360" w:lineRule="auto"/>
        <w:rPr>
          <w:shd w:val="clear" w:color="auto" w:fill="FFFFFF"/>
        </w:rPr>
      </w:pPr>
      <w:r w:rsidRPr="00D52797">
        <w:rPr>
          <w:shd w:val="clear" w:color="auto" w:fill="FFFFFF"/>
        </w:rPr>
        <w:t xml:space="preserve">da Costa, N. and Rose, H., 2024. The impact of Global </w:t>
      </w:r>
      <w:r w:rsidR="00BA53A3" w:rsidRPr="00D52797">
        <w:rPr>
          <w:shd w:val="clear" w:color="auto" w:fill="FFFFFF"/>
        </w:rPr>
        <w:t>Englishers</w:t>
      </w:r>
      <w:r w:rsidRPr="00D52797">
        <w:rPr>
          <w:shd w:val="clear" w:color="auto" w:fill="FFFFFF"/>
        </w:rPr>
        <w:t xml:space="preserve"> classroom-based innovation on school-aged language learners' perceptions of English: An exercise in practitioner and researcher partnership. </w:t>
      </w:r>
      <w:r w:rsidRPr="00D52797">
        <w:rPr>
          <w:i/>
          <w:iCs/>
          <w:shd w:val="clear" w:color="auto" w:fill="FFFFFF"/>
        </w:rPr>
        <w:t>System</w:t>
      </w:r>
      <w:r w:rsidRPr="00D52797">
        <w:rPr>
          <w:shd w:val="clear" w:color="auto" w:fill="FFFFFF"/>
        </w:rPr>
        <w:t>, </w:t>
      </w:r>
      <w:r w:rsidRPr="00D52797">
        <w:rPr>
          <w:i/>
          <w:iCs/>
          <w:shd w:val="clear" w:color="auto" w:fill="FFFFFF"/>
        </w:rPr>
        <w:t>121</w:t>
      </w:r>
      <w:r w:rsidRPr="00D52797">
        <w:rPr>
          <w:shd w:val="clear" w:color="auto" w:fill="FFFFFF"/>
        </w:rPr>
        <w:t xml:space="preserve">, p.103263. </w:t>
      </w:r>
      <w:hyperlink r:id="rId9" w:history="1">
        <w:r w:rsidRPr="00D52797">
          <w:rPr>
            <w:rStyle w:val="Hyperlink"/>
            <w:color w:val="auto"/>
            <w:shd w:val="clear" w:color="auto" w:fill="FFFFFF"/>
          </w:rPr>
          <w:t>https://www.sciencedirect.com/science/article/pii/S0346251X24000459</w:t>
        </w:r>
      </w:hyperlink>
      <w:r w:rsidRPr="00D52797">
        <w:rPr>
          <w:shd w:val="clear" w:color="auto" w:fill="FFFFFF"/>
        </w:rPr>
        <w:t xml:space="preserve"> </w:t>
      </w:r>
    </w:p>
    <w:p w14:paraId="49E8422E" w14:textId="77777777" w:rsidR="00D52797" w:rsidRPr="00D52797" w:rsidRDefault="00D52797" w:rsidP="00D52797">
      <w:pPr>
        <w:pStyle w:val="NormalWeb"/>
        <w:spacing w:line="360" w:lineRule="auto"/>
        <w:rPr>
          <w:shd w:val="clear" w:color="auto" w:fill="FFFFFF"/>
        </w:rPr>
      </w:pPr>
      <w:r w:rsidRPr="00D52797">
        <w:rPr>
          <w:shd w:val="clear" w:color="auto" w:fill="FFFFFF"/>
        </w:rPr>
        <w:t>Fraccastoro, S., Gabrielsson, M. and Chetty, S., 2021. Social media firm specific advantages as enablers of network embeddedness of international entrepreneurial ventures. </w:t>
      </w:r>
      <w:r w:rsidRPr="00D52797">
        <w:rPr>
          <w:i/>
          <w:iCs/>
          <w:shd w:val="clear" w:color="auto" w:fill="FFFFFF"/>
        </w:rPr>
        <w:t>Journal of World Business</w:t>
      </w:r>
      <w:r w:rsidRPr="00D52797">
        <w:rPr>
          <w:shd w:val="clear" w:color="auto" w:fill="FFFFFF"/>
        </w:rPr>
        <w:t>, </w:t>
      </w:r>
      <w:r w:rsidRPr="00D52797">
        <w:rPr>
          <w:i/>
          <w:iCs/>
          <w:shd w:val="clear" w:color="auto" w:fill="FFFFFF"/>
        </w:rPr>
        <w:t>56</w:t>
      </w:r>
      <w:r w:rsidRPr="00D52797">
        <w:rPr>
          <w:shd w:val="clear" w:color="auto" w:fill="FFFFFF"/>
        </w:rPr>
        <w:t xml:space="preserve">(3), p.101164. </w:t>
      </w:r>
      <w:hyperlink r:id="rId10" w:history="1">
        <w:r w:rsidRPr="00D52797">
          <w:rPr>
            <w:rStyle w:val="Hyperlink"/>
            <w:color w:val="auto"/>
            <w:shd w:val="clear" w:color="auto" w:fill="FFFFFF"/>
          </w:rPr>
          <w:t>https://www.sciencedirect.com/science/article/pii/S1090951620300924</w:t>
        </w:r>
      </w:hyperlink>
      <w:r w:rsidRPr="00D52797">
        <w:rPr>
          <w:shd w:val="clear" w:color="auto" w:fill="FFFFFF"/>
        </w:rPr>
        <w:t xml:space="preserve"> </w:t>
      </w:r>
    </w:p>
    <w:p w14:paraId="6E3FA9C9" w14:textId="77777777" w:rsidR="00D52797" w:rsidRPr="001A0B2F" w:rsidRDefault="00D52797" w:rsidP="00D52797">
      <w:pPr>
        <w:pStyle w:val="NormalWeb"/>
        <w:spacing w:line="360" w:lineRule="auto"/>
      </w:pPr>
      <w:r w:rsidRPr="00D52797">
        <w:rPr>
          <w:shd w:val="clear" w:color="auto" w:fill="FFFFFF"/>
        </w:rPr>
        <w:t>Freiermuth, M.R. and Huang, H.C., 2021. Zooming across cultures: Can a telecollaborative video exchange between language learning partners further the development of intercultural competences?. </w:t>
      </w:r>
      <w:r w:rsidRPr="00D52797">
        <w:rPr>
          <w:i/>
          <w:iCs/>
          <w:shd w:val="clear" w:color="auto" w:fill="FFFFFF"/>
        </w:rPr>
        <w:t>Foreign Language Annals</w:t>
      </w:r>
      <w:r w:rsidRPr="00D52797">
        <w:rPr>
          <w:shd w:val="clear" w:color="auto" w:fill="FFFFFF"/>
        </w:rPr>
        <w:t>, </w:t>
      </w:r>
      <w:r w:rsidRPr="00D52797">
        <w:rPr>
          <w:i/>
          <w:iCs/>
          <w:shd w:val="clear" w:color="auto" w:fill="FFFFFF"/>
        </w:rPr>
        <w:t>54</w:t>
      </w:r>
      <w:r w:rsidRPr="00D52797">
        <w:rPr>
          <w:shd w:val="clear" w:color="auto" w:fill="FFFFFF"/>
        </w:rPr>
        <w:t xml:space="preserve">(1), pp.185-206. </w:t>
      </w:r>
      <w:hyperlink r:id="rId11" w:history="1">
        <w:r w:rsidRPr="00D52797">
          <w:rPr>
            <w:rStyle w:val="Hyperlink"/>
            <w:color w:val="auto"/>
            <w:shd w:val="clear" w:color="auto" w:fill="FFFFFF"/>
          </w:rPr>
          <w:t>https://onlinelibrary.wiley.com/doi/am-pdf/10.1111/flan.12504</w:t>
        </w:r>
      </w:hyperlink>
      <w:r>
        <w:rPr>
          <w:rFonts w:ascii="Arial" w:hAnsi="Arial" w:cs="Arial"/>
          <w:color w:val="222222"/>
          <w:sz w:val="20"/>
          <w:szCs w:val="20"/>
          <w:shd w:val="clear" w:color="auto" w:fill="FFFFFF"/>
        </w:rPr>
        <w:t xml:space="preserve"> </w:t>
      </w:r>
    </w:p>
    <w:p w14:paraId="1B618460" w14:textId="77777777" w:rsidR="00D52797" w:rsidRDefault="00D52797" w:rsidP="00D52797">
      <w:pPr>
        <w:pStyle w:val="NormalWeb"/>
        <w:spacing w:line="360" w:lineRule="auto"/>
        <w:rPr>
          <w:shd w:val="clear" w:color="auto" w:fill="FFFFFF"/>
        </w:rPr>
      </w:pPr>
      <w:r w:rsidRPr="00D52797">
        <w:rPr>
          <w:shd w:val="clear" w:color="auto" w:fill="FFFFFF"/>
        </w:rPr>
        <w:t>Fu, X., Fu, X.M., Ghauri, P. and Hou, J., 2022. International collaboration and innovation: Evidence from a leading Chinese multinational enterprise. </w:t>
      </w:r>
      <w:r w:rsidRPr="00D52797">
        <w:rPr>
          <w:i/>
          <w:iCs/>
          <w:shd w:val="clear" w:color="auto" w:fill="FFFFFF"/>
        </w:rPr>
        <w:t>Journal of World Business</w:t>
      </w:r>
      <w:r w:rsidRPr="00D52797">
        <w:rPr>
          <w:shd w:val="clear" w:color="auto" w:fill="FFFFFF"/>
        </w:rPr>
        <w:t>, </w:t>
      </w:r>
      <w:r w:rsidRPr="00D52797">
        <w:rPr>
          <w:i/>
          <w:iCs/>
          <w:shd w:val="clear" w:color="auto" w:fill="FFFFFF"/>
        </w:rPr>
        <w:t>57</w:t>
      </w:r>
      <w:r w:rsidRPr="00D52797">
        <w:rPr>
          <w:shd w:val="clear" w:color="auto" w:fill="FFFFFF"/>
        </w:rPr>
        <w:t xml:space="preserve">(4), p.101329. </w:t>
      </w:r>
      <w:hyperlink r:id="rId12" w:history="1">
        <w:r w:rsidRPr="00D52797">
          <w:rPr>
            <w:rStyle w:val="Hyperlink"/>
            <w:color w:val="auto"/>
            <w:shd w:val="clear" w:color="auto" w:fill="FFFFFF"/>
          </w:rPr>
          <w:t>https://www.sciencedirect.com/science/article/pii/S1090951622000220</w:t>
        </w:r>
      </w:hyperlink>
      <w:r w:rsidRPr="00D52797">
        <w:rPr>
          <w:shd w:val="clear" w:color="auto" w:fill="FFFFFF"/>
        </w:rPr>
        <w:t xml:space="preserve"> </w:t>
      </w:r>
    </w:p>
    <w:p w14:paraId="517DDB75" w14:textId="555A5C2E" w:rsidR="002E0A2A" w:rsidRDefault="002E0A2A" w:rsidP="00D52797">
      <w:pPr>
        <w:pStyle w:val="NormalWeb"/>
        <w:spacing w:line="360" w:lineRule="auto"/>
      </w:pPr>
      <w:r>
        <w:t xml:space="preserve">Hall, E. T. (1976) </w:t>
      </w:r>
      <w:r>
        <w:rPr>
          <w:rStyle w:val="Emphasis"/>
          <w:rFonts w:eastAsiaTheme="majorEastAsia"/>
        </w:rPr>
        <w:t>Beyond Culture</w:t>
      </w:r>
      <w:r>
        <w:t>. New York: Anchor Books.</w:t>
      </w:r>
    </w:p>
    <w:p w14:paraId="140EA688" w14:textId="48B2D627" w:rsidR="002E0A2A" w:rsidRDefault="002E0A2A" w:rsidP="00D52797">
      <w:pPr>
        <w:pStyle w:val="NormalWeb"/>
        <w:spacing w:line="360" w:lineRule="auto"/>
      </w:pPr>
      <w:r>
        <w:t xml:space="preserve">Hofstede, G. (1980) </w:t>
      </w:r>
      <w:r>
        <w:rPr>
          <w:rStyle w:val="Emphasis"/>
          <w:rFonts w:eastAsiaTheme="majorEastAsia"/>
        </w:rPr>
        <w:t>Culture’s Consequences: International Differences in Work-Related Values</w:t>
      </w:r>
      <w:r>
        <w:t>. Beverly Hills: Sage Publications.</w:t>
      </w:r>
    </w:p>
    <w:p w14:paraId="16A11C3D" w14:textId="0679BE5D" w:rsidR="005E3CD1" w:rsidRPr="00D52797" w:rsidRDefault="005E3CD1" w:rsidP="00D52797">
      <w:pPr>
        <w:pStyle w:val="NormalWeb"/>
        <w:spacing w:line="360" w:lineRule="auto"/>
        <w:rPr>
          <w:shd w:val="clear" w:color="auto" w:fill="FFFFFF"/>
        </w:rPr>
      </w:pPr>
      <w:r>
        <w:t xml:space="preserve">Hofstede, G. (2025) </w:t>
      </w:r>
    </w:p>
    <w:p w14:paraId="7B33A744" w14:textId="05D5ED1B" w:rsidR="002E0A2A" w:rsidRPr="00D52797" w:rsidRDefault="00D52797" w:rsidP="00D52797">
      <w:pPr>
        <w:pStyle w:val="NormalWeb"/>
        <w:spacing w:line="360" w:lineRule="auto"/>
        <w:rPr>
          <w:shd w:val="clear" w:color="auto" w:fill="FFFFFF"/>
        </w:rPr>
      </w:pPr>
      <w:r w:rsidRPr="00D52797">
        <w:rPr>
          <w:shd w:val="clear" w:color="auto" w:fill="FFFFFF"/>
        </w:rPr>
        <w:t>Horan, D., 2022. A framework to harness effective partnerships for the sustainable development goals. </w:t>
      </w:r>
      <w:r w:rsidRPr="00D52797">
        <w:rPr>
          <w:i/>
          <w:iCs/>
          <w:shd w:val="clear" w:color="auto" w:fill="FFFFFF"/>
        </w:rPr>
        <w:t>Sustainability Science</w:t>
      </w:r>
      <w:r w:rsidRPr="00D52797">
        <w:rPr>
          <w:shd w:val="clear" w:color="auto" w:fill="FFFFFF"/>
        </w:rPr>
        <w:t>, </w:t>
      </w:r>
      <w:r w:rsidRPr="00D52797">
        <w:rPr>
          <w:i/>
          <w:iCs/>
          <w:shd w:val="clear" w:color="auto" w:fill="FFFFFF"/>
        </w:rPr>
        <w:t>17</w:t>
      </w:r>
      <w:r w:rsidRPr="00D52797">
        <w:rPr>
          <w:shd w:val="clear" w:color="auto" w:fill="FFFFFF"/>
        </w:rPr>
        <w:t xml:space="preserve">(4), pp.1573-1587. </w:t>
      </w:r>
      <w:hyperlink r:id="rId13" w:history="1">
        <w:r w:rsidRPr="00D52797">
          <w:rPr>
            <w:rStyle w:val="Hyperlink"/>
            <w:color w:val="auto"/>
            <w:shd w:val="clear" w:color="auto" w:fill="FFFFFF"/>
          </w:rPr>
          <w:t>https://link.springer.com/content/pdf/10.1007/s11625-021-01070-2.pdf</w:t>
        </w:r>
      </w:hyperlink>
      <w:r w:rsidRPr="00D52797">
        <w:rPr>
          <w:shd w:val="clear" w:color="auto" w:fill="FFFFFF"/>
        </w:rPr>
        <w:t xml:space="preserve"> </w:t>
      </w:r>
    </w:p>
    <w:p w14:paraId="741A2647" w14:textId="77777777" w:rsidR="00D52797" w:rsidRPr="00D52797" w:rsidRDefault="00D52797" w:rsidP="00D52797">
      <w:pPr>
        <w:pStyle w:val="NormalWeb"/>
        <w:spacing w:line="360" w:lineRule="auto"/>
        <w:rPr>
          <w:shd w:val="clear" w:color="auto" w:fill="FFFFFF"/>
        </w:rPr>
      </w:pPr>
      <w:r w:rsidRPr="00D52797">
        <w:rPr>
          <w:shd w:val="clear" w:color="auto" w:fill="FFFFFF"/>
        </w:rPr>
        <w:t>Jae Moon, M., Suzuki, K., Park, T.I. and Sakuwa, K., 2021. A comparative study of COVID-19 responses in South Korea and Japan: political nexus triad and policy responses. </w:t>
      </w:r>
      <w:r w:rsidRPr="00D52797">
        <w:rPr>
          <w:i/>
          <w:iCs/>
          <w:shd w:val="clear" w:color="auto" w:fill="FFFFFF"/>
        </w:rPr>
        <w:t>International Review of Administrative Sciences</w:t>
      </w:r>
      <w:r w:rsidRPr="00D52797">
        <w:rPr>
          <w:shd w:val="clear" w:color="auto" w:fill="FFFFFF"/>
        </w:rPr>
        <w:t>, </w:t>
      </w:r>
      <w:r w:rsidRPr="00D52797">
        <w:rPr>
          <w:i/>
          <w:iCs/>
          <w:shd w:val="clear" w:color="auto" w:fill="FFFFFF"/>
        </w:rPr>
        <w:t>87</w:t>
      </w:r>
      <w:r w:rsidRPr="00D52797">
        <w:rPr>
          <w:shd w:val="clear" w:color="auto" w:fill="FFFFFF"/>
        </w:rPr>
        <w:t xml:space="preserve">(3), pp.651-671. </w:t>
      </w:r>
      <w:hyperlink r:id="rId14" w:history="1">
        <w:r w:rsidRPr="00D52797">
          <w:rPr>
            <w:rStyle w:val="Hyperlink"/>
            <w:color w:val="auto"/>
            <w:shd w:val="clear" w:color="auto" w:fill="FFFFFF"/>
          </w:rPr>
          <w:t>https://journals.sagepub.com/doi/pdf/10.1177/0020852321997552</w:t>
        </w:r>
      </w:hyperlink>
      <w:r w:rsidRPr="00D52797">
        <w:rPr>
          <w:shd w:val="clear" w:color="auto" w:fill="FFFFFF"/>
        </w:rPr>
        <w:t xml:space="preserve"> </w:t>
      </w:r>
    </w:p>
    <w:p w14:paraId="2A3B6303" w14:textId="77777777" w:rsidR="00D52797" w:rsidRPr="00D52797" w:rsidRDefault="00D52797" w:rsidP="00D52797">
      <w:pPr>
        <w:pStyle w:val="NormalWeb"/>
        <w:spacing w:line="360" w:lineRule="auto"/>
        <w:rPr>
          <w:shd w:val="clear" w:color="auto" w:fill="FFFFFF"/>
        </w:rPr>
      </w:pPr>
      <w:r w:rsidRPr="00D52797">
        <w:rPr>
          <w:shd w:val="clear" w:color="auto" w:fill="FFFFFF"/>
        </w:rPr>
        <w:lastRenderedPageBreak/>
        <w:t>Leal Filho, W., Dibbern, T., Dinis, M.A.P., Cristofoletti, E.C., Mbah, M.F., Mishra, A., Clarke, A., Samuel, N., Apraiz, J.C., Abubakar, I.R. and Aina, Y.A., 2024. The added value of partnerships in implementing the UN sustainable development goals. </w:t>
      </w:r>
      <w:r w:rsidRPr="00D52797">
        <w:rPr>
          <w:i/>
          <w:iCs/>
          <w:shd w:val="clear" w:color="auto" w:fill="FFFFFF"/>
        </w:rPr>
        <w:t>Journal of Cleaner Production</w:t>
      </w:r>
      <w:r w:rsidRPr="00D52797">
        <w:rPr>
          <w:shd w:val="clear" w:color="auto" w:fill="FFFFFF"/>
        </w:rPr>
        <w:t>, </w:t>
      </w:r>
      <w:r w:rsidRPr="00D52797">
        <w:rPr>
          <w:i/>
          <w:iCs/>
          <w:shd w:val="clear" w:color="auto" w:fill="FFFFFF"/>
        </w:rPr>
        <w:t>438</w:t>
      </w:r>
      <w:r w:rsidRPr="00D52797">
        <w:rPr>
          <w:shd w:val="clear" w:color="auto" w:fill="FFFFFF"/>
        </w:rPr>
        <w:t xml:space="preserve">, p.140794. </w:t>
      </w:r>
      <w:hyperlink r:id="rId15" w:history="1">
        <w:r w:rsidRPr="00D52797">
          <w:rPr>
            <w:rStyle w:val="Hyperlink"/>
            <w:color w:val="auto"/>
            <w:shd w:val="clear" w:color="auto" w:fill="FFFFFF"/>
          </w:rPr>
          <w:t>https://www.haw-hamburg.de/fileadmin/LS/FTZ-NK/PDF/Publications/2024-The_added_value_of_partnerships_in_implementing_the_UN_sustainable_development_goals__Journal_of_Cleaner_Production.pdf</w:t>
        </w:r>
      </w:hyperlink>
      <w:r w:rsidRPr="00D52797">
        <w:rPr>
          <w:shd w:val="clear" w:color="auto" w:fill="FFFFFF"/>
        </w:rPr>
        <w:t xml:space="preserve"> </w:t>
      </w:r>
    </w:p>
    <w:p w14:paraId="43522F40" w14:textId="77777777" w:rsidR="00D52797" w:rsidRPr="00D52797" w:rsidRDefault="00D52797" w:rsidP="00D52797">
      <w:pPr>
        <w:pStyle w:val="NormalWeb"/>
        <w:spacing w:line="360" w:lineRule="auto"/>
        <w:rPr>
          <w:shd w:val="clear" w:color="auto" w:fill="FFFFFF"/>
        </w:rPr>
      </w:pPr>
      <w:r w:rsidRPr="00D52797">
        <w:rPr>
          <w:shd w:val="clear" w:color="auto" w:fill="FFFFFF"/>
        </w:rPr>
        <w:t>Leal Filho, W., Ozuyar, P.G., Dinis, M.A.P., Azul, A.M., Alvarez, M.G., da Silva Neiva, S., Salvia, A.L., Borsari, B., Danila, A. and Vasconcelos, C.R., 2023. Living labs in the context of the UN sustainable development goals: state of the art. </w:t>
      </w:r>
      <w:r w:rsidRPr="00D52797">
        <w:rPr>
          <w:i/>
          <w:iCs/>
          <w:shd w:val="clear" w:color="auto" w:fill="FFFFFF"/>
        </w:rPr>
        <w:t>Sustainability Science</w:t>
      </w:r>
      <w:r w:rsidRPr="00D52797">
        <w:rPr>
          <w:shd w:val="clear" w:color="auto" w:fill="FFFFFF"/>
        </w:rPr>
        <w:t>, </w:t>
      </w:r>
      <w:r w:rsidRPr="00D52797">
        <w:rPr>
          <w:i/>
          <w:iCs/>
          <w:shd w:val="clear" w:color="auto" w:fill="FFFFFF"/>
        </w:rPr>
        <w:t>18</w:t>
      </w:r>
      <w:r w:rsidRPr="00D52797">
        <w:rPr>
          <w:shd w:val="clear" w:color="auto" w:fill="FFFFFF"/>
        </w:rPr>
        <w:t xml:space="preserve">(3), pp.1163-1179. </w:t>
      </w:r>
      <w:hyperlink r:id="rId16" w:history="1">
        <w:r w:rsidRPr="00D52797">
          <w:rPr>
            <w:rStyle w:val="Hyperlink"/>
            <w:color w:val="auto"/>
            <w:shd w:val="clear" w:color="auto" w:fill="FFFFFF"/>
          </w:rPr>
          <w:t>https://link.springer.com/content/pdf/10.1007/s11625-022-01240-w.pdf</w:t>
        </w:r>
      </w:hyperlink>
      <w:r w:rsidRPr="00D52797">
        <w:rPr>
          <w:shd w:val="clear" w:color="auto" w:fill="FFFFFF"/>
        </w:rPr>
        <w:t xml:space="preserve"> </w:t>
      </w:r>
    </w:p>
    <w:p w14:paraId="42EB76D4" w14:textId="77777777" w:rsidR="00D52797" w:rsidRPr="00D52797" w:rsidRDefault="00D52797" w:rsidP="00D52797">
      <w:pPr>
        <w:pStyle w:val="NormalWeb"/>
        <w:spacing w:line="360" w:lineRule="auto"/>
        <w:rPr>
          <w:shd w:val="clear" w:color="auto" w:fill="FFFFFF"/>
        </w:rPr>
      </w:pPr>
      <w:r w:rsidRPr="00D52797">
        <w:rPr>
          <w:shd w:val="clear" w:color="auto" w:fill="FFFFFF"/>
        </w:rPr>
        <w:t>Lu, J.G., Swaab, R.I. and Galinsky, A.D., 2022. Global leaders for global teams: Leaders with multicultural experiences communicate and lead more effectively, especially in multinational teams. </w:t>
      </w:r>
      <w:r w:rsidRPr="00D52797">
        <w:rPr>
          <w:i/>
          <w:iCs/>
          <w:shd w:val="clear" w:color="auto" w:fill="FFFFFF"/>
        </w:rPr>
        <w:t>Organization Science</w:t>
      </w:r>
      <w:r w:rsidRPr="00D52797">
        <w:rPr>
          <w:shd w:val="clear" w:color="auto" w:fill="FFFFFF"/>
        </w:rPr>
        <w:t>, </w:t>
      </w:r>
      <w:r w:rsidRPr="00D52797">
        <w:rPr>
          <w:i/>
          <w:iCs/>
          <w:shd w:val="clear" w:color="auto" w:fill="FFFFFF"/>
        </w:rPr>
        <w:t>33</w:t>
      </w:r>
      <w:r w:rsidRPr="00D52797">
        <w:rPr>
          <w:shd w:val="clear" w:color="auto" w:fill="FFFFFF"/>
        </w:rPr>
        <w:t xml:space="preserve">(4), pp.1554-1573. </w:t>
      </w:r>
      <w:hyperlink r:id="rId17" w:history="1">
        <w:r w:rsidRPr="00D52797">
          <w:rPr>
            <w:rStyle w:val="Hyperlink"/>
            <w:color w:val="auto"/>
            <w:shd w:val="clear" w:color="auto" w:fill="FFFFFF"/>
          </w:rPr>
          <w:t>https://dl.acm.org/doi/abs/10.1287/orsc.2021.1480</w:t>
        </w:r>
      </w:hyperlink>
      <w:r w:rsidRPr="00D52797">
        <w:rPr>
          <w:shd w:val="clear" w:color="auto" w:fill="FFFFFF"/>
        </w:rPr>
        <w:t xml:space="preserve"> </w:t>
      </w:r>
    </w:p>
    <w:p w14:paraId="5E3A6EEB" w14:textId="77777777" w:rsidR="00D52797" w:rsidRPr="00D52797" w:rsidRDefault="00D52797" w:rsidP="00D52797">
      <w:pPr>
        <w:pStyle w:val="NormalWeb"/>
        <w:spacing w:line="360" w:lineRule="auto"/>
        <w:rPr>
          <w:shd w:val="clear" w:color="auto" w:fill="FFFFFF"/>
        </w:rPr>
      </w:pPr>
      <w:r w:rsidRPr="00D52797">
        <w:rPr>
          <w:shd w:val="clear" w:color="auto" w:fill="FFFFFF"/>
        </w:rPr>
        <w:t>Masuda, H., Okitasari, M., Morita, K., Katramiz, T., Shimizu, H., Kawakubo, S. and Kataoka, Y., 2021. SDGs mainstreaming at the local level: Case studies from Japan. </w:t>
      </w:r>
      <w:r w:rsidRPr="00D52797">
        <w:rPr>
          <w:i/>
          <w:iCs/>
          <w:shd w:val="clear" w:color="auto" w:fill="FFFFFF"/>
        </w:rPr>
        <w:t>Sustainability Science</w:t>
      </w:r>
      <w:r w:rsidRPr="00D52797">
        <w:rPr>
          <w:shd w:val="clear" w:color="auto" w:fill="FFFFFF"/>
        </w:rPr>
        <w:t>, </w:t>
      </w:r>
      <w:r w:rsidRPr="00D52797">
        <w:rPr>
          <w:i/>
          <w:iCs/>
          <w:shd w:val="clear" w:color="auto" w:fill="FFFFFF"/>
        </w:rPr>
        <w:t>16</w:t>
      </w:r>
      <w:r w:rsidRPr="00D52797">
        <w:rPr>
          <w:shd w:val="clear" w:color="auto" w:fill="FFFFFF"/>
        </w:rPr>
        <w:t xml:space="preserve">, pp.1539-1562. </w:t>
      </w:r>
      <w:hyperlink r:id="rId18" w:history="1">
        <w:r w:rsidRPr="00D52797">
          <w:rPr>
            <w:rStyle w:val="Hyperlink"/>
            <w:color w:val="auto"/>
            <w:shd w:val="clear" w:color="auto" w:fill="FFFFFF"/>
          </w:rPr>
          <w:t>https://link.springer.com/content/pdf/10.1007/s11625-021-00977-0.pdf</w:t>
        </w:r>
      </w:hyperlink>
      <w:r w:rsidRPr="00D52797">
        <w:rPr>
          <w:shd w:val="clear" w:color="auto" w:fill="FFFFFF"/>
        </w:rPr>
        <w:t xml:space="preserve"> </w:t>
      </w:r>
    </w:p>
    <w:p w14:paraId="02BE074A" w14:textId="77777777" w:rsidR="00D52797" w:rsidRPr="00D52797" w:rsidRDefault="00D52797" w:rsidP="00D52797">
      <w:pPr>
        <w:pStyle w:val="NormalWeb"/>
        <w:spacing w:line="360" w:lineRule="auto"/>
        <w:rPr>
          <w:shd w:val="clear" w:color="auto" w:fill="FFFFFF"/>
        </w:rPr>
      </w:pPr>
      <w:r w:rsidRPr="00D52797">
        <w:rPr>
          <w:shd w:val="clear" w:color="auto" w:fill="FFFFFF"/>
        </w:rPr>
        <w:t>Mikami, K. and Bird, A., 2022. Opportunism and trust in cross-national lateral collaboration: the Renault-Nissan Alliance and a theory of equity-trust. </w:t>
      </w:r>
      <w:r w:rsidRPr="00D52797">
        <w:rPr>
          <w:i/>
          <w:iCs/>
          <w:shd w:val="clear" w:color="auto" w:fill="FFFFFF"/>
        </w:rPr>
        <w:t>Journal of World Business</w:t>
      </w:r>
      <w:r w:rsidRPr="00D52797">
        <w:rPr>
          <w:shd w:val="clear" w:color="auto" w:fill="FFFFFF"/>
        </w:rPr>
        <w:t>, </w:t>
      </w:r>
      <w:r w:rsidRPr="00D52797">
        <w:rPr>
          <w:i/>
          <w:iCs/>
          <w:shd w:val="clear" w:color="auto" w:fill="FFFFFF"/>
        </w:rPr>
        <w:t>57</w:t>
      </w:r>
      <w:r w:rsidRPr="00D52797">
        <w:rPr>
          <w:shd w:val="clear" w:color="auto" w:fill="FFFFFF"/>
        </w:rPr>
        <w:t xml:space="preserve">(3), p.101286. </w:t>
      </w:r>
      <w:hyperlink r:id="rId19" w:history="1">
        <w:r w:rsidRPr="00D52797">
          <w:rPr>
            <w:rStyle w:val="Hyperlink"/>
            <w:color w:val="auto"/>
            <w:shd w:val="clear" w:color="auto" w:fill="FFFFFF"/>
          </w:rPr>
          <w:t>https://www.sciencedirect.com/science/article/pii/S1090951621000973</w:t>
        </w:r>
      </w:hyperlink>
      <w:r w:rsidRPr="00D52797">
        <w:rPr>
          <w:shd w:val="clear" w:color="auto" w:fill="FFFFFF"/>
        </w:rPr>
        <w:t xml:space="preserve"> </w:t>
      </w:r>
    </w:p>
    <w:p w14:paraId="4F2A5429" w14:textId="77777777" w:rsidR="00D52797" w:rsidRPr="00D52797" w:rsidRDefault="00D52797" w:rsidP="00D52797">
      <w:pPr>
        <w:pStyle w:val="NormalWeb"/>
        <w:spacing w:line="360" w:lineRule="auto"/>
        <w:rPr>
          <w:shd w:val="clear" w:color="auto" w:fill="FFFFFF"/>
        </w:rPr>
      </w:pPr>
      <w:r w:rsidRPr="00D52797">
        <w:rPr>
          <w:shd w:val="clear" w:color="auto" w:fill="FFFFFF"/>
        </w:rPr>
        <w:t>Morley, J., Murphy, L., Mishra, A., Joshi, I. and Karpathakis, K., 2022. Governing data and artificial intelligence for health care: developing an international understanding. </w:t>
      </w:r>
      <w:r w:rsidRPr="00D52797">
        <w:rPr>
          <w:i/>
          <w:iCs/>
          <w:shd w:val="clear" w:color="auto" w:fill="FFFFFF"/>
        </w:rPr>
        <w:t>JMIR formative research</w:t>
      </w:r>
      <w:r w:rsidRPr="00D52797">
        <w:rPr>
          <w:shd w:val="clear" w:color="auto" w:fill="FFFFFF"/>
        </w:rPr>
        <w:t>, </w:t>
      </w:r>
      <w:r w:rsidRPr="00D52797">
        <w:rPr>
          <w:i/>
          <w:iCs/>
          <w:shd w:val="clear" w:color="auto" w:fill="FFFFFF"/>
        </w:rPr>
        <w:t>6</w:t>
      </w:r>
      <w:r w:rsidRPr="00D52797">
        <w:rPr>
          <w:shd w:val="clear" w:color="auto" w:fill="FFFFFF"/>
        </w:rPr>
        <w:t xml:space="preserve">(1), p.e31623. </w:t>
      </w:r>
      <w:hyperlink r:id="rId20" w:history="1">
        <w:r w:rsidRPr="00D52797">
          <w:rPr>
            <w:rStyle w:val="Hyperlink"/>
            <w:color w:val="auto"/>
            <w:shd w:val="clear" w:color="auto" w:fill="FFFFFF"/>
          </w:rPr>
          <w:t>https://formative.jmir.org/2022/1/e31623</w:t>
        </w:r>
      </w:hyperlink>
      <w:r w:rsidRPr="00D52797">
        <w:rPr>
          <w:shd w:val="clear" w:color="auto" w:fill="FFFFFF"/>
        </w:rPr>
        <w:t xml:space="preserve"> </w:t>
      </w:r>
    </w:p>
    <w:p w14:paraId="25EB7E2B" w14:textId="77777777" w:rsidR="00D52797" w:rsidRPr="00D52797" w:rsidRDefault="00D52797" w:rsidP="00D52797">
      <w:pPr>
        <w:pStyle w:val="NormalWeb"/>
        <w:spacing w:line="360" w:lineRule="auto"/>
        <w:rPr>
          <w:shd w:val="clear" w:color="auto" w:fill="FFFFFF"/>
        </w:rPr>
      </w:pPr>
      <w:r w:rsidRPr="00D52797">
        <w:rPr>
          <w:shd w:val="clear" w:color="auto" w:fill="FFFFFF"/>
        </w:rPr>
        <w:t>Morse, D.F., Sandhu, S., Mulligan, K., Tierney, S., Polley, M., Giurca, B.C., Slade, S., Dias, S., Mahtani, K.R., Wells, L. and Wang, H., 2022. Global developments in social prescribing. </w:t>
      </w:r>
      <w:r w:rsidRPr="00D52797">
        <w:rPr>
          <w:i/>
          <w:iCs/>
          <w:shd w:val="clear" w:color="auto" w:fill="FFFFFF"/>
        </w:rPr>
        <w:t>BMJ Global Health</w:t>
      </w:r>
      <w:r w:rsidRPr="00D52797">
        <w:rPr>
          <w:shd w:val="clear" w:color="auto" w:fill="FFFFFF"/>
        </w:rPr>
        <w:t>, </w:t>
      </w:r>
      <w:r w:rsidRPr="00D52797">
        <w:rPr>
          <w:i/>
          <w:iCs/>
          <w:shd w:val="clear" w:color="auto" w:fill="FFFFFF"/>
        </w:rPr>
        <w:t>7</w:t>
      </w:r>
      <w:r w:rsidRPr="00D52797">
        <w:rPr>
          <w:shd w:val="clear" w:color="auto" w:fill="FFFFFF"/>
        </w:rPr>
        <w:t xml:space="preserve">(5), p.e008524. </w:t>
      </w:r>
      <w:hyperlink r:id="rId21" w:history="1">
        <w:r w:rsidRPr="00D52797">
          <w:rPr>
            <w:rStyle w:val="Hyperlink"/>
            <w:color w:val="auto"/>
            <w:shd w:val="clear" w:color="auto" w:fill="FFFFFF"/>
          </w:rPr>
          <w:t>https://gh.bmj.com/content/bmjgh/7/5/e008524.full.pdf</w:t>
        </w:r>
      </w:hyperlink>
      <w:r w:rsidRPr="00D52797">
        <w:rPr>
          <w:shd w:val="clear" w:color="auto" w:fill="FFFFFF"/>
        </w:rPr>
        <w:t xml:space="preserve"> </w:t>
      </w:r>
    </w:p>
    <w:p w14:paraId="5653F6DC" w14:textId="77777777" w:rsidR="00D52797" w:rsidRDefault="00D52797" w:rsidP="00D52797">
      <w:pPr>
        <w:pStyle w:val="NormalWeb"/>
        <w:spacing w:line="360" w:lineRule="auto"/>
        <w:rPr>
          <w:shd w:val="clear" w:color="auto" w:fill="FFFFFF"/>
        </w:rPr>
      </w:pPr>
      <w:r w:rsidRPr="00D52797">
        <w:rPr>
          <w:shd w:val="clear" w:color="auto" w:fill="FFFFFF"/>
        </w:rPr>
        <w:lastRenderedPageBreak/>
        <w:t>O'Dowd, R., 2021. What do students learn in virtual exchange? A qualitative content analysis of learning outcomes across multiple exchanges. </w:t>
      </w:r>
      <w:r w:rsidRPr="00D52797">
        <w:rPr>
          <w:i/>
          <w:iCs/>
          <w:shd w:val="clear" w:color="auto" w:fill="FFFFFF"/>
        </w:rPr>
        <w:t>International Journal of Educational Research</w:t>
      </w:r>
      <w:r w:rsidRPr="00D52797">
        <w:rPr>
          <w:shd w:val="clear" w:color="auto" w:fill="FFFFFF"/>
        </w:rPr>
        <w:t>, </w:t>
      </w:r>
      <w:r w:rsidRPr="00D52797">
        <w:rPr>
          <w:i/>
          <w:iCs/>
          <w:shd w:val="clear" w:color="auto" w:fill="FFFFFF"/>
        </w:rPr>
        <w:t>109</w:t>
      </w:r>
      <w:r w:rsidRPr="00D52797">
        <w:rPr>
          <w:shd w:val="clear" w:color="auto" w:fill="FFFFFF"/>
        </w:rPr>
        <w:t xml:space="preserve">, p.101804. </w:t>
      </w:r>
      <w:hyperlink r:id="rId22" w:history="1">
        <w:r w:rsidRPr="00D52797">
          <w:rPr>
            <w:rStyle w:val="Hyperlink"/>
            <w:color w:val="auto"/>
            <w:shd w:val="clear" w:color="auto" w:fill="FFFFFF"/>
          </w:rPr>
          <w:t>https://ww</w:t>
        </w:r>
        <w:r w:rsidRPr="00D52797">
          <w:rPr>
            <w:rStyle w:val="Hyperlink"/>
            <w:color w:val="auto"/>
            <w:shd w:val="clear" w:color="auto" w:fill="FFFFFF"/>
          </w:rPr>
          <w:t>w</w:t>
        </w:r>
        <w:r w:rsidRPr="00D52797">
          <w:rPr>
            <w:rStyle w:val="Hyperlink"/>
            <w:color w:val="auto"/>
            <w:shd w:val="clear" w:color="auto" w:fill="FFFFFF"/>
          </w:rPr>
          <w:t>.sciencedirect.com/science/article/pii/S0883035521000744</w:t>
        </w:r>
      </w:hyperlink>
      <w:r w:rsidRPr="00D52797">
        <w:rPr>
          <w:shd w:val="clear" w:color="auto" w:fill="FFFFFF"/>
        </w:rPr>
        <w:t xml:space="preserve"> </w:t>
      </w:r>
    </w:p>
    <w:p w14:paraId="1320CAB2" w14:textId="704B51B3" w:rsidR="007141E0" w:rsidRPr="00D52797" w:rsidRDefault="007141E0" w:rsidP="00D52797">
      <w:pPr>
        <w:pStyle w:val="NormalWeb"/>
        <w:spacing w:line="360" w:lineRule="auto"/>
        <w:rPr>
          <w:shd w:val="clear" w:color="auto" w:fill="FFFFFF"/>
        </w:rPr>
      </w:pPr>
      <w:r>
        <w:t xml:space="preserve">Unilever (2023) ‘About us’, Available at: </w:t>
      </w:r>
      <w:hyperlink r:id="rId23" w:tgtFrame="_new" w:history="1">
        <w:r>
          <w:rPr>
            <w:rStyle w:val="Hyperlink"/>
            <w:rFonts w:eastAsiaTheme="majorEastAsia"/>
          </w:rPr>
          <w:t>www.unilever.com</w:t>
        </w:r>
      </w:hyperlink>
      <w:r>
        <w:t xml:space="preserve"> (Accessed: 2</w:t>
      </w:r>
      <w:r>
        <w:t>4</w:t>
      </w:r>
      <w:r>
        <w:t xml:space="preserve"> March 2025).</w:t>
      </w:r>
    </w:p>
    <w:p w14:paraId="6E323B72" w14:textId="77777777" w:rsidR="00D52797" w:rsidRPr="00D52797" w:rsidRDefault="00D52797" w:rsidP="00D52797">
      <w:pPr>
        <w:pStyle w:val="NormalWeb"/>
        <w:spacing w:line="360" w:lineRule="auto"/>
        <w:rPr>
          <w:shd w:val="clear" w:color="auto" w:fill="FFFFFF"/>
        </w:rPr>
      </w:pPr>
      <w:r w:rsidRPr="00D52797">
        <w:rPr>
          <w:shd w:val="clear" w:color="auto" w:fill="FFFFFF"/>
        </w:rPr>
        <w:t>Tambo, E., Djuikoue, I.C., Tazemda, G.K., Fotsing, M.F. and Zhou, X.N., 2021. Early stage risk communication and community engagement (RCCE) strategies and measures against the coronavirus disease 2019 (COVID-19) pandemic crisis. </w:t>
      </w:r>
      <w:r w:rsidRPr="00D52797">
        <w:rPr>
          <w:i/>
          <w:iCs/>
          <w:shd w:val="clear" w:color="auto" w:fill="FFFFFF"/>
        </w:rPr>
        <w:t>Global Health Journal</w:t>
      </w:r>
      <w:r w:rsidRPr="00D52797">
        <w:rPr>
          <w:shd w:val="clear" w:color="auto" w:fill="FFFFFF"/>
        </w:rPr>
        <w:t>, </w:t>
      </w:r>
      <w:r w:rsidRPr="00D52797">
        <w:rPr>
          <w:i/>
          <w:iCs/>
          <w:shd w:val="clear" w:color="auto" w:fill="FFFFFF"/>
        </w:rPr>
        <w:t>5</w:t>
      </w:r>
      <w:r w:rsidRPr="00D52797">
        <w:rPr>
          <w:shd w:val="clear" w:color="auto" w:fill="FFFFFF"/>
        </w:rPr>
        <w:t xml:space="preserve">(1), pp.44-50. </w:t>
      </w:r>
      <w:hyperlink r:id="rId24" w:history="1">
        <w:r w:rsidRPr="00D52797">
          <w:rPr>
            <w:rStyle w:val="Hyperlink"/>
            <w:color w:val="auto"/>
            <w:shd w:val="clear" w:color="auto" w:fill="FFFFFF"/>
          </w:rPr>
          <w:t>https://www.sciencedirect.com/science/article/pii/S2414644721000099</w:t>
        </w:r>
      </w:hyperlink>
      <w:r w:rsidRPr="00D52797">
        <w:rPr>
          <w:shd w:val="clear" w:color="auto" w:fill="FFFFFF"/>
        </w:rPr>
        <w:t xml:space="preserve"> </w:t>
      </w:r>
    </w:p>
    <w:p w14:paraId="181F8957" w14:textId="77777777" w:rsidR="000F5D85" w:rsidRPr="001A0B2F" w:rsidRDefault="000F5D85" w:rsidP="001A0B2F">
      <w:pPr>
        <w:spacing w:line="360" w:lineRule="auto"/>
        <w:jc w:val="both"/>
      </w:pPr>
    </w:p>
    <w:sectPr w:rsidR="000F5D85" w:rsidRPr="001A0B2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6DB5B" w14:textId="77777777" w:rsidR="00D14910" w:rsidRDefault="00D14910" w:rsidP="00D52797">
      <w:r>
        <w:separator/>
      </w:r>
    </w:p>
  </w:endnote>
  <w:endnote w:type="continuationSeparator" w:id="0">
    <w:p w14:paraId="777BDF72" w14:textId="77777777" w:rsidR="00D14910" w:rsidRDefault="00D14910" w:rsidP="00D52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224517"/>
      <w:docPartObj>
        <w:docPartGallery w:val="Page Numbers (Bottom of Page)"/>
        <w:docPartUnique/>
      </w:docPartObj>
    </w:sdtPr>
    <w:sdtEndPr>
      <w:rPr>
        <w:noProof/>
      </w:rPr>
    </w:sdtEndPr>
    <w:sdtContent>
      <w:p w14:paraId="01E5911B" w14:textId="77777777" w:rsidR="00D52797" w:rsidRDefault="00D52797">
        <w:pPr>
          <w:pStyle w:val="Footer"/>
          <w:jc w:val="right"/>
        </w:pPr>
        <w:r>
          <w:fldChar w:fldCharType="begin"/>
        </w:r>
        <w:r>
          <w:instrText xml:space="preserve"> PAGE   \* MERGEFORMAT </w:instrText>
        </w:r>
        <w:r>
          <w:fldChar w:fldCharType="separate"/>
        </w:r>
        <w:r w:rsidR="000A190A">
          <w:rPr>
            <w:noProof/>
          </w:rPr>
          <w:t>17</w:t>
        </w:r>
        <w:r>
          <w:rPr>
            <w:noProof/>
          </w:rPr>
          <w:fldChar w:fldCharType="end"/>
        </w:r>
      </w:p>
    </w:sdtContent>
  </w:sdt>
  <w:p w14:paraId="5EFC7B0B" w14:textId="77777777" w:rsidR="00D52797" w:rsidRDefault="00D52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D61E6" w14:textId="77777777" w:rsidR="00D14910" w:rsidRDefault="00D14910" w:rsidP="00D52797">
      <w:r>
        <w:separator/>
      </w:r>
    </w:p>
  </w:footnote>
  <w:footnote w:type="continuationSeparator" w:id="0">
    <w:p w14:paraId="7AAE3D93" w14:textId="77777777" w:rsidR="00D14910" w:rsidRDefault="00D14910" w:rsidP="00D527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639E"/>
    <w:multiLevelType w:val="multilevel"/>
    <w:tmpl w:val="CBDC4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A10F2"/>
    <w:multiLevelType w:val="multilevel"/>
    <w:tmpl w:val="B006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715D5"/>
    <w:multiLevelType w:val="multilevel"/>
    <w:tmpl w:val="61021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613FF"/>
    <w:multiLevelType w:val="multilevel"/>
    <w:tmpl w:val="A764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61AF2"/>
    <w:multiLevelType w:val="multilevel"/>
    <w:tmpl w:val="D532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5021E3"/>
    <w:multiLevelType w:val="multilevel"/>
    <w:tmpl w:val="6DD85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D46A6"/>
    <w:multiLevelType w:val="multilevel"/>
    <w:tmpl w:val="4954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D51B3D"/>
    <w:multiLevelType w:val="multilevel"/>
    <w:tmpl w:val="5E5C6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2E6F53"/>
    <w:multiLevelType w:val="multilevel"/>
    <w:tmpl w:val="38847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E01CAF"/>
    <w:multiLevelType w:val="multilevel"/>
    <w:tmpl w:val="15BE9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E037A0"/>
    <w:multiLevelType w:val="multilevel"/>
    <w:tmpl w:val="7FFC6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5C5CD2"/>
    <w:multiLevelType w:val="multilevel"/>
    <w:tmpl w:val="586EE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897B84"/>
    <w:multiLevelType w:val="multilevel"/>
    <w:tmpl w:val="A71C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7C38DB"/>
    <w:multiLevelType w:val="multilevel"/>
    <w:tmpl w:val="B5B69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8E5761"/>
    <w:multiLevelType w:val="multilevel"/>
    <w:tmpl w:val="CB3E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DB5547"/>
    <w:multiLevelType w:val="multilevel"/>
    <w:tmpl w:val="ABDA4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C341C9"/>
    <w:multiLevelType w:val="multilevel"/>
    <w:tmpl w:val="1A967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E62C62"/>
    <w:multiLevelType w:val="multilevel"/>
    <w:tmpl w:val="EF846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A47F9"/>
    <w:multiLevelType w:val="multilevel"/>
    <w:tmpl w:val="C6A07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1E6511"/>
    <w:multiLevelType w:val="multilevel"/>
    <w:tmpl w:val="0A60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2745A9"/>
    <w:multiLevelType w:val="multilevel"/>
    <w:tmpl w:val="358E1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8B04B4"/>
    <w:multiLevelType w:val="multilevel"/>
    <w:tmpl w:val="4A481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845032"/>
    <w:multiLevelType w:val="multilevel"/>
    <w:tmpl w:val="AFD8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017FBC"/>
    <w:multiLevelType w:val="multilevel"/>
    <w:tmpl w:val="2398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9543AE"/>
    <w:multiLevelType w:val="multilevel"/>
    <w:tmpl w:val="441C4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9304CA"/>
    <w:multiLevelType w:val="multilevel"/>
    <w:tmpl w:val="B4FCA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60570D"/>
    <w:multiLevelType w:val="multilevel"/>
    <w:tmpl w:val="C2D28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8C7DD0"/>
    <w:multiLevelType w:val="multilevel"/>
    <w:tmpl w:val="B72A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796ACC"/>
    <w:multiLevelType w:val="multilevel"/>
    <w:tmpl w:val="D940F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28453F"/>
    <w:multiLevelType w:val="multilevel"/>
    <w:tmpl w:val="A740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C27EFE"/>
    <w:multiLevelType w:val="multilevel"/>
    <w:tmpl w:val="68FA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604E89"/>
    <w:multiLevelType w:val="multilevel"/>
    <w:tmpl w:val="5DA4B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BF6782"/>
    <w:multiLevelType w:val="multilevel"/>
    <w:tmpl w:val="50F8B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18611D1"/>
    <w:multiLevelType w:val="multilevel"/>
    <w:tmpl w:val="77A8C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EF2FFA"/>
    <w:multiLevelType w:val="multilevel"/>
    <w:tmpl w:val="95C6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1458D0"/>
    <w:multiLevelType w:val="multilevel"/>
    <w:tmpl w:val="DD280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3A299C"/>
    <w:multiLevelType w:val="hybridMultilevel"/>
    <w:tmpl w:val="1D9423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C874F25"/>
    <w:multiLevelType w:val="multilevel"/>
    <w:tmpl w:val="EBE6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8A2E5C"/>
    <w:multiLevelType w:val="multilevel"/>
    <w:tmpl w:val="5D4A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F058E9"/>
    <w:multiLevelType w:val="multilevel"/>
    <w:tmpl w:val="78107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1C7DA7"/>
    <w:multiLevelType w:val="multilevel"/>
    <w:tmpl w:val="7BB8E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227519"/>
    <w:multiLevelType w:val="multilevel"/>
    <w:tmpl w:val="26C22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2F77E6"/>
    <w:multiLevelType w:val="multilevel"/>
    <w:tmpl w:val="E67CA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863858">
    <w:abstractNumId w:val="20"/>
  </w:num>
  <w:num w:numId="2" w16cid:durableId="1435200747">
    <w:abstractNumId w:val="0"/>
  </w:num>
  <w:num w:numId="3" w16cid:durableId="993677628">
    <w:abstractNumId w:val="33"/>
  </w:num>
  <w:num w:numId="4" w16cid:durableId="1254439624">
    <w:abstractNumId w:val="35"/>
  </w:num>
  <w:num w:numId="5" w16cid:durableId="1253398445">
    <w:abstractNumId w:val="26"/>
  </w:num>
  <w:num w:numId="6" w16cid:durableId="772822877">
    <w:abstractNumId w:val="29"/>
  </w:num>
  <w:num w:numId="7" w16cid:durableId="1746368960">
    <w:abstractNumId w:val="8"/>
  </w:num>
  <w:num w:numId="8" w16cid:durableId="1469282054">
    <w:abstractNumId w:val="40"/>
  </w:num>
  <w:num w:numId="9" w16cid:durableId="1042284995">
    <w:abstractNumId w:val="22"/>
  </w:num>
  <w:num w:numId="10" w16cid:durableId="740711307">
    <w:abstractNumId w:val="13"/>
  </w:num>
  <w:num w:numId="11" w16cid:durableId="1808161607">
    <w:abstractNumId w:val="9"/>
  </w:num>
  <w:num w:numId="12" w16cid:durableId="97794746">
    <w:abstractNumId w:val="3"/>
  </w:num>
  <w:num w:numId="13" w16cid:durableId="388266522">
    <w:abstractNumId w:val="10"/>
  </w:num>
  <w:num w:numId="14" w16cid:durableId="512764652">
    <w:abstractNumId w:val="25"/>
  </w:num>
  <w:num w:numId="15" w16cid:durableId="1809517936">
    <w:abstractNumId w:val="38"/>
  </w:num>
  <w:num w:numId="16" w16cid:durableId="1714764495">
    <w:abstractNumId w:val="7"/>
  </w:num>
  <w:num w:numId="17" w16cid:durableId="1594971503">
    <w:abstractNumId w:val="31"/>
  </w:num>
  <w:num w:numId="18" w16cid:durableId="1364133819">
    <w:abstractNumId w:val="2"/>
  </w:num>
  <w:num w:numId="19" w16cid:durableId="1506826320">
    <w:abstractNumId w:val="21"/>
  </w:num>
  <w:num w:numId="20" w16cid:durableId="619805707">
    <w:abstractNumId w:val="24"/>
  </w:num>
  <w:num w:numId="21" w16cid:durableId="1480003585">
    <w:abstractNumId w:val="17"/>
  </w:num>
  <w:num w:numId="22" w16cid:durableId="75637158">
    <w:abstractNumId w:val="11"/>
  </w:num>
  <w:num w:numId="23" w16cid:durableId="219022290">
    <w:abstractNumId w:val="27"/>
  </w:num>
  <w:num w:numId="24" w16cid:durableId="31342019">
    <w:abstractNumId w:val="36"/>
  </w:num>
  <w:num w:numId="25" w16cid:durableId="555818514">
    <w:abstractNumId w:val="4"/>
  </w:num>
  <w:num w:numId="26" w16cid:durableId="1097142618">
    <w:abstractNumId w:val="19"/>
  </w:num>
  <w:num w:numId="27" w16cid:durableId="991983451">
    <w:abstractNumId w:val="15"/>
  </w:num>
  <w:num w:numId="28" w16cid:durableId="1957103240">
    <w:abstractNumId w:val="39"/>
  </w:num>
  <w:num w:numId="29" w16cid:durableId="1944654309">
    <w:abstractNumId w:val="5"/>
  </w:num>
  <w:num w:numId="30" w16cid:durableId="59596593">
    <w:abstractNumId w:val="42"/>
  </w:num>
  <w:num w:numId="31" w16cid:durableId="33506536">
    <w:abstractNumId w:val="41"/>
  </w:num>
  <w:num w:numId="32" w16cid:durableId="562764412">
    <w:abstractNumId w:val="12"/>
  </w:num>
  <w:num w:numId="33" w16cid:durableId="1358433007">
    <w:abstractNumId w:val="14"/>
  </w:num>
  <w:num w:numId="34" w16cid:durableId="1604217989">
    <w:abstractNumId w:val="18"/>
  </w:num>
  <w:num w:numId="35" w16cid:durableId="727999550">
    <w:abstractNumId w:val="34"/>
  </w:num>
  <w:num w:numId="36" w16cid:durableId="45489166">
    <w:abstractNumId w:val="6"/>
  </w:num>
  <w:num w:numId="37" w16cid:durableId="1510411400">
    <w:abstractNumId w:val="30"/>
  </w:num>
  <w:num w:numId="38" w16cid:durableId="1657101892">
    <w:abstractNumId w:val="23"/>
  </w:num>
  <w:num w:numId="39" w16cid:durableId="15540719">
    <w:abstractNumId w:val="28"/>
  </w:num>
  <w:num w:numId="40" w16cid:durableId="292100458">
    <w:abstractNumId w:val="37"/>
  </w:num>
  <w:num w:numId="41" w16cid:durableId="631255549">
    <w:abstractNumId w:val="32"/>
  </w:num>
  <w:num w:numId="42" w16cid:durableId="739790309">
    <w:abstractNumId w:val="1"/>
  </w:num>
  <w:num w:numId="43" w16cid:durableId="18175322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D85"/>
    <w:rsid w:val="0005673D"/>
    <w:rsid w:val="00062099"/>
    <w:rsid w:val="00092784"/>
    <w:rsid w:val="000A190A"/>
    <w:rsid w:val="000F5D85"/>
    <w:rsid w:val="00162810"/>
    <w:rsid w:val="00194AAC"/>
    <w:rsid w:val="001A0B2F"/>
    <w:rsid w:val="001E5817"/>
    <w:rsid w:val="002B6CF6"/>
    <w:rsid w:val="002E0A2A"/>
    <w:rsid w:val="002F7A72"/>
    <w:rsid w:val="00353A42"/>
    <w:rsid w:val="003607D4"/>
    <w:rsid w:val="003C015C"/>
    <w:rsid w:val="00466869"/>
    <w:rsid w:val="0054091C"/>
    <w:rsid w:val="005E0A2A"/>
    <w:rsid w:val="005E3CD1"/>
    <w:rsid w:val="00634D39"/>
    <w:rsid w:val="006C5C1E"/>
    <w:rsid w:val="006D7B7E"/>
    <w:rsid w:val="007141E0"/>
    <w:rsid w:val="007311EF"/>
    <w:rsid w:val="009C01FF"/>
    <w:rsid w:val="009C2E87"/>
    <w:rsid w:val="009E7F0F"/>
    <w:rsid w:val="00BA53A3"/>
    <w:rsid w:val="00BB0154"/>
    <w:rsid w:val="00D14910"/>
    <w:rsid w:val="00D52797"/>
    <w:rsid w:val="00D703EA"/>
    <w:rsid w:val="00E74FA2"/>
    <w:rsid w:val="00FC18A4"/>
    <w:rsid w:val="00FC3BDC"/>
    <w:rsid w:val="00FE71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0CD6D"/>
  <w15:chartTrackingRefBased/>
  <w15:docId w15:val="{71537255-F54F-4FA4-B17A-86DA77C2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A2A"/>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05673D"/>
    <w:pPr>
      <w:keepNext/>
      <w:keepLines/>
      <w:spacing w:before="240" w:line="259" w:lineRule="auto"/>
      <w:outlineLvl w:val="0"/>
    </w:pPr>
    <w:rPr>
      <w:rFonts w:cstheme="majorBidi"/>
      <w:b/>
      <w:sz w:val="28"/>
      <w:szCs w:val="32"/>
      <w:lang w:val="en-IN" w:eastAsia="en-IN"/>
    </w:rPr>
  </w:style>
  <w:style w:type="paragraph" w:styleId="Heading2">
    <w:name w:val="heading 2"/>
    <w:basedOn w:val="Normal"/>
    <w:next w:val="Normal"/>
    <w:link w:val="Heading2Char"/>
    <w:uiPriority w:val="9"/>
    <w:unhideWhenUsed/>
    <w:qFormat/>
    <w:rsid w:val="0005673D"/>
    <w:pPr>
      <w:keepNext/>
      <w:keepLines/>
      <w:spacing w:before="40" w:line="259" w:lineRule="auto"/>
      <w:outlineLvl w:val="1"/>
    </w:pPr>
    <w:rPr>
      <w:rFonts w:eastAsiaTheme="majorEastAsia" w:cstheme="majorBidi"/>
      <w:b/>
      <w:sz w:val="26"/>
      <w:szCs w:val="26"/>
      <w:lang w:val="en-IN" w:eastAsia="en-US"/>
    </w:rPr>
  </w:style>
  <w:style w:type="paragraph" w:styleId="Heading3">
    <w:name w:val="heading 3"/>
    <w:basedOn w:val="Normal"/>
    <w:next w:val="Normal"/>
    <w:link w:val="Heading3Char"/>
    <w:uiPriority w:val="9"/>
    <w:semiHidden/>
    <w:unhideWhenUsed/>
    <w:qFormat/>
    <w:rsid w:val="001A0B2F"/>
    <w:pPr>
      <w:keepNext/>
      <w:keepLines/>
      <w:spacing w:before="40" w:line="259" w:lineRule="auto"/>
      <w:outlineLvl w:val="2"/>
    </w:pPr>
    <w:rPr>
      <w:rFonts w:asciiTheme="majorHAnsi" w:eastAsiaTheme="majorEastAsia" w:hAnsiTheme="majorHAnsi" w:cstheme="majorBidi"/>
      <w:color w:val="1F4D78" w:themeColor="accent1" w:themeShade="7F"/>
      <w:lang w:val="en-IN" w:eastAsia="en-US"/>
    </w:rPr>
  </w:style>
  <w:style w:type="paragraph" w:styleId="Heading4">
    <w:name w:val="heading 4"/>
    <w:basedOn w:val="Normal"/>
    <w:next w:val="Normal"/>
    <w:link w:val="Heading4Char"/>
    <w:uiPriority w:val="9"/>
    <w:semiHidden/>
    <w:unhideWhenUsed/>
    <w:qFormat/>
    <w:rsid w:val="001A0B2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73D"/>
    <w:rPr>
      <w:rFonts w:ascii="Times New Roman" w:eastAsia="Times New Roman" w:hAnsi="Times New Roman" w:cstheme="majorBidi"/>
      <w:b/>
      <w:sz w:val="28"/>
      <w:szCs w:val="32"/>
      <w:lang w:eastAsia="en-IN"/>
    </w:rPr>
  </w:style>
  <w:style w:type="character" w:customStyle="1" w:styleId="Heading2Char">
    <w:name w:val="Heading 2 Char"/>
    <w:basedOn w:val="DefaultParagraphFont"/>
    <w:link w:val="Heading2"/>
    <w:uiPriority w:val="9"/>
    <w:rsid w:val="0005673D"/>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0F5D85"/>
    <w:rPr>
      <w:color w:val="0000FF"/>
      <w:u w:val="single"/>
    </w:rPr>
  </w:style>
  <w:style w:type="paragraph" w:styleId="NormalWeb">
    <w:name w:val="Normal (Web)"/>
    <w:basedOn w:val="Normal"/>
    <w:uiPriority w:val="99"/>
    <w:unhideWhenUsed/>
    <w:rsid w:val="00D703EA"/>
    <w:pPr>
      <w:spacing w:before="100" w:beforeAutospacing="1" w:after="100" w:afterAutospacing="1"/>
    </w:pPr>
    <w:rPr>
      <w:lang w:val="en-IN" w:eastAsia="en-IN"/>
    </w:rPr>
  </w:style>
  <w:style w:type="character" w:styleId="Strong">
    <w:name w:val="Strong"/>
    <w:basedOn w:val="DefaultParagraphFont"/>
    <w:uiPriority w:val="22"/>
    <w:qFormat/>
    <w:rsid w:val="00D703EA"/>
    <w:rPr>
      <w:b/>
      <w:bCs/>
    </w:rPr>
  </w:style>
  <w:style w:type="character" w:customStyle="1" w:styleId="Heading3Char">
    <w:name w:val="Heading 3 Char"/>
    <w:basedOn w:val="DefaultParagraphFont"/>
    <w:link w:val="Heading3"/>
    <w:uiPriority w:val="9"/>
    <w:semiHidden/>
    <w:rsid w:val="001A0B2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A0B2F"/>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D52797"/>
    <w:pPr>
      <w:outlineLvl w:val="9"/>
    </w:pPr>
    <w:rPr>
      <w:rFonts w:asciiTheme="majorHAnsi" w:eastAsiaTheme="majorEastAsia"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D52797"/>
    <w:pPr>
      <w:spacing w:after="100" w:line="259" w:lineRule="auto"/>
    </w:pPr>
    <w:rPr>
      <w:rFonts w:asciiTheme="minorHAnsi" w:eastAsiaTheme="minorHAnsi" w:hAnsiTheme="minorHAnsi" w:cstheme="minorBidi"/>
      <w:sz w:val="22"/>
      <w:szCs w:val="22"/>
      <w:lang w:val="en-IN" w:eastAsia="en-US"/>
    </w:rPr>
  </w:style>
  <w:style w:type="paragraph" w:styleId="Header">
    <w:name w:val="header"/>
    <w:basedOn w:val="Normal"/>
    <w:link w:val="HeaderChar"/>
    <w:uiPriority w:val="99"/>
    <w:unhideWhenUsed/>
    <w:rsid w:val="00D52797"/>
    <w:pPr>
      <w:tabs>
        <w:tab w:val="center" w:pos="4513"/>
        <w:tab w:val="right" w:pos="9026"/>
      </w:tabs>
    </w:pPr>
    <w:rPr>
      <w:rFonts w:asciiTheme="minorHAnsi" w:eastAsiaTheme="minorHAnsi" w:hAnsiTheme="minorHAnsi" w:cstheme="minorBidi"/>
      <w:sz w:val="22"/>
      <w:szCs w:val="22"/>
      <w:lang w:val="en-IN" w:eastAsia="en-US"/>
    </w:rPr>
  </w:style>
  <w:style w:type="character" w:customStyle="1" w:styleId="HeaderChar">
    <w:name w:val="Header Char"/>
    <w:basedOn w:val="DefaultParagraphFont"/>
    <w:link w:val="Header"/>
    <w:uiPriority w:val="99"/>
    <w:rsid w:val="00D52797"/>
  </w:style>
  <w:style w:type="paragraph" w:styleId="Footer">
    <w:name w:val="footer"/>
    <w:basedOn w:val="Normal"/>
    <w:link w:val="FooterChar"/>
    <w:uiPriority w:val="99"/>
    <w:unhideWhenUsed/>
    <w:rsid w:val="00D52797"/>
    <w:pPr>
      <w:tabs>
        <w:tab w:val="center" w:pos="4513"/>
        <w:tab w:val="right" w:pos="9026"/>
      </w:tabs>
    </w:pPr>
    <w:rPr>
      <w:rFonts w:asciiTheme="minorHAnsi" w:eastAsiaTheme="minorHAnsi" w:hAnsiTheme="minorHAnsi" w:cstheme="minorBidi"/>
      <w:sz w:val="22"/>
      <w:szCs w:val="22"/>
      <w:lang w:val="en-IN" w:eastAsia="en-US"/>
    </w:rPr>
  </w:style>
  <w:style w:type="character" w:customStyle="1" w:styleId="FooterChar">
    <w:name w:val="Footer Char"/>
    <w:basedOn w:val="DefaultParagraphFont"/>
    <w:link w:val="Footer"/>
    <w:uiPriority w:val="99"/>
    <w:rsid w:val="00D52797"/>
  </w:style>
  <w:style w:type="paragraph" w:styleId="TOC2">
    <w:name w:val="toc 2"/>
    <w:basedOn w:val="Normal"/>
    <w:next w:val="Normal"/>
    <w:autoRedefine/>
    <w:uiPriority w:val="39"/>
    <w:unhideWhenUsed/>
    <w:rsid w:val="00D52797"/>
    <w:pPr>
      <w:spacing w:after="100" w:line="259" w:lineRule="auto"/>
      <w:ind w:left="220"/>
    </w:pPr>
    <w:rPr>
      <w:rFonts w:asciiTheme="minorHAnsi" w:eastAsiaTheme="minorHAnsi" w:hAnsiTheme="minorHAnsi" w:cstheme="minorBidi"/>
      <w:sz w:val="22"/>
      <w:szCs w:val="22"/>
      <w:lang w:val="en-IN" w:eastAsia="en-US"/>
    </w:rPr>
  </w:style>
  <w:style w:type="character" w:styleId="Emphasis">
    <w:name w:val="Emphasis"/>
    <w:basedOn w:val="DefaultParagraphFont"/>
    <w:uiPriority w:val="20"/>
    <w:qFormat/>
    <w:rsid w:val="002E0A2A"/>
    <w:rPr>
      <w:i/>
      <w:iCs/>
    </w:rPr>
  </w:style>
  <w:style w:type="paragraph" w:styleId="NoSpacing">
    <w:name w:val="No Spacing"/>
    <w:uiPriority w:val="1"/>
    <w:qFormat/>
    <w:rsid w:val="009E7F0F"/>
    <w:pPr>
      <w:spacing w:after="0"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909043">
      <w:bodyDiv w:val="1"/>
      <w:marLeft w:val="0"/>
      <w:marRight w:val="0"/>
      <w:marTop w:val="0"/>
      <w:marBottom w:val="0"/>
      <w:divBdr>
        <w:top w:val="none" w:sz="0" w:space="0" w:color="auto"/>
        <w:left w:val="none" w:sz="0" w:space="0" w:color="auto"/>
        <w:bottom w:val="none" w:sz="0" w:space="0" w:color="auto"/>
        <w:right w:val="none" w:sz="0" w:space="0" w:color="auto"/>
      </w:divBdr>
    </w:div>
    <w:div w:id="61952226">
      <w:bodyDiv w:val="1"/>
      <w:marLeft w:val="0"/>
      <w:marRight w:val="0"/>
      <w:marTop w:val="0"/>
      <w:marBottom w:val="0"/>
      <w:divBdr>
        <w:top w:val="none" w:sz="0" w:space="0" w:color="auto"/>
        <w:left w:val="none" w:sz="0" w:space="0" w:color="auto"/>
        <w:bottom w:val="none" w:sz="0" w:space="0" w:color="auto"/>
        <w:right w:val="none" w:sz="0" w:space="0" w:color="auto"/>
      </w:divBdr>
    </w:div>
    <w:div w:id="71971715">
      <w:bodyDiv w:val="1"/>
      <w:marLeft w:val="0"/>
      <w:marRight w:val="0"/>
      <w:marTop w:val="0"/>
      <w:marBottom w:val="0"/>
      <w:divBdr>
        <w:top w:val="none" w:sz="0" w:space="0" w:color="auto"/>
        <w:left w:val="none" w:sz="0" w:space="0" w:color="auto"/>
        <w:bottom w:val="none" w:sz="0" w:space="0" w:color="auto"/>
        <w:right w:val="none" w:sz="0" w:space="0" w:color="auto"/>
      </w:divBdr>
    </w:div>
    <w:div w:id="82384554">
      <w:bodyDiv w:val="1"/>
      <w:marLeft w:val="0"/>
      <w:marRight w:val="0"/>
      <w:marTop w:val="0"/>
      <w:marBottom w:val="0"/>
      <w:divBdr>
        <w:top w:val="none" w:sz="0" w:space="0" w:color="auto"/>
        <w:left w:val="none" w:sz="0" w:space="0" w:color="auto"/>
        <w:bottom w:val="none" w:sz="0" w:space="0" w:color="auto"/>
        <w:right w:val="none" w:sz="0" w:space="0" w:color="auto"/>
      </w:divBdr>
    </w:div>
    <w:div w:id="92434116">
      <w:bodyDiv w:val="1"/>
      <w:marLeft w:val="0"/>
      <w:marRight w:val="0"/>
      <w:marTop w:val="0"/>
      <w:marBottom w:val="0"/>
      <w:divBdr>
        <w:top w:val="none" w:sz="0" w:space="0" w:color="auto"/>
        <w:left w:val="none" w:sz="0" w:space="0" w:color="auto"/>
        <w:bottom w:val="none" w:sz="0" w:space="0" w:color="auto"/>
        <w:right w:val="none" w:sz="0" w:space="0" w:color="auto"/>
      </w:divBdr>
    </w:div>
    <w:div w:id="123038492">
      <w:bodyDiv w:val="1"/>
      <w:marLeft w:val="0"/>
      <w:marRight w:val="0"/>
      <w:marTop w:val="0"/>
      <w:marBottom w:val="0"/>
      <w:divBdr>
        <w:top w:val="none" w:sz="0" w:space="0" w:color="auto"/>
        <w:left w:val="none" w:sz="0" w:space="0" w:color="auto"/>
        <w:bottom w:val="none" w:sz="0" w:space="0" w:color="auto"/>
        <w:right w:val="none" w:sz="0" w:space="0" w:color="auto"/>
      </w:divBdr>
    </w:div>
    <w:div w:id="178980205">
      <w:bodyDiv w:val="1"/>
      <w:marLeft w:val="0"/>
      <w:marRight w:val="0"/>
      <w:marTop w:val="0"/>
      <w:marBottom w:val="0"/>
      <w:divBdr>
        <w:top w:val="none" w:sz="0" w:space="0" w:color="auto"/>
        <w:left w:val="none" w:sz="0" w:space="0" w:color="auto"/>
        <w:bottom w:val="none" w:sz="0" w:space="0" w:color="auto"/>
        <w:right w:val="none" w:sz="0" w:space="0" w:color="auto"/>
      </w:divBdr>
    </w:div>
    <w:div w:id="276641214">
      <w:bodyDiv w:val="1"/>
      <w:marLeft w:val="0"/>
      <w:marRight w:val="0"/>
      <w:marTop w:val="0"/>
      <w:marBottom w:val="0"/>
      <w:divBdr>
        <w:top w:val="none" w:sz="0" w:space="0" w:color="auto"/>
        <w:left w:val="none" w:sz="0" w:space="0" w:color="auto"/>
        <w:bottom w:val="none" w:sz="0" w:space="0" w:color="auto"/>
        <w:right w:val="none" w:sz="0" w:space="0" w:color="auto"/>
      </w:divBdr>
      <w:divsChild>
        <w:div w:id="208537154">
          <w:marLeft w:val="0"/>
          <w:marRight w:val="0"/>
          <w:marTop w:val="0"/>
          <w:marBottom w:val="0"/>
          <w:divBdr>
            <w:top w:val="none" w:sz="0" w:space="0" w:color="auto"/>
            <w:left w:val="none" w:sz="0" w:space="0" w:color="auto"/>
            <w:bottom w:val="none" w:sz="0" w:space="0" w:color="auto"/>
            <w:right w:val="none" w:sz="0" w:space="0" w:color="auto"/>
          </w:divBdr>
          <w:divsChild>
            <w:div w:id="697966818">
              <w:marLeft w:val="0"/>
              <w:marRight w:val="0"/>
              <w:marTop w:val="0"/>
              <w:marBottom w:val="0"/>
              <w:divBdr>
                <w:top w:val="none" w:sz="0" w:space="0" w:color="auto"/>
                <w:left w:val="none" w:sz="0" w:space="0" w:color="auto"/>
                <w:bottom w:val="none" w:sz="0" w:space="0" w:color="auto"/>
                <w:right w:val="none" w:sz="0" w:space="0" w:color="auto"/>
              </w:divBdr>
              <w:divsChild>
                <w:div w:id="1126704835">
                  <w:marLeft w:val="0"/>
                  <w:marRight w:val="0"/>
                  <w:marTop w:val="0"/>
                  <w:marBottom w:val="0"/>
                  <w:divBdr>
                    <w:top w:val="none" w:sz="0" w:space="0" w:color="auto"/>
                    <w:left w:val="none" w:sz="0" w:space="0" w:color="auto"/>
                    <w:bottom w:val="none" w:sz="0" w:space="0" w:color="auto"/>
                    <w:right w:val="none" w:sz="0" w:space="0" w:color="auto"/>
                  </w:divBdr>
                  <w:divsChild>
                    <w:div w:id="200955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3520">
          <w:marLeft w:val="0"/>
          <w:marRight w:val="0"/>
          <w:marTop w:val="0"/>
          <w:marBottom w:val="0"/>
          <w:divBdr>
            <w:top w:val="none" w:sz="0" w:space="0" w:color="auto"/>
            <w:left w:val="none" w:sz="0" w:space="0" w:color="auto"/>
            <w:bottom w:val="none" w:sz="0" w:space="0" w:color="auto"/>
            <w:right w:val="none" w:sz="0" w:space="0" w:color="auto"/>
          </w:divBdr>
          <w:divsChild>
            <w:div w:id="981469909">
              <w:marLeft w:val="0"/>
              <w:marRight w:val="0"/>
              <w:marTop w:val="0"/>
              <w:marBottom w:val="0"/>
              <w:divBdr>
                <w:top w:val="none" w:sz="0" w:space="0" w:color="auto"/>
                <w:left w:val="none" w:sz="0" w:space="0" w:color="auto"/>
                <w:bottom w:val="none" w:sz="0" w:space="0" w:color="auto"/>
                <w:right w:val="none" w:sz="0" w:space="0" w:color="auto"/>
              </w:divBdr>
              <w:divsChild>
                <w:div w:id="1202859356">
                  <w:marLeft w:val="0"/>
                  <w:marRight w:val="0"/>
                  <w:marTop w:val="0"/>
                  <w:marBottom w:val="0"/>
                  <w:divBdr>
                    <w:top w:val="none" w:sz="0" w:space="0" w:color="auto"/>
                    <w:left w:val="none" w:sz="0" w:space="0" w:color="auto"/>
                    <w:bottom w:val="none" w:sz="0" w:space="0" w:color="auto"/>
                    <w:right w:val="none" w:sz="0" w:space="0" w:color="auto"/>
                  </w:divBdr>
                  <w:divsChild>
                    <w:div w:id="63553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868694">
      <w:bodyDiv w:val="1"/>
      <w:marLeft w:val="0"/>
      <w:marRight w:val="0"/>
      <w:marTop w:val="0"/>
      <w:marBottom w:val="0"/>
      <w:divBdr>
        <w:top w:val="none" w:sz="0" w:space="0" w:color="auto"/>
        <w:left w:val="none" w:sz="0" w:space="0" w:color="auto"/>
        <w:bottom w:val="none" w:sz="0" w:space="0" w:color="auto"/>
        <w:right w:val="none" w:sz="0" w:space="0" w:color="auto"/>
      </w:divBdr>
    </w:div>
    <w:div w:id="337387311">
      <w:bodyDiv w:val="1"/>
      <w:marLeft w:val="0"/>
      <w:marRight w:val="0"/>
      <w:marTop w:val="0"/>
      <w:marBottom w:val="0"/>
      <w:divBdr>
        <w:top w:val="none" w:sz="0" w:space="0" w:color="auto"/>
        <w:left w:val="none" w:sz="0" w:space="0" w:color="auto"/>
        <w:bottom w:val="none" w:sz="0" w:space="0" w:color="auto"/>
        <w:right w:val="none" w:sz="0" w:space="0" w:color="auto"/>
      </w:divBdr>
    </w:div>
    <w:div w:id="345982384">
      <w:bodyDiv w:val="1"/>
      <w:marLeft w:val="0"/>
      <w:marRight w:val="0"/>
      <w:marTop w:val="0"/>
      <w:marBottom w:val="0"/>
      <w:divBdr>
        <w:top w:val="none" w:sz="0" w:space="0" w:color="auto"/>
        <w:left w:val="none" w:sz="0" w:space="0" w:color="auto"/>
        <w:bottom w:val="none" w:sz="0" w:space="0" w:color="auto"/>
        <w:right w:val="none" w:sz="0" w:space="0" w:color="auto"/>
      </w:divBdr>
    </w:div>
    <w:div w:id="380054066">
      <w:bodyDiv w:val="1"/>
      <w:marLeft w:val="0"/>
      <w:marRight w:val="0"/>
      <w:marTop w:val="0"/>
      <w:marBottom w:val="0"/>
      <w:divBdr>
        <w:top w:val="none" w:sz="0" w:space="0" w:color="auto"/>
        <w:left w:val="none" w:sz="0" w:space="0" w:color="auto"/>
        <w:bottom w:val="none" w:sz="0" w:space="0" w:color="auto"/>
        <w:right w:val="none" w:sz="0" w:space="0" w:color="auto"/>
      </w:divBdr>
    </w:div>
    <w:div w:id="425539898">
      <w:bodyDiv w:val="1"/>
      <w:marLeft w:val="0"/>
      <w:marRight w:val="0"/>
      <w:marTop w:val="0"/>
      <w:marBottom w:val="0"/>
      <w:divBdr>
        <w:top w:val="none" w:sz="0" w:space="0" w:color="auto"/>
        <w:left w:val="none" w:sz="0" w:space="0" w:color="auto"/>
        <w:bottom w:val="none" w:sz="0" w:space="0" w:color="auto"/>
        <w:right w:val="none" w:sz="0" w:space="0" w:color="auto"/>
      </w:divBdr>
    </w:div>
    <w:div w:id="567962558">
      <w:bodyDiv w:val="1"/>
      <w:marLeft w:val="0"/>
      <w:marRight w:val="0"/>
      <w:marTop w:val="0"/>
      <w:marBottom w:val="0"/>
      <w:divBdr>
        <w:top w:val="none" w:sz="0" w:space="0" w:color="auto"/>
        <w:left w:val="none" w:sz="0" w:space="0" w:color="auto"/>
        <w:bottom w:val="none" w:sz="0" w:space="0" w:color="auto"/>
        <w:right w:val="none" w:sz="0" w:space="0" w:color="auto"/>
      </w:divBdr>
    </w:div>
    <w:div w:id="584925228">
      <w:bodyDiv w:val="1"/>
      <w:marLeft w:val="0"/>
      <w:marRight w:val="0"/>
      <w:marTop w:val="0"/>
      <w:marBottom w:val="0"/>
      <w:divBdr>
        <w:top w:val="none" w:sz="0" w:space="0" w:color="auto"/>
        <w:left w:val="none" w:sz="0" w:space="0" w:color="auto"/>
        <w:bottom w:val="none" w:sz="0" w:space="0" w:color="auto"/>
        <w:right w:val="none" w:sz="0" w:space="0" w:color="auto"/>
      </w:divBdr>
    </w:div>
    <w:div w:id="665321552">
      <w:bodyDiv w:val="1"/>
      <w:marLeft w:val="0"/>
      <w:marRight w:val="0"/>
      <w:marTop w:val="0"/>
      <w:marBottom w:val="0"/>
      <w:divBdr>
        <w:top w:val="none" w:sz="0" w:space="0" w:color="auto"/>
        <w:left w:val="none" w:sz="0" w:space="0" w:color="auto"/>
        <w:bottom w:val="none" w:sz="0" w:space="0" w:color="auto"/>
        <w:right w:val="none" w:sz="0" w:space="0" w:color="auto"/>
      </w:divBdr>
    </w:div>
    <w:div w:id="697510329">
      <w:bodyDiv w:val="1"/>
      <w:marLeft w:val="0"/>
      <w:marRight w:val="0"/>
      <w:marTop w:val="0"/>
      <w:marBottom w:val="0"/>
      <w:divBdr>
        <w:top w:val="none" w:sz="0" w:space="0" w:color="auto"/>
        <w:left w:val="none" w:sz="0" w:space="0" w:color="auto"/>
        <w:bottom w:val="none" w:sz="0" w:space="0" w:color="auto"/>
        <w:right w:val="none" w:sz="0" w:space="0" w:color="auto"/>
      </w:divBdr>
    </w:div>
    <w:div w:id="701248137">
      <w:bodyDiv w:val="1"/>
      <w:marLeft w:val="0"/>
      <w:marRight w:val="0"/>
      <w:marTop w:val="0"/>
      <w:marBottom w:val="0"/>
      <w:divBdr>
        <w:top w:val="none" w:sz="0" w:space="0" w:color="auto"/>
        <w:left w:val="none" w:sz="0" w:space="0" w:color="auto"/>
        <w:bottom w:val="none" w:sz="0" w:space="0" w:color="auto"/>
        <w:right w:val="none" w:sz="0" w:space="0" w:color="auto"/>
      </w:divBdr>
    </w:div>
    <w:div w:id="734937276">
      <w:bodyDiv w:val="1"/>
      <w:marLeft w:val="0"/>
      <w:marRight w:val="0"/>
      <w:marTop w:val="0"/>
      <w:marBottom w:val="0"/>
      <w:divBdr>
        <w:top w:val="none" w:sz="0" w:space="0" w:color="auto"/>
        <w:left w:val="none" w:sz="0" w:space="0" w:color="auto"/>
        <w:bottom w:val="none" w:sz="0" w:space="0" w:color="auto"/>
        <w:right w:val="none" w:sz="0" w:space="0" w:color="auto"/>
      </w:divBdr>
    </w:div>
    <w:div w:id="735400844">
      <w:bodyDiv w:val="1"/>
      <w:marLeft w:val="0"/>
      <w:marRight w:val="0"/>
      <w:marTop w:val="0"/>
      <w:marBottom w:val="0"/>
      <w:divBdr>
        <w:top w:val="none" w:sz="0" w:space="0" w:color="auto"/>
        <w:left w:val="none" w:sz="0" w:space="0" w:color="auto"/>
        <w:bottom w:val="none" w:sz="0" w:space="0" w:color="auto"/>
        <w:right w:val="none" w:sz="0" w:space="0" w:color="auto"/>
      </w:divBdr>
    </w:div>
    <w:div w:id="811750036">
      <w:bodyDiv w:val="1"/>
      <w:marLeft w:val="0"/>
      <w:marRight w:val="0"/>
      <w:marTop w:val="0"/>
      <w:marBottom w:val="0"/>
      <w:divBdr>
        <w:top w:val="none" w:sz="0" w:space="0" w:color="auto"/>
        <w:left w:val="none" w:sz="0" w:space="0" w:color="auto"/>
        <w:bottom w:val="none" w:sz="0" w:space="0" w:color="auto"/>
        <w:right w:val="none" w:sz="0" w:space="0" w:color="auto"/>
      </w:divBdr>
    </w:div>
    <w:div w:id="854029273">
      <w:bodyDiv w:val="1"/>
      <w:marLeft w:val="0"/>
      <w:marRight w:val="0"/>
      <w:marTop w:val="0"/>
      <w:marBottom w:val="0"/>
      <w:divBdr>
        <w:top w:val="none" w:sz="0" w:space="0" w:color="auto"/>
        <w:left w:val="none" w:sz="0" w:space="0" w:color="auto"/>
        <w:bottom w:val="none" w:sz="0" w:space="0" w:color="auto"/>
        <w:right w:val="none" w:sz="0" w:space="0" w:color="auto"/>
      </w:divBdr>
    </w:div>
    <w:div w:id="944267489">
      <w:bodyDiv w:val="1"/>
      <w:marLeft w:val="0"/>
      <w:marRight w:val="0"/>
      <w:marTop w:val="0"/>
      <w:marBottom w:val="0"/>
      <w:divBdr>
        <w:top w:val="none" w:sz="0" w:space="0" w:color="auto"/>
        <w:left w:val="none" w:sz="0" w:space="0" w:color="auto"/>
        <w:bottom w:val="none" w:sz="0" w:space="0" w:color="auto"/>
        <w:right w:val="none" w:sz="0" w:space="0" w:color="auto"/>
      </w:divBdr>
    </w:div>
    <w:div w:id="955865947">
      <w:bodyDiv w:val="1"/>
      <w:marLeft w:val="0"/>
      <w:marRight w:val="0"/>
      <w:marTop w:val="0"/>
      <w:marBottom w:val="0"/>
      <w:divBdr>
        <w:top w:val="none" w:sz="0" w:space="0" w:color="auto"/>
        <w:left w:val="none" w:sz="0" w:space="0" w:color="auto"/>
        <w:bottom w:val="none" w:sz="0" w:space="0" w:color="auto"/>
        <w:right w:val="none" w:sz="0" w:space="0" w:color="auto"/>
      </w:divBdr>
    </w:div>
    <w:div w:id="972708669">
      <w:bodyDiv w:val="1"/>
      <w:marLeft w:val="0"/>
      <w:marRight w:val="0"/>
      <w:marTop w:val="0"/>
      <w:marBottom w:val="0"/>
      <w:divBdr>
        <w:top w:val="none" w:sz="0" w:space="0" w:color="auto"/>
        <w:left w:val="none" w:sz="0" w:space="0" w:color="auto"/>
        <w:bottom w:val="none" w:sz="0" w:space="0" w:color="auto"/>
        <w:right w:val="none" w:sz="0" w:space="0" w:color="auto"/>
      </w:divBdr>
    </w:div>
    <w:div w:id="1020204024">
      <w:bodyDiv w:val="1"/>
      <w:marLeft w:val="0"/>
      <w:marRight w:val="0"/>
      <w:marTop w:val="0"/>
      <w:marBottom w:val="0"/>
      <w:divBdr>
        <w:top w:val="none" w:sz="0" w:space="0" w:color="auto"/>
        <w:left w:val="none" w:sz="0" w:space="0" w:color="auto"/>
        <w:bottom w:val="none" w:sz="0" w:space="0" w:color="auto"/>
        <w:right w:val="none" w:sz="0" w:space="0" w:color="auto"/>
      </w:divBdr>
    </w:div>
    <w:div w:id="1038890738">
      <w:bodyDiv w:val="1"/>
      <w:marLeft w:val="0"/>
      <w:marRight w:val="0"/>
      <w:marTop w:val="0"/>
      <w:marBottom w:val="0"/>
      <w:divBdr>
        <w:top w:val="none" w:sz="0" w:space="0" w:color="auto"/>
        <w:left w:val="none" w:sz="0" w:space="0" w:color="auto"/>
        <w:bottom w:val="none" w:sz="0" w:space="0" w:color="auto"/>
        <w:right w:val="none" w:sz="0" w:space="0" w:color="auto"/>
      </w:divBdr>
    </w:div>
    <w:div w:id="1065105462">
      <w:bodyDiv w:val="1"/>
      <w:marLeft w:val="0"/>
      <w:marRight w:val="0"/>
      <w:marTop w:val="0"/>
      <w:marBottom w:val="0"/>
      <w:divBdr>
        <w:top w:val="none" w:sz="0" w:space="0" w:color="auto"/>
        <w:left w:val="none" w:sz="0" w:space="0" w:color="auto"/>
        <w:bottom w:val="none" w:sz="0" w:space="0" w:color="auto"/>
        <w:right w:val="none" w:sz="0" w:space="0" w:color="auto"/>
      </w:divBdr>
    </w:div>
    <w:div w:id="1166356792">
      <w:bodyDiv w:val="1"/>
      <w:marLeft w:val="0"/>
      <w:marRight w:val="0"/>
      <w:marTop w:val="0"/>
      <w:marBottom w:val="0"/>
      <w:divBdr>
        <w:top w:val="none" w:sz="0" w:space="0" w:color="auto"/>
        <w:left w:val="none" w:sz="0" w:space="0" w:color="auto"/>
        <w:bottom w:val="none" w:sz="0" w:space="0" w:color="auto"/>
        <w:right w:val="none" w:sz="0" w:space="0" w:color="auto"/>
      </w:divBdr>
    </w:div>
    <w:div w:id="1276790325">
      <w:bodyDiv w:val="1"/>
      <w:marLeft w:val="0"/>
      <w:marRight w:val="0"/>
      <w:marTop w:val="0"/>
      <w:marBottom w:val="0"/>
      <w:divBdr>
        <w:top w:val="none" w:sz="0" w:space="0" w:color="auto"/>
        <w:left w:val="none" w:sz="0" w:space="0" w:color="auto"/>
        <w:bottom w:val="none" w:sz="0" w:space="0" w:color="auto"/>
        <w:right w:val="none" w:sz="0" w:space="0" w:color="auto"/>
      </w:divBdr>
    </w:div>
    <w:div w:id="1365599425">
      <w:bodyDiv w:val="1"/>
      <w:marLeft w:val="0"/>
      <w:marRight w:val="0"/>
      <w:marTop w:val="0"/>
      <w:marBottom w:val="0"/>
      <w:divBdr>
        <w:top w:val="none" w:sz="0" w:space="0" w:color="auto"/>
        <w:left w:val="none" w:sz="0" w:space="0" w:color="auto"/>
        <w:bottom w:val="none" w:sz="0" w:space="0" w:color="auto"/>
        <w:right w:val="none" w:sz="0" w:space="0" w:color="auto"/>
      </w:divBdr>
    </w:div>
    <w:div w:id="1392191925">
      <w:bodyDiv w:val="1"/>
      <w:marLeft w:val="0"/>
      <w:marRight w:val="0"/>
      <w:marTop w:val="0"/>
      <w:marBottom w:val="0"/>
      <w:divBdr>
        <w:top w:val="none" w:sz="0" w:space="0" w:color="auto"/>
        <w:left w:val="none" w:sz="0" w:space="0" w:color="auto"/>
        <w:bottom w:val="none" w:sz="0" w:space="0" w:color="auto"/>
        <w:right w:val="none" w:sz="0" w:space="0" w:color="auto"/>
      </w:divBdr>
    </w:div>
    <w:div w:id="1399014792">
      <w:bodyDiv w:val="1"/>
      <w:marLeft w:val="0"/>
      <w:marRight w:val="0"/>
      <w:marTop w:val="0"/>
      <w:marBottom w:val="0"/>
      <w:divBdr>
        <w:top w:val="none" w:sz="0" w:space="0" w:color="auto"/>
        <w:left w:val="none" w:sz="0" w:space="0" w:color="auto"/>
        <w:bottom w:val="none" w:sz="0" w:space="0" w:color="auto"/>
        <w:right w:val="none" w:sz="0" w:space="0" w:color="auto"/>
      </w:divBdr>
    </w:div>
    <w:div w:id="1411584880">
      <w:bodyDiv w:val="1"/>
      <w:marLeft w:val="0"/>
      <w:marRight w:val="0"/>
      <w:marTop w:val="0"/>
      <w:marBottom w:val="0"/>
      <w:divBdr>
        <w:top w:val="none" w:sz="0" w:space="0" w:color="auto"/>
        <w:left w:val="none" w:sz="0" w:space="0" w:color="auto"/>
        <w:bottom w:val="none" w:sz="0" w:space="0" w:color="auto"/>
        <w:right w:val="none" w:sz="0" w:space="0" w:color="auto"/>
      </w:divBdr>
    </w:div>
    <w:div w:id="1415737661">
      <w:bodyDiv w:val="1"/>
      <w:marLeft w:val="0"/>
      <w:marRight w:val="0"/>
      <w:marTop w:val="0"/>
      <w:marBottom w:val="0"/>
      <w:divBdr>
        <w:top w:val="none" w:sz="0" w:space="0" w:color="auto"/>
        <w:left w:val="none" w:sz="0" w:space="0" w:color="auto"/>
        <w:bottom w:val="none" w:sz="0" w:space="0" w:color="auto"/>
        <w:right w:val="none" w:sz="0" w:space="0" w:color="auto"/>
      </w:divBdr>
    </w:div>
    <w:div w:id="1481000649">
      <w:bodyDiv w:val="1"/>
      <w:marLeft w:val="0"/>
      <w:marRight w:val="0"/>
      <w:marTop w:val="0"/>
      <w:marBottom w:val="0"/>
      <w:divBdr>
        <w:top w:val="none" w:sz="0" w:space="0" w:color="auto"/>
        <w:left w:val="none" w:sz="0" w:space="0" w:color="auto"/>
        <w:bottom w:val="none" w:sz="0" w:space="0" w:color="auto"/>
        <w:right w:val="none" w:sz="0" w:space="0" w:color="auto"/>
      </w:divBdr>
    </w:div>
    <w:div w:id="1494100985">
      <w:bodyDiv w:val="1"/>
      <w:marLeft w:val="0"/>
      <w:marRight w:val="0"/>
      <w:marTop w:val="0"/>
      <w:marBottom w:val="0"/>
      <w:divBdr>
        <w:top w:val="none" w:sz="0" w:space="0" w:color="auto"/>
        <w:left w:val="none" w:sz="0" w:space="0" w:color="auto"/>
        <w:bottom w:val="none" w:sz="0" w:space="0" w:color="auto"/>
        <w:right w:val="none" w:sz="0" w:space="0" w:color="auto"/>
      </w:divBdr>
    </w:div>
    <w:div w:id="1623997202">
      <w:bodyDiv w:val="1"/>
      <w:marLeft w:val="0"/>
      <w:marRight w:val="0"/>
      <w:marTop w:val="0"/>
      <w:marBottom w:val="0"/>
      <w:divBdr>
        <w:top w:val="none" w:sz="0" w:space="0" w:color="auto"/>
        <w:left w:val="none" w:sz="0" w:space="0" w:color="auto"/>
        <w:bottom w:val="none" w:sz="0" w:space="0" w:color="auto"/>
        <w:right w:val="none" w:sz="0" w:space="0" w:color="auto"/>
      </w:divBdr>
    </w:div>
    <w:div w:id="1714839780">
      <w:bodyDiv w:val="1"/>
      <w:marLeft w:val="0"/>
      <w:marRight w:val="0"/>
      <w:marTop w:val="0"/>
      <w:marBottom w:val="0"/>
      <w:divBdr>
        <w:top w:val="none" w:sz="0" w:space="0" w:color="auto"/>
        <w:left w:val="none" w:sz="0" w:space="0" w:color="auto"/>
        <w:bottom w:val="none" w:sz="0" w:space="0" w:color="auto"/>
        <w:right w:val="none" w:sz="0" w:space="0" w:color="auto"/>
      </w:divBdr>
    </w:div>
    <w:div w:id="188783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content/pdf/10.1007/s11625-021-01070-2.pdf" TargetMode="External"/><Relationship Id="rId18" Type="http://schemas.openxmlformats.org/officeDocument/2006/relationships/hyperlink" Target="https://link.springer.com/content/pdf/10.1007/s11625-021-00977-0.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h.bmj.com/content/bmjgh/7/5/e008524.full.pdf" TargetMode="External"/><Relationship Id="rId7" Type="http://schemas.openxmlformats.org/officeDocument/2006/relationships/endnotes" Target="endnotes.xml"/><Relationship Id="rId12" Type="http://schemas.openxmlformats.org/officeDocument/2006/relationships/hyperlink" Target="https://www.sciencedirect.com/science/article/pii/S1090951622000220" TargetMode="External"/><Relationship Id="rId17" Type="http://schemas.openxmlformats.org/officeDocument/2006/relationships/hyperlink" Target="https://dl.acm.org/doi/abs/10.1287/orsc.2021.148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content/pdf/10.1007/s11625-022-01240-w.pdf" TargetMode="External"/><Relationship Id="rId20" Type="http://schemas.openxmlformats.org/officeDocument/2006/relationships/hyperlink" Target="https://formative.jmir.org/2022/1/e316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m-pdf/10.1111/flan.12504" TargetMode="External"/><Relationship Id="rId24" Type="http://schemas.openxmlformats.org/officeDocument/2006/relationships/hyperlink" Target="https://www.sciencedirect.com/science/article/pii/S2414644721000099" TargetMode="External"/><Relationship Id="rId5" Type="http://schemas.openxmlformats.org/officeDocument/2006/relationships/webSettings" Target="webSettings.xml"/><Relationship Id="rId15" Type="http://schemas.openxmlformats.org/officeDocument/2006/relationships/hyperlink" Target="https://www.haw-hamburg.de/fileadmin/LS/FTZ-NK/PDF/Publications/2024-The_added_value_of_partnerships_in_implementing_the_UN_sustainable_development_goals__Journal_of_Cleaner_Production.pdf" TargetMode="External"/><Relationship Id="rId23" Type="http://schemas.openxmlformats.org/officeDocument/2006/relationships/hyperlink" Target="https://www.unilever.com" TargetMode="External"/><Relationship Id="rId10" Type="http://schemas.openxmlformats.org/officeDocument/2006/relationships/hyperlink" Target="https://www.sciencedirect.com/science/article/pii/S1090951620300924" TargetMode="External"/><Relationship Id="rId19" Type="http://schemas.openxmlformats.org/officeDocument/2006/relationships/hyperlink" Target="https://www.sciencedirect.com/science/article/pii/S1090951621000973" TargetMode="External"/><Relationship Id="rId4" Type="http://schemas.openxmlformats.org/officeDocument/2006/relationships/settings" Target="settings.xml"/><Relationship Id="rId9" Type="http://schemas.openxmlformats.org/officeDocument/2006/relationships/hyperlink" Target="https://www.sciencedirect.com/science/article/pii/S0346251X24000459" TargetMode="External"/><Relationship Id="rId14" Type="http://schemas.openxmlformats.org/officeDocument/2006/relationships/hyperlink" Target="https://journals.sagepub.com/doi/pdf/10.1177/0020852321997552" TargetMode="External"/><Relationship Id="rId22" Type="http://schemas.openxmlformats.org/officeDocument/2006/relationships/hyperlink" Target="https://www.sciencedirect.com/science/article/pii/S088303552100074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551F0-4E6E-450C-B704-D52057C9F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14</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Nedelcho Vichev (2229924)</cp:lastModifiedBy>
  <cp:revision>4</cp:revision>
  <dcterms:created xsi:type="dcterms:W3CDTF">2025-03-27T14:02:00Z</dcterms:created>
  <dcterms:modified xsi:type="dcterms:W3CDTF">2025-03-27T17:06:00Z</dcterms:modified>
</cp:coreProperties>
</file>