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AE72DA" w14:textId="77777777" w:rsidR="00A642F2" w:rsidRDefault="00A642F2"/>
    <w:p w14:paraId="2D78E525" w14:textId="77777777" w:rsidR="00A642F2" w:rsidRPr="0026344B" w:rsidRDefault="00A642F2" w:rsidP="007C6099">
      <w:pPr>
        <w:ind w:left="360"/>
      </w:pPr>
      <w:r>
        <w:t xml:space="preserve">1. </w:t>
      </w:r>
      <w:r w:rsidRPr="0026344B">
        <w:t xml:space="preserve">Barker, D. J. P. (1998). </w:t>
      </w:r>
      <w:r w:rsidRPr="0026344B">
        <w:rPr>
          <w:rFonts w:eastAsiaTheme="majorEastAsia"/>
          <w:i/>
          <w:iCs/>
        </w:rPr>
        <w:t>In utero programming of chronic disease</w:t>
      </w:r>
      <w:r w:rsidRPr="0026344B">
        <w:t xml:space="preserve">. </w:t>
      </w:r>
      <w:r w:rsidRPr="0026344B">
        <w:rPr>
          <w:rFonts w:eastAsiaTheme="majorEastAsia"/>
          <w:i/>
          <w:iCs/>
        </w:rPr>
        <w:t>Clinical</w:t>
      </w:r>
      <w:r w:rsidRPr="0026344B">
        <w:rPr>
          <w:i/>
          <w:iCs/>
        </w:rPr>
        <w:t xml:space="preserve"> </w:t>
      </w:r>
      <w:r w:rsidRPr="0026344B">
        <w:rPr>
          <w:rFonts w:eastAsiaTheme="majorEastAsia"/>
          <w:i/>
          <w:iCs/>
        </w:rPr>
        <w:t>Science</w:t>
      </w:r>
      <w:r w:rsidRPr="0026344B">
        <w:t xml:space="preserve">, 95(2), 115-128. </w:t>
      </w:r>
    </w:p>
    <w:p w14:paraId="11FB8F04" w14:textId="77777777" w:rsidR="00A642F2" w:rsidRPr="007C6099" w:rsidRDefault="00A642F2" w:rsidP="007C6099">
      <w:pPr>
        <w:ind w:left="360"/>
      </w:pPr>
      <w:r>
        <w:t xml:space="preserve">10. </w:t>
      </w:r>
      <w:r w:rsidRPr="0026344B">
        <w:t xml:space="preserve">Hart, J. T., &amp; Schofield, G. (2003). </w:t>
      </w:r>
      <w:r w:rsidRPr="0026344B">
        <w:rPr>
          <w:rFonts w:eastAsiaTheme="majorEastAsia"/>
          <w:i/>
          <w:iCs/>
        </w:rPr>
        <w:t>Social determinants of health and health disparities: What do we know?</w:t>
      </w:r>
      <w:r w:rsidRPr="0026344B">
        <w:t xml:space="preserve"> </w:t>
      </w:r>
      <w:r w:rsidRPr="007C6099">
        <w:rPr>
          <w:rFonts w:eastAsiaTheme="majorEastAsia"/>
          <w:i/>
          <w:iCs/>
        </w:rPr>
        <w:t>Journal of Public Health Policy</w:t>
      </w:r>
      <w:r w:rsidRPr="007C6099">
        <w:t>, 24(4), 445-463.</w:t>
      </w:r>
    </w:p>
    <w:p w14:paraId="7AAA465F" w14:textId="77777777" w:rsidR="00A642F2" w:rsidRPr="007C6099" w:rsidRDefault="00A642F2" w:rsidP="007C6099">
      <w:pPr>
        <w:ind w:left="360"/>
      </w:pPr>
      <w:r>
        <w:t xml:space="preserve">11. </w:t>
      </w:r>
      <w:r w:rsidRPr="0026344B">
        <w:t xml:space="preserve">Marmot, M. (2005). </w:t>
      </w:r>
      <w:r w:rsidRPr="0026344B">
        <w:rPr>
          <w:rFonts w:eastAsiaTheme="majorEastAsia"/>
          <w:i/>
          <w:iCs/>
        </w:rPr>
        <w:t>Social determinants of health: The solid facts</w:t>
      </w:r>
      <w:r w:rsidRPr="0026344B">
        <w:t xml:space="preserve">. </w:t>
      </w:r>
      <w:r w:rsidRPr="007C6099">
        <w:t>World Health Organization.</w:t>
      </w:r>
    </w:p>
    <w:p w14:paraId="715A9402" w14:textId="77777777" w:rsidR="00A642F2" w:rsidRPr="007C6099" w:rsidRDefault="00A642F2" w:rsidP="007C6099">
      <w:pPr>
        <w:ind w:left="360"/>
      </w:pPr>
      <w:r>
        <w:t xml:space="preserve">12. </w:t>
      </w:r>
      <w:r w:rsidRPr="0026344B">
        <w:t xml:space="preserve">McLaren, L., &amp; Story, M. (2009). </w:t>
      </w:r>
      <w:r w:rsidRPr="0026344B">
        <w:rPr>
          <w:rFonts w:eastAsiaTheme="majorEastAsia"/>
          <w:i/>
          <w:iCs/>
        </w:rPr>
        <w:t>The role of the social environment in promoting a healthy diet in childhood</w:t>
      </w:r>
      <w:r w:rsidRPr="0026344B">
        <w:t xml:space="preserve">. </w:t>
      </w:r>
      <w:r w:rsidRPr="007C6099">
        <w:rPr>
          <w:rFonts w:eastAsiaTheme="majorEastAsia"/>
          <w:i/>
          <w:iCs/>
        </w:rPr>
        <w:t>Health Education Research</w:t>
      </w:r>
      <w:r w:rsidRPr="007C6099">
        <w:t>, 24(6), 1094-1102.</w:t>
      </w:r>
    </w:p>
    <w:p w14:paraId="3AED0757" w14:textId="77777777" w:rsidR="00A642F2" w:rsidRPr="0026344B" w:rsidRDefault="00A642F2" w:rsidP="007C6099">
      <w:pPr>
        <w:ind w:left="360"/>
      </w:pPr>
      <w:r>
        <w:t xml:space="preserve">13. </w:t>
      </w:r>
      <w:r w:rsidRPr="0026344B">
        <w:t xml:space="preserve">Power, C., &amp; Hertzman, C. (2003). </w:t>
      </w:r>
      <w:r w:rsidRPr="0026344B">
        <w:rPr>
          <w:rFonts w:eastAsiaTheme="majorEastAsia"/>
          <w:i/>
          <w:iCs/>
        </w:rPr>
        <w:t>Social determinants of health and wellbeing across the life course</w:t>
      </w:r>
      <w:r w:rsidRPr="0026344B">
        <w:t>. University of British Columbia Press.</w:t>
      </w:r>
    </w:p>
    <w:p w14:paraId="323F5CC3" w14:textId="77777777" w:rsidR="00A642F2" w:rsidRPr="0026344B" w:rsidRDefault="00A642F2" w:rsidP="007C6099">
      <w:pPr>
        <w:ind w:left="360"/>
      </w:pPr>
      <w:r>
        <w:t xml:space="preserve">14. </w:t>
      </w:r>
      <w:r w:rsidRPr="0026344B">
        <w:t xml:space="preserve">Schofield, H. L., &amp; Hunter, P. (2007). </w:t>
      </w:r>
      <w:r w:rsidRPr="0026344B">
        <w:rPr>
          <w:rFonts w:eastAsiaTheme="majorEastAsia"/>
          <w:i/>
          <w:iCs/>
        </w:rPr>
        <w:t>Health, inequality, and the life course</w:t>
      </w:r>
      <w:r w:rsidRPr="0026344B">
        <w:t xml:space="preserve">. </w:t>
      </w:r>
      <w:r w:rsidRPr="0026344B">
        <w:rPr>
          <w:rFonts w:eastAsiaTheme="majorEastAsia"/>
          <w:i/>
          <w:iCs/>
        </w:rPr>
        <w:t>The Lancet</w:t>
      </w:r>
      <w:r w:rsidRPr="0026344B">
        <w:t xml:space="preserve">, 370(9604), 228-238. </w:t>
      </w:r>
    </w:p>
    <w:p w14:paraId="43D67B9B" w14:textId="77777777" w:rsidR="00A642F2" w:rsidRPr="007C6099" w:rsidRDefault="00A642F2" w:rsidP="007C6099">
      <w:pPr>
        <w:ind w:left="360"/>
      </w:pPr>
      <w:r>
        <w:t xml:space="preserve">15. </w:t>
      </w:r>
      <w:r w:rsidRPr="0026344B">
        <w:t xml:space="preserve">World Health Organization (WHO). (2010). </w:t>
      </w:r>
      <w:r w:rsidRPr="0026344B">
        <w:rPr>
          <w:rFonts w:eastAsiaTheme="majorEastAsia"/>
          <w:i/>
          <w:iCs/>
        </w:rPr>
        <w:t>A conceptual framework for action on the social determinants of health</w:t>
      </w:r>
      <w:r w:rsidRPr="0026344B">
        <w:t xml:space="preserve">. </w:t>
      </w:r>
      <w:r w:rsidRPr="007C6099">
        <w:t>WHO.</w:t>
      </w:r>
    </w:p>
    <w:p w14:paraId="1650D030" w14:textId="77777777" w:rsidR="00A642F2" w:rsidRPr="0026344B" w:rsidRDefault="00A642F2" w:rsidP="00A642F2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t xml:space="preserve">16. </w:t>
      </w:r>
      <w:r w:rsidRPr="0026344B">
        <w:rPr>
          <w:rFonts w:cs="Arial"/>
          <w:lang w:eastAsia="pl-PL"/>
        </w:rPr>
        <w:t xml:space="preserve">Allen, M. L., &amp; Barlow, P. (2012). </w:t>
      </w:r>
      <w:r w:rsidRPr="0026344B">
        <w:rPr>
          <w:rFonts w:eastAsiaTheme="majorEastAsia" w:cs="Arial"/>
          <w:lang w:eastAsia="pl-PL"/>
        </w:rPr>
        <w:t>Social inequalities and health: A life course perspective</w:t>
      </w:r>
      <w:r w:rsidRPr="0026344B">
        <w:rPr>
          <w:rFonts w:cs="Arial"/>
          <w:lang w:eastAsia="pl-PL"/>
        </w:rPr>
        <w:t>. Springer Publishing.</w:t>
      </w:r>
    </w:p>
    <w:p w14:paraId="354F83FA" w14:textId="77777777" w:rsidR="00A642F2" w:rsidRPr="007C6099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t xml:space="preserve">17. </w:t>
      </w:r>
      <w:r w:rsidRPr="0026344B">
        <w:rPr>
          <w:rFonts w:cs="Arial"/>
          <w:lang w:eastAsia="pl-PL"/>
        </w:rPr>
        <w:t xml:space="preserve">Bartley, M. (2004). </w:t>
      </w:r>
      <w:r w:rsidRPr="0026344B">
        <w:rPr>
          <w:rFonts w:eastAsiaTheme="majorEastAsia" w:cs="Arial"/>
          <w:lang w:eastAsia="pl-PL"/>
        </w:rPr>
        <w:t>Health inequalities: Life course perspectives</w:t>
      </w:r>
      <w:r w:rsidRPr="0026344B">
        <w:rPr>
          <w:rFonts w:cs="Arial"/>
          <w:lang w:eastAsia="pl-PL"/>
        </w:rPr>
        <w:t xml:space="preserve">. </w:t>
      </w:r>
      <w:r w:rsidRPr="007C6099">
        <w:rPr>
          <w:rFonts w:cs="Arial"/>
          <w:lang w:eastAsia="pl-PL"/>
        </w:rPr>
        <w:t>Cambridge University Press.</w:t>
      </w:r>
    </w:p>
    <w:p w14:paraId="4686CCAF" w14:textId="77777777" w:rsidR="00A642F2" w:rsidRPr="007C6099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t xml:space="preserve">18. </w:t>
      </w:r>
      <w:r w:rsidRPr="0026344B">
        <w:rPr>
          <w:rFonts w:cs="Arial"/>
          <w:lang w:eastAsia="pl-PL"/>
        </w:rPr>
        <w:t xml:space="preserve">Ben-Shlomo, Y., &amp; Kuh, D. (2002). </w:t>
      </w:r>
      <w:r w:rsidRPr="0026344B">
        <w:rPr>
          <w:rFonts w:eastAsiaTheme="majorEastAsia" w:cs="Arial"/>
          <w:lang w:eastAsia="pl-PL"/>
        </w:rPr>
        <w:t>A life course approach to chronic disease epidemiology: Conceptual models, empirical challenges, and interdisciplinary perspectives</w:t>
      </w:r>
      <w:r w:rsidRPr="0026344B">
        <w:rPr>
          <w:rFonts w:cs="Arial"/>
          <w:lang w:eastAsia="pl-PL"/>
        </w:rPr>
        <w:t xml:space="preserve">. </w:t>
      </w:r>
      <w:r w:rsidRPr="007C6099">
        <w:rPr>
          <w:rFonts w:eastAsiaTheme="majorEastAsia" w:cs="Arial"/>
          <w:lang w:eastAsia="pl-PL"/>
        </w:rPr>
        <w:t>International Journal of Epidemiology</w:t>
      </w:r>
      <w:r w:rsidRPr="007C6099">
        <w:rPr>
          <w:rFonts w:cs="Arial"/>
          <w:lang w:eastAsia="pl-PL"/>
        </w:rPr>
        <w:t xml:space="preserve">, 31(2), 285-293. </w:t>
      </w:r>
    </w:p>
    <w:p w14:paraId="3C673EA0" w14:textId="77777777" w:rsidR="00A642F2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t xml:space="preserve">19. </w:t>
      </w:r>
      <w:r w:rsidRPr="0026344B">
        <w:rPr>
          <w:rFonts w:cs="Arial"/>
          <w:lang w:eastAsia="pl-PL"/>
        </w:rPr>
        <w:t xml:space="preserve">Dube, S. R., &amp; Anda, R. F. (2009). </w:t>
      </w:r>
      <w:r w:rsidRPr="0026344B">
        <w:rPr>
          <w:rFonts w:eastAsiaTheme="majorEastAsia" w:cs="Arial"/>
          <w:lang w:eastAsia="pl-PL"/>
        </w:rPr>
        <w:t>The impact of adverse childhood experiences on health outcomes: A longitudinal study of childhood trauma and health outcomes</w:t>
      </w:r>
      <w:r w:rsidRPr="0026344B">
        <w:rPr>
          <w:rFonts w:cs="Arial"/>
          <w:lang w:eastAsia="pl-PL"/>
        </w:rPr>
        <w:t xml:space="preserve">. </w:t>
      </w:r>
      <w:r w:rsidRPr="0026344B">
        <w:rPr>
          <w:rFonts w:eastAsiaTheme="majorEastAsia" w:cs="Arial"/>
          <w:lang w:eastAsia="pl-PL"/>
        </w:rPr>
        <w:t>American Journal of Preventive Medicine</w:t>
      </w:r>
      <w:r w:rsidRPr="0026344B">
        <w:rPr>
          <w:rFonts w:cs="Arial"/>
          <w:lang w:eastAsia="pl-PL"/>
        </w:rPr>
        <w:t xml:space="preserve">, 35(4), 355-364. </w:t>
      </w:r>
    </w:p>
    <w:p w14:paraId="5FDA4CED" w14:textId="77777777" w:rsidR="00A642F2" w:rsidRPr="0026344B" w:rsidRDefault="00A642F2" w:rsidP="007C6099">
      <w:pPr>
        <w:ind w:left="360"/>
      </w:pPr>
      <w:r>
        <w:t xml:space="preserve">2. </w:t>
      </w:r>
      <w:r w:rsidRPr="0026344B">
        <w:t xml:space="preserve">Beaglehole, R., Bonita, R., &amp; </w:t>
      </w:r>
      <w:proofErr w:type="spellStart"/>
      <w:r w:rsidRPr="0026344B">
        <w:t>Kjellstrom</w:t>
      </w:r>
      <w:proofErr w:type="spellEnd"/>
      <w:r w:rsidRPr="0026344B">
        <w:t xml:space="preserve">, T. (1993). </w:t>
      </w:r>
      <w:r w:rsidRPr="0026344B">
        <w:rPr>
          <w:rFonts w:eastAsiaTheme="majorEastAsia"/>
          <w:i/>
          <w:iCs/>
        </w:rPr>
        <w:t>Basic epidemiology</w:t>
      </w:r>
      <w:r w:rsidRPr="0026344B">
        <w:t>. World Health Organization.</w:t>
      </w:r>
    </w:p>
    <w:p w14:paraId="54C600E7" w14:textId="77777777" w:rsidR="00A642F2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t xml:space="preserve">20. </w:t>
      </w:r>
      <w:r w:rsidRPr="0026344B">
        <w:rPr>
          <w:rFonts w:cs="Arial"/>
          <w:lang w:eastAsia="pl-PL"/>
        </w:rPr>
        <w:t xml:space="preserve">Evans, G. W., &amp; English, K. (2002). </w:t>
      </w:r>
      <w:r w:rsidRPr="0026344B">
        <w:rPr>
          <w:rFonts w:eastAsiaTheme="majorEastAsia" w:cs="Arial"/>
          <w:i/>
          <w:iCs/>
          <w:lang w:eastAsia="pl-PL"/>
        </w:rPr>
        <w:t>The environment of childhood poverty</w:t>
      </w:r>
      <w:r w:rsidRPr="0026344B">
        <w:rPr>
          <w:rFonts w:cs="Arial"/>
          <w:lang w:eastAsia="pl-PL"/>
        </w:rPr>
        <w:t xml:space="preserve">. </w:t>
      </w:r>
      <w:r w:rsidRPr="0026344B">
        <w:rPr>
          <w:rFonts w:eastAsiaTheme="majorEastAsia" w:cs="Arial"/>
          <w:i/>
          <w:iCs/>
          <w:lang w:eastAsia="pl-PL"/>
        </w:rPr>
        <w:t>American Psychologist</w:t>
      </w:r>
      <w:r w:rsidRPr="0026344B">
        <w:rPr>
          <w:rFonts w:cs="Arial"/>
          <w:lang w:eastAsia="pl-PL"/>
        </w:rPr>
        <w:t xml:space="preserve">, 57(2), 77-86. </w:t>
      </w:r>
    </w:p>
    <w:p w14:paraId="4B1D91D5" w14:textId="77777777" w:rsidR="00A642F2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t xml:space="preserve">21. </w:t>
      </w:r>
      <w:r w:rsidRPr="0026344B">
        <w:rPr>
          <w:rFonts w:cs="Arial"/>
          <w:lang w:eastAsia="pl-PL"/>
        </w:rPr>
        <w:t xml:space="preserve">Finkelstein, E. A., Trogdon, J. G., Cohen, J. W., &amp; Dietz, W. (2009). </w:t>
      </w:r>
      <w:r w:rsidRPr="0026344B">
        <w:rPr>
          <w:rFonts w:eastAsiaTheme="majorEastAsia" w:cs="Arial"/>
          <w:i/>
          <w:iCs/>
          <w:lang w:eastAsia="pl-PL"/>
        </w:rPr>
        <w:t>Annual medical spending attributable to obesity in the United States</w:t>
      </w:r>
      <w:r w:rsidRPr="0026344B">
        <w:rPr>
          <w:rFonts w:cs="Arial"/>
          <w:lang w:eastAsia="pl-PL"/>
        </w:rPr>
        <w:t xml:space="preserve">. </w:t>
      </w:r>
      <w:r w:rsidRPr="0026344B">
        <w:rPr>
          <w:rFonts w:eastAsiaTheme="majorEastAsia" w:cs="Arial"/>
          <w:i/>
          <w:iCs/>
          <w:lang w:eastAsia="pl-PL"/>
        </w:rPr>
        <w:t>JAMA</w:t>
      </w:r>
      <w:r w:rsidRPr="0026344B">
        <w:rPr>
          <w:rFonts w:cs="Arial"/>
          <w:lang w:eastAsia="pl-PL"/>
        </w:rPr>
        <w:t xml:space="preserve">, 301(15), 1695-1702. </w:t>
      </w:r>
    </w:p>
    <w:p w14:paraId="48707225" w14:textId="77777777" w:rsidR="00A642F2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>
        <w:rPr>
          <w:rFonts w:cs="Arial"/>
          <w:lang w:eastAsia="pl-PL"/>
        </w:rPr>
        <w:lastRenderedPageBreak/>
        <w:t xml:space="preserve">22. </w:t>
      </w:r>
      <w:r w:rsidRPr="0026344B">
        <w:rPr>
          <w:rFonts w:cs="Arial"/>
          <w:lang w:eastAsia="pl-PL"/>
        </w:rPr>
        <w:t xml:space="preserve">Harten, N., &amp; Tew, B. (2005). </w:t>
      </w:r>
      <w:r w:rsidRPr="0026344B">
        <w:rPr>
          <w:rFonts w:eastAsiaTheme="majorEastAsia" w:cs="Arial"/>
          <w:i/>
          <w:iCs/>
          <w:lang w:eastAsia="pl-PL"/>
        </w:rPr>
        <w:t>The relationship between childhood poverty and adult health outcomes: A life course perspective</w:t>
      </w:r>
      <w:r w:rsidRPr="0026344B">
        <w:rPr>
          <w:rFonts w:cs="Arial"/>
          <w:lang w:eastAsia="pl-PL"/>
        </w:rPr>
        <w:t xml:space="preserve">. </w:t>
      </w:r>
      <w:r w:rsidRPr="0026344B">
        <w:rPr>
          <w:rFonts w:eastAsiaTheme="majorEastAsia" w:cs="Arial"/>
          <w:i/>
          <w:iCs/>
          <w:lang w:eastAsia="pl-PL"/>
        </w:rPr>
        <w:t>American Journal of Public Health</w:t>
      </w:r>
      <w:r w:rsidRPr="0026344B">
        <w:rPr>
          <w:rFonts w:cs="Arial"/>
          <w:lang w:eastAsia="pl-PL"/>
        </w:rPr>
        <w:t xml:space="preserve">, 95(10), 1767-1773. </w:t>
      </w:r>
    </w:p>
    <w:p w14:paraId="1CD7C026" w14:textId="77777777" w:rsidR="00A642F2" w:rsidRPr="0026344B" w:rsidRDefault="00A642F2" w:rsidP="007C6099">
      <w:pPr>
        <w:suppressAutoHyphens w:val="0"/>
        <w:autoSpaceDN/>
        <w:spacing w:before="100" w:beforeAutospacing="1" w:after="100" w:afterAutospacing="1" w:line="240" w:lineRule="auto"/>
        <w:ind w:left="360"/>
        <w:textAlignment w:val="auto"/>
        <w:rPr>
          <w:rFonts w:cs="Arial"/>
          <w:lang w:eastAsia="pl-PL"/>
        </w:rPr>
      </w:pPr>
      <w:r w:rsidRPr="00A642F2">
        <w:rPr>
          <w:rFonts w:cs="Arial"/>
          <w:lang w:val="pl-PL" w:eastAsia="pl-PL"/>
        </w:rPr>
        <w:t xml:space="preserve">23. </w:t>
      </w:r>
      <w:proofErr w:type="spellStart"/>
      <w:r w:rsidRPr="00A642F2">
        <w:rPr>
          <w:rFonts w:cs="Arial"/>
          <w:lang w:val="pl-PL" w:eastAsia="pl-PL"/>
        </w:rPr>
        <w:t>Kawachi</w:t>
      </w:r>
      <w:proofErr w:type="spellEnd"/>
      <w:r w:rsidRPr="00A642F2">
        <w:rPr>
          <w:rFonts w:cs="Arial"/>
          <w:lang w:val="pl-PL" w:eastAsia="pl-PL"/>
        </w:rPr>
        <w:t xml:space="preserve">, I., &amp; </w:t>
      </w:r>
      <w:proofErr w:type="spellStart"/>
      <w:r w:rsidRPr="00A642F2">
        <w:rPr>
          <w:rFonts w:cs="Arial"/>
          <w:lang w:val="pl-PL" w:eastAsia="pl-PL"/>
        </w:rPr>
        <w:t>Berkman</w:t>
      </w:r>
      <w:proofErr w:type="spellEnd"/>
      <w:r w:rsidRPr="00A642F2">
        <w:rPr>
          <w:rFonts w:cs="Arial"/>
          <w:lang w:val="pl-PL" w:eastAsia="pl-PL"/>
        </w:rPr>
        <w:t xml:space="preserve">, L. F. (2003). </w:t>
      </w:r>
      <w:proofErr w:type="spellStart"/>
      <w:r w:rsidRPr="0026344B">
        <w:rPr>
          <w:rFonts w:eastAsiaTheme="majorEastAsia" w:cs="Arial"/>
          <w:i/>
          <w:iCs/>
          <w:lang w:eastAsia="pl-PL"/>
        </w:rPr>
        <w:t>Neighborhoods</w:t>
      </w:r>
      <w:proofErr w:type="spellEnd"/>
      <w:r w:rsidRPr="0026344B">
        <w:rPr>
          <w:rFonts w:eastAsiaTheme="majorEastAsia" w:cs="Arial"/>
          <w:i/>
          <w:iCs/>
          <w:lang w:eastAsia="pl-PL"/>
        </w:rPr>
        <w:t xml:space="preserve"> and health</w:t>
      </w:r>
      <w:r w:rsidRPr="0026344B">
        <w:rPr>
          <w:rFonts w:cs="Arial"/>
          <w:lang w:eastAsia="pl-PL"/>
        </w:rPr>
        <w:t>. Oxford University Press</w:t>
      </w:r>
    </w:p>
    <w:p w14:paraId="1BF328F4" w14:textId="77777777" w:rsidR="00A642F2" w:rsidRPr="0026344B" w:rsidRDefault="00A642F2" w:rsidP="007C6099">
      <w:pPr>
        <w:ind w:left="360"/>
      </w:pPr>
      <w:r>
        <w:t xml:space="preserve">3. </w:t>
      </w:r>
      <w:r w:rsidRPr="0026344B">
        <w:t xml:space="preserve">Brody, D. J., &amp; Bartlett, E. L. (2015). </w:t>
      </w:r>
      <w:r w:rsidRPr="0026344B">
        <w:rPr>
          <w:rFonts w:eastAsiaTheme="majorEastAsia"/>
          <w:i/>
          <w:iCs/>
        </w:rPr>
        <w:t>Adverse childhood experiences: Implications for healthcare providers</w:t>
      </w:r>
      <w:r w:rsidRPr="0026344B">
        <w:t xml:space="preserve">. </w:t>
      </w:r>
      <w:r w:rsidRPr="0026344B">
        <w:rPr>
          <w:rFonts w:eastAsiaTheme="majorEastAsia"/>
          <w:i/>
          <w:iCs/>
        </w:rPr>
        <w:t xml:space="preserve">Journal of </w:t>
      </w:r>
      <w:proofErr w:type="spellStart"/>
      <w:r w:rsidRPr="0026344B">
        <w:rPr>
          <w:rFonts w:eastAsiaTheme="majorEastAsia"/>
          <w:i/>
          <w:iCs/>
        </w:rPr>
        <w:t>Pediatric</w:t>
      </w:r>
      <w:proofErr w:type="spellEnd"/>
      <w:r w:rsidRPr="0026344B">
        <w:rPr>
          <w:rFonts w:eastAsiaTheme="majorEastAsia"/>
          <w:i/>
          <w:iCs/>
        </w:rPr>
        <w:t xml:space="preserve"> Healthcare</w:t>
      </w:r>
      <w:r w:rsidRPr="0026344B">
        <w:t xml:space="preserve">, 29(6), 537-543. </w:t>
      </w:r>
    </w:p>
    <w:p w14:paraId="5A76E67D" w14:textId="77777777" w:rsidR="00A642F2" w:rsidRPr="007C6099" w:rsidRDefault="00A642F2" w:rsidP="007C6099">
      <w:pPr>
        <w:ind w:left="360"/>
      </w:pPr>
      <w:r>
        <w:t>4.</w:t>
      </w:r>
      <w:r w:rsidRPr="0026344B">
        <w:t xml:space="preserve">Campbell, J. L., &amp; Trotter, C. (2009). </w:t>
      </w:r>
      <w:r w:rsidRPr="0026344B">
        <w:rPr>
          <w:rFonts w:eastAsiaTheme="majorEastAsia"/>
          <w:i/>
          <w:iCs/>
        </w:rPr>
        <w:t>Public health: A sociological approach</w:t>
      </w:r>
      <w:r w:rsidRPr="0026344B">
        <w:t xml:space="preserve">. </w:t>
      </w:r>
      <w:r w:rsidRPr="007C6099">
        <w:t>2nd ed. Open University Press.</w:t>
      </w:r>
    </w:p>
    <w:p w14:paraId="1E753F0D" w14:textId="77777777" w:rsidR="00A642F2" w:rsidRPr="007C6099" w:rsidRDefault="00A642F2" w:rsidP="007C6099">
      <w:pPr>
        <w:ind w:left="360"/>
      </w:pPr>
      <w:r>
        <w:t xml:space="preserve">5. </w:t>
      </w:r>
      <w:r w:rsidRPr="0026344B">
        <w:t xml:space="preserve">CSDH (2008). </w:t>
      </w:r>
      <w:r w:rsidRPr="0026344B">
        <w:rPr>
          <w:rFonts w:eastAsiaTheme="majorEastAsia"/>
          <w:i/>
          <w:iCs/>
        </w:rPr>
        <w:t>Closing the gap in a generation: Health equity through action on the social determinants of health</w:t>
      </w:r>
      <w:r w:rsidRPr="0026344B">
        <w:t xml:space="preserve">. </w:t>
      </w:r>
      <w:r w:rsidRPr="007C6099">
        <w:t>World Health Organization.</w:t>
      </w:r>
    </w:p>
    <w:p w14:paraId="13008FF2" w14:textId="77777777" w:rsidR="00A642F2" w:rsidRPr="0026344B" w:rsidRDefault="00A642F2" w:rsidP="007C6099">
      <w:pPr>
        <w:ind w:left="360"/>
      </w:pPr>
      <w:r>
        <w:t xml:space="preserve">6. </w:t>
      </w:r>
      <w:r w:rsidRPr="0026344B">
        <w:t xml:space="preserve">Das, J., &amp; Tiwari, M. (2011). </w:t>
      </w:r>
      <w:r w:rsidRPr="0026344B">
        <w:rPr>
          <w:rFonts w:eastAsiaTheme="majorEastAsia"/>
          <w:i/>
          <w:iCs/>
        </w:rPr>
        <w:t>Social determinants of health: The importance of early childhood interventions</w:t>
      </w:r>
      <w:r w:rsidRPr="0026344B">
        <w:t xml:space="preserve">. </w:t>
      </w:r>
      <w:r w:rsidRPr="0026344B">
        <w:rPr>
          <w:rFonts w:eastAsiaTheme="majorEastAsia"/>
          <w:i/>
          <w:iCs/>
        </w:rPr>
        <w:t>Journal of Public Health Policy</w:t>
      </w:r>
      <w:r w:rsidRPr="0026344B">
        <w:t>, 32(2), 228-237.</w:t>
      </w:r>
    </w:p>
    <w:p w14:paraId="179EEF90" w14:textId="77777777" w:rsidR="00A642F2" w:rsidRPr="007C6099" w:rsidRDefault="00A642F2" w:rsidP="007C6099">
      <w:pPr>
        <w:ind w:left="360"/>
      </w:pPr>
      <w:r>
        <w:t xml:space="preserve">7. </w:t>
      </w:r>
      <w:r w:rsidRPr="0026344B">
        <w:t xml:space="preserve">Foresight, Government Office for Science. (2007). </w:t>
      </w:r>
      <w:r w:rsidRPr="0026344B">
        <w:rPr>
          <w:rFonts w:eastAsiaTheme="majorEastAsia"/>
          <w:i/>
          <w:iCs/>
        </w:rPr>
        <w:t>Tackling health inequalities: A life course approach</w:t>
      </w:r>
      <w:r w:rsidRPr="0026344B">
        <w:t xml:space="preserve">. </w:t>
      </w:r>
      <w:r w:rsidRPr="007C6099">
        <w:t>Department of Health.</w:t>
      </w:r>
    </w:p>
    <w:p w14:paraId="47592714" w14:textId="77777777" w:rsidR="00A642F2" w:rsidRPr="0026344B" w:rsidRDefault="00A642F2" w:rsidP="007C6099">
      <w:pPr>
        <w:ind w:left="360"/>
      </w:pPr>
      <w:r>
        <w:t xml:space="preserve">8. </w:t>
      </w:r>
      <w:r w:rsidRPr="0026344B">
        <w:t xml:space="preserve">Gregg, E. W., &amp; Shaw, J. E. (2017). </w:t>
      </w:r>
      <w:r w:rsidRPr="0026344B">
        <w:rPr>
          <w:rFonts w:eastAsiaTheme="majorEastAsia"/>
          <w:i/>
          <w:iCs/>
        </w:rPr>
        <w:t>Type 2 diabetes and the role of early life influences</w:t>
      </w:r>
      <w:r w:rsidRPr="0026344B">
        <w:t xml:space="preserve">. </w:t>
      </w:r>
      <w:r w:rsidRPr="0026344B">
        <w:rPr>
          <w:rFonts w:eastAsiaTheme="majorEastAsia"/>
          <w:i/>
          <w:iCs/>
        </w:rPr>
        <w:t>The Lancet Diabetes &amp; Endocrinology</w:t>
      </w:r>
      <w:r w:rsidRPr="0026344B">
        <w:t>, 5(6), 371-379. https://doi.org/10.1016/S2213-8587(17)30199-4</w:t>
      </w:r>
    </w:p>
    <w:p w14:paraId="423CF3D8" w14:textId="77777777" w:rsidR="00A642F2" w:rsidRPr="0026344B" w:rsidRDefault="00A642F2" w:rsidP="007C6099">
      <w:pPr>
        <w:ind w:left="360"/>
      </w:pPr>
      <w:r>
        <w:t xml:space="preserve">9. </w:t>
      </w:r>
      <w:r w:rsidRPr="0026344B">
        <w:t xml:space="preserve">Halfon, N., &amp; Hochstein, M. (2002). </w:t>
      </w:r>
      <w:r w:rsidRPr="0026344B">
        <w:rPr>
          <w:rFonts w:eastAsiaTheme="majorEastAsia"/>
          <w:i/>
          <w:iCs/>
        </w:rPr>
        <w:t>Life course health development: An integrated framework for developing health, policy, and research</w:t>
      </w:r>
      <w:r w:rsidRPr="0026344B">
        <w:t xml:space="preserve">. </w:t>
      </w:r>
      <w:r w:rsidRPr="0026344B">
        <w:rPr>
          <w:rFonts w:eastAsiaTheme="majorEastAsia"/>
          <w:i/>
          <w:iCs/>
        </w:rPr>
        <w:t>The Milbank Quarterly</w:t>
      </w:r>
      <w:r w:rsidRPr="0026344B">
        <w:t>, 80(3), 433-479. https://doi.org/10.1111/1468-0009.00019</w:t>
      </w:r>
    </w:p>
    <w:sectPr w:rsidR="00A642F2" w:rsidRPr="0026344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9D4E93"/>
    <w:multiLevelType w:val="multilevel"/>
    <w:tmpl w:val="6BCCDB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8014991">
    <w:abstractNumId w:val="0"/>
  </w:num>
  <w:num w:numId="2" w16cid:durableId="1449734757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3" w16cid:durableId="2028829472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4" w16cid:durableId="856121775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5" w16cid:durableId="227688795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6" w16cid:durableId="1137527575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7" w16cid:durableId="1694459059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8" w16cid:durableId="1862667860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9" w16cid:durableId="468787062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0" w16cid:durableId="1492873290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A39"/>
    <w:rsid w:val="00041AFE"/>
    <w:rsid w:val="000A3A39"/>
    <w:rsid w:val="00390BC5"/>
    <w:rsid w:val="00587575"/>
    <w:rsid w:val="006F7DBF"/>
    <w:rsid w:val="007441C4"/>
    <w:rsid w:val="007C6099"/>
    <w:rsid w:val="00A642F2"/>
    <w:rsid w:val="00AE7641"/>
    <w:rsid w:val="00C338F7"/>
    <w:rsid w:val="00E26D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5A78036D"/>
  <w15:chartTrackingRefBased/>
  <w15:docId w15:val="{73A63BB2-C9CB-48B6-A67F-E18578EC35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pl-PL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  <w:rsid w:val="007441C4"/>
    <w:pPr>
      <w:suppressAutoHyphens/>
      <w:autoSpaceDN w:val="0"/>
      <w:spacing w:after="240" w:line="288" w:lineRule="auto"/>
      <w:textAlignment w:val="baseline"/>
    </w:pPr>
    <w:rPr>
      <w:rFonts w:ascii="Arial" w:eastAsia="Times New Roman" w:hAnsi="Arial" w:cs="Times New Roman"/>
      <w:kern w:val="0"/>
      <w:lang w:val="en-GB" w:eastAsia="en-GB"/>
      <w14:ligatures w14:val="none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0A3A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0A3A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0A3A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0A3A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0A3A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0A3A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0A3A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0A3A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0A3A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0A3A39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0A3A39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0A3A39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0A3A39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0A3A39"/>
    <w:rPr>
      <w:rFonts w:eastAsiaTheme="majorEastAsia" w:cstheme="majorBidi"/>
      <w:color w:val="0F4761" w:themeColor="accent1" w:themeShade="BF"/>
      <w:lang w:val="en-GB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0A3A39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0A3A39"/>
    <w:rPr>
      <w:rFonts w:eastAsiaTheme="majorEastAsia" w:cstheme="majorBidi"/>
      <w:color w:val="595959" w:themeColor="text1" w:themeTint="A6"/>
      <w:lang w:val="en-GB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0A3A39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0A3A39"/>
    <w:rPr>
      <w:rFonts w:eastAsiaTheme="majorEastAsia" w:cstheme="majorBidi"/>
      <w:color w:val="272727" w:themeColor="text1" w:themeTint="D8"/>
      <w:lang w:val="en-GB"/>
    </w:rPr>
  </w:style>
  <w:style w:type="paragraph" w:styleId="Tytu">
    <w:name w:val="Title"/>
    <w:basedOn w:val="Normalny"/>
    <w:next w:val="Normalny"/>
    <w:link w:val="TytuZnak"/>
    <w:uiPriority w:val="10"/>
    <w:qFormat/>
    <w:rsid w:val="000A3A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0A3A39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0A3A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0A3A39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Cytat">
    <w:name w:val="Quote"/>
    <w:basedOn w:val="Normalny"/>
    <w:next w:val="Normalny"/>
    <w:link w:val="CytatZnak"/>
    <w:uiPriority w:val="29"/>
    <w:qFormat/>
    <w:rsid w:val="000A3A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0A3A39"/>
    <w:rPr>
      <w:i/>
      <w:iCs/>
      <w:color w:val="404040" w:themeColor="text1" w:themeTint="BF"/>
      <w:lang w:val="en-GB"/>
    </w:rPr>
  </w:style>
  <w:style w:type="paragraph" w:styleId="Akapitzlist">
    <w:name w:val="List Paragraph"/>
    <w:basedOn w:val="Normalny"/>
    <w:uiPriority w:val="34"/>
    <w:qFormat/>
    <w:rsid w:val="000A3A39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0A3A39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0A3A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0A3A39"/>
    <w:rPr>
      <w:i/>
      <w:iCs/>
      <w:color w:val="0F4761" w:themeColor="accent1" w:themeShade="BF"/>
      <w:lang w:val="en-GB"/>
    </w:rPr>
  </w:style>
  <w:style w:type="character" w:styleId="Odwoanieintensywne">
    <w:name w:val="Intense Reference"/>
    <w:basedOn w:val="Domylnaczcionkaakapitu"/>
    <w:uiPriority w:val="32"/>
    <w:qFormat/>
    <w:rsid w:val="000A3A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37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6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04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72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5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0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9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8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9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3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7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9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6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7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461</Words>
  <Characters>2901</Characters>
  <Application>Microsoft Office Word</Application>
  <DocSecurity>0</DocSecurity>
  <Lines>67</Lines>
  <Paragraphs>19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Dominika Młynarczyk</dc:creator>
  <cp:keywords/>
  <dc:description/>
  <cp:lastModifiedBy>Dominika Młynarczyk</cp:lastModifiedBy>
  <cp:revision>2</cp:revision>
  <dcterms:created xsi:type="dcterms:W3CDTF">2025-05-08T08:34:00Z</dcterms:created>
  <dcterms:modified xsi:type="dcterms:W3CDTF">2025-05-08T08:34:00Z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444f9489-8b82-4782-b750-b088f5d0e59c</vt:lpwstr>
  </property>
</Properties>
</file>