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334FF1" w14:textId="77777777" w:rsidR="00D579A6" w:rsidRPr="004033C6" w:rsidRDefault="00D579A6" w:rsidP="00D579A6">
      <w:pPr>
        <w:jc w:val="both"/>
        <w:rPr>
          <w:rFonts w:ascii="Agency FB" w:hAnsi="Agency FB"/>
          <w:b/>
          <w:bCs/>
          <w:sz w:val="36"/>
          <w:szCs w:val="36"/>
        </w:rPr>
      </w:pPr>
      <w:r w:rsidRPr="004033C6">
        <w:rPr>
          <w:rFonts w:ascii="Arial" w:hAnsi="Arial" w:cs="Arial"/>
          <w:noProof/>
        </w:rPr>
        <w:drawing>
          <wp:inline distT="0" distB="0" distL="0" distR="0" wp14:anchorId="3D3D6DFA" wp14:editId="3100DC6B">
            <wp:extent cx="1676400" cy="670516"/>
            <wp:effectExtent l="0" t="0" r="0" b="0"/>
            <wp:docPr id="167225280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692483" cy="676949"/>
                    </a:xfrm>
                    <a:prstGeom prst="rect">
                      <a:avLst/>
                    </a:prstGeom>
                    <a:ln/>
                  </pic:spPr>
                </pic:pic>
              </a:graphicData>
            </a:graphic>
          </wp:inline>
        </w:drawing>
      </w:r>
    </w:p>
    <w:p w14:paraId="378EBE8C" w14:textId="77777777" w:rsidR="00D579A6" w:rsidRPr="004033C6" w:rsidRDefault="00D579A6" w:rsidP="00D579A6">
      <w:pPr>
        <w:jc w:val="center"/>
        <w:rPr>
          <w:rFonts w:ascii="Arial" w:eastAsia="Times New Roman" w:hAnsi="Arial" w:cs="Arial"/>
          <w:b/>
          <w:sz w:val="44"/>
          <w:szCs w:val="44"/>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033C6">
        <w:rPr>
          <w:rFonts w:ascii="Arial" w:eastAsia="Times New Roman" w:hAnsi="Arial" w:cs="Arial"/>
          <w:b/>
          <w:sz w:val="44"/>
          <w:szCs w:val="44"/>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An Assignment</w:t>
      </w:r>
    </w:p>
    <w:p w14:paraId="7A30CD35" w14:textId="6CF681E5" w:rsidR="00D579A6" w:rsidRPr="004033C6" w:rsidRDefault="00D579A6" w:rsidP="00D579A6">
      <w:pPr>
        <w:jc w:val="center"/>
        <w:rPr>
          <w:rFonts w:ascii="Agency FB" w:hAnsi="Agency FB"/>
          <w:b/>
          <w:bCs/>
          <w:sz w:val="36"/>
          <w:szCs w:val="36"/>
        </w:rPr>
      </w:pPr>
      <w:r w:rsidRPr="004033C6">
        <w:rPr>
          <w:rFonts w:ascii="Arial" w:eastAsia="Times New Roman" w:hAnsi="Arial" w:cs="Arial"/>
          <w:b/>
          <w:sz w:val="44"/>
          <w:szCs w:val="44"/>
          <w:lang w:eastAsia="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on</w:t>
      </w:r>
      <w:r w:rsidR="009969B9">
        <w:rPr>
          <w:rFonts w:ascii="Arial Rounded MT Bold" w:eastAsia="Times New Roman" w:hAnsi="Arial Rounded MT Bold" w:cs="Segoe UI"/>
          <w:b/>
          <w:bCs/>
          <w:noProof/>
          <w:kern w:val="0"/>
          <w:sz w:val="32"/>
          <w:szCs w:val="32"/>
          <w:lang w:eastAsia="en-GB"/>
        </w:rPr>
        <w:drawing>
          <wp:inline distT="0" distB="0" distL="0" distR="0" wp14:anchorId="47E22F84" wp14:editId="0112C98A">
            <wp:extent cx="5731510" cy="3067050"/>
            <wp:effectExtent l="0" t="0" r="2540" b="0"/>
            <wp:docPr id="308566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566940" name="Picture 308566940"/>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67050"/>
                    </a:xfrm>
                    <a:prstGeom prst="rect">
                      <a:avLst/>
                    </a:prstGeom>
                  </pic:spPr>
                </pic:pic>
              </a:graphicData>
            </a:graphic>
          </wp:inline>
        </w:drawing>
      </w:r>
    </w:p>
    <w:p w14:paraId="5FF269D6" w14:textId="77777777" w:rsidR="00D579A6" w:rsidRPr="00683339" w:rsidRDefault="00D579A6" w:rsidP="009969B9">
      <w:pPr>
        <w:spacing w:before="240" w:after="240" w:line="360" w:lineRule="auto"/>
        <w:jc w:val="center"/>
        <w:rPr>
          <w:rFonts w:ascii="Arial Rounded MT Bold" w:eastAsia="Times New Roman" w:hAnsi="Arial Rounded MT Bold" w:cs="Arial"/>
          <w:b/>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683339">
        <w:rPr>
          <w:rFonts w:ascii="Arial Rounded MT Bold" w:eastAsia="Times New Roman" w:hAnsi="Arial Rounded MT Bold" w:cs="Arial"/>
          <w:b/>
          <w:sz w:val="32"/>
          <w:szCs w:val="32"/>
          <w:lang w:val="en" w:eastAsia="en-IN"/>
        </w:rPr>
        <w:t>Programme</w:t>
      </w:r>
      <w:proofErr w:type="spellEnd"/>
      <w:r w:rsidRPr="00683339">
        <w:rPr>
          <w:rFonts w:ascii="Arial Rounded MT Bold" w:eastAsia="Times New Roman" w:hAnsi="Arial Rounded MT Bold" w:cs="Arial"/>
          <w:b/>
          <w:sz w:val="32"/>
          <w:szCs w:val="32"/>
          <w:lang w:val="en" w:eastAsia="en-IN"/>
        </w:rPr>
        <w:t>:</w:t>
      </w:r>
      <w:r w:rsidRPr="00683339">
        <w:rPr>
          <w:rFonts w:ascii="Arial Rounded MT Bold" w:eastAsia="Times New Roman" w:hAnsi="Arial Rounded MT Bold" w:cs="Arial"/>
          <w:b/>
          <w:sz w:val="28"/>
          <w:szCs w:val="28"/>
          <w:lang w:val="en" w:eastAsia="en-IN"/>
        </w:rPr>
        <w:t xml:space="preserve"> </w:t>
      </w:r>
      <w:r w:rsidRPr="00683339">
        <w:rPr>
          <w:rFonts w:ascii="Arial Rounded MT Bold" w:eastAsia="Times New Roman" w:hAnsi="Arial Rounded MT Bold" w:cs="Arial"/>
          <w:bCs/>
          <w:sz w:val="28"/>
          <w:szCs w:val="28"/>
          <w:lang w:val="en" w:eastAsia="en-IN"/>
        </w:rPr>
        <w:t>BSc (Hons) in Health and Social Care</w:t>
      </w:r>
    </w:p>
    <w:p w14:paraId="71D317EC" w14:textId="78012D57" w:rsidR="00D579A6" w:rsidRPr="00683339" w:rsidRDefault="00D579A6" w:rsidP="009969B9">
      <w:pPr>
        <w:pStyle w:val="Heading1"/>
        <w:spacing w:before="0"/>
        <w:jc w:val="center"/>
        <w:rPr>
          <w:rFonts w:ascii="Arial Rounded MT Bold" w:eastAsia="Times New Roman" w:hAnsi="Arial Rounded MT Bold" w:cs="Segoe UI"/>
          <w:b/>
          <w:bCs/>
          <w:color w:val="auto"/>
          <w:kern w:val="36"/>
          <w:sz w:val="28"/>
          <w:szCs w:val="28"/>
          <w:lang w:eastAsia="en-GB"/>
          <w14:ligatures w14:val="none"/>
        </w:rPr>
      </w:pPr>
      <w:r w:rsidRPr="00683339">
        <w:rPr>
          <w:rFonts w:ascii="Arial Rounded MT Bold" w:eastAsia="Times New Roman" w:hAnsi="Arial Rounded MT Bold" w:cs="Arial"/>
          <w:b/>
          <w:bCs/>
          <w:color w:val="auto"/>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sidRPr="00683339">
        <w:rPr>
          <w:rFonts w:ascii="Arial Rounded MT Bold" w:eastAsia="Times New Roman" w:hAnsi="Arial Rounded MT Bold" w:cs="Arial"/>
          <w:color w:val="auto"/>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0" w:name="_Hlk200009382"/>
      <w:r w:rsidRPr="00683339">
        <w:rPr>
          <w:rFonts w:ascii="Arial Rounded MT Bold" w:eastAsia="Times New Roman" w:hAnsi="Arial Rounded MT Bold" w:cs="Segoe UI"/>
          <w:color w:val="auto"/>
          <w:kern w:val="36"/>
          <w:sz w:val="28"/>
          <w:szCs w:val="28"/>
          <w:lang w:eastAsia="en-GB"/>
          <w14:ligatures w14:val="none"/>
        </w:rPr>
        <w:t>BMHP60</w:t>
      </w:r>
      <w:bookmarkEnd w:id="0"/>
      <w:r w:rsidRPr="00683339">
        <w:rPr>
          <w:rFonts w:ascii="Arial Rounded MT Bold" w:eastAsia="Times New Roman" w:hAnsi="Arial Rounded MT Bold" w:cs="Segoe UI"/>
          <w:color w:val="auto"/>
          <w:kern w:val="36"/>
          <w:sz w:val="28"/>
          <w:szCs w:val="28"/>
          <w:lang w:eastAsia="en-GB"/>
          <w14:ligatures w14:val="none"/>
        </w:rPr>
        <w:t>_</w:t>
      </w:r>
      <w:r w:rsidR="00974534" w:rsidRPr="00683339">
        <w:rPr>
          <w:rFonts w:ascii="Arial Rounded MT Bold" w:eastAsia="Times New Roman" w:hAnsi="Arial Rounded MT Bold" w:cs="Segoe UI"/>
          <w:color w:val="auto"/>
          <w:kern w:val="36"/>
          <w:sz w:val="28"/>
          <w:szCs w:val="28"/>
          <w:lang w:eastAsia="en-GB"/>
          <w14:ligatures w14:val="none"/>
        </w:rPr>
        <w:t>30</w:t>
      </w:r>
      <w:r w:rsidRPr="00683339">
        <w:rPr>
          <w:rFonts w:ascii="Arial Rounded MT Bold" w:eastAsia="Times New Roman" w:hAnsi="Arial Rounded MT Bold" w:cs="Segoe UI"/>
          <w:color w:val="auto"/>
          <w:kern w:val="36"/>
          <w:sz w:val="28"/>
          <w:szCs w:val="28"/>
          <w:lang w:eastAsia="en-GB"/>
          <w14:ligatures w14:val="none"/>
        </w:rPr>
        <w:t>BIRM</w:t>
      </w:r>
    </w:p>
    <w:p w14:paraId="5BE829D8" w14:textId="77777777" w:rsidR="009969B9" w:rsidRDefault="00974534" w:rsidP="00974534">
      <w:pPr>
        <w:spacing w:before="100" w:beforeAutospacing="1" w:after="100" w:afterAutospacing="1" w:line="240" w:lineRule="auto"/>
        <w:jc w:val="center"/>
        <w:rPr>
          <w:rFonts w:ascii="Arial Rounded MT Bold" w:eastAsia="Times New Roman" w:hAnsi="Arial Rounded MT Bold" w:cs="Arial"/>
          <w:b/>
          <w:bCs/>
          <w:color w:val="002060"/>
          <w:kern w:val="0"/>
          <w:sz w:val="28"/>
          <w:szCs w:val="28"/>
          <w:lang w:eastAsia="en-GB"/>
          <w14:ligatures w14:val="none"/>
        </w:rPr>
      </w:pPr>
      <w:r w:rsidRPr="009969B9">
        <w:rPr>
          <w:rFonts w:ascii="Arial Rounded MT Bold" w:eastAsia="Times New Roman" w:hAnsi="Arial Rounded MT Bold" w:cs="Arial"/>
          <w:b/>
          <w:bCs/>
          <w:color w:val="002060"/>
          <w:kern w:val="0"/>
          <w:sz w:val="28"/>
          <w:szCs w:val="28"/>
          <w:lang w:eastAsia="en-GB"/>
          <w14:ligatures w14:val="none"/>
        </w:rPr>
        <w:t xml:space="preserve">Title: </w:t>
      </w:r>
    </w:p>
    <w:p w14:paraId="78FE8312" w14:textId="22DEE447" w:rsidR="00974534" w:rsidRPr="009969B9" w:rsidRDefault="00974534" w:rsidP="00762141">
      <w:pPr>
        <w:spacing w:before="100" w:beforeAutospacing="1" w:after="100" w:afterAutospacing="1" w:line="276" w:lineRule="auto"/>
        <w:jc w:val="center"/>
        <w:rPr>
          <w:rFonts w:ascii="Arial Rounded MT Bold" w:eastAsia="Times New Roman" w:hAnsi="Arial Rounded MT Bold" w:cs="Arial"/>
          <w:b/>
          <w:bCs/>
          <w:color w:val="002060"/>
          <w:kern w:val="0"/>
          <w:sz w:val="28"/>
          <w:szCs w:val="28"/>
          <w:lang w:eastAsia="en-GB"/>
          <w14:ligatures w14:val="none"/>
        </w:rPr>
      </w:pPr>
      <w:r w:rsidRPr="009969B9">
        <w:rPr>
          <w:rFonts w:ascii="Arial Rounded MT Bold" w:eastAsia="Times New Roman" w:hAnsi="Arial Rounded MT Bold" w:cs="Arial"/>
          <w:b/>
          <w:bCs/>
          <w:color w:val="002060"/>
          <w:kern w:val="0"/>
          <w:sz w:val="28"/>
          <w:szCs w:val="28"/>
          <w:lang w:eastAsia="en-GB"/>
          <w14:ligatures w14:val="none"/>
        </w:rPr>
        <w:t>The Impact of SDG 3 ‘Good Health and Wellbeing’ and SDG 11 ‘Sustainable Cities and Communities’ on the Health and Wellbeing of Citizens: A Critical Analysis</w:t>
      </w:r>
    </w:p>
    <w:p w14:paraId="6B2A3902" w14:textId="77777777" w:rsidR="00974534" w:rsidRPr="00683339" w:rsidRDefault="00974534" w:rsidP="00D579A6">
      <w:pPr>
        <w:spacing w:before="100" w:beforeAutospacing="1" w:after="100" w:afterAutospacing="1" w:line="240" w:lineRule="auto"/>
        <w:jc w:val="both"/>
        <w:rPr>
          <w:rFonts w:ascii="Arial Rounded MT Bold" w:eastAsia="Times New Roman" w:hAnsi="Arial Rounded MT Bold" w:cs="Segoe UI"/>
          <w:b/>
          <w:bCs/>
          <w:kern w:val="0"/>
          <w:sz w:val="32"/>
          <w:szCs w:val="32"/>
          <w:lang w:eastAsia="en-GB"/>
          <w14:ligatures w14:val="none"/>
        </w:rPr>
      </w:pPr>
    </w:p>
    <w:p w14:paraId="5CF00C16" w14:textId="77777777" w:rsidR="00974534" w:rsidRPr="00683339" w:rsidRDefault="00974534" w:rsidP="00974534">
      <w:pPr>
        <w:jc w:val="both"/>
        <w:rPr>
          <w:rFonts w:ascii="Arial Rounded MT Bold" w:eastAsia="Times New Roman" w:hAnsi="Arial Rounded MT Bold" w:cs="Segoe UI"/>
          <w:b/>
          <w:bCs/>
          <w:kern w:val="0"/>
          <w:sz w:val="32"/>
          <w:szCs w:val="32"/>
          <w:lang w:eastAsia="en-GB"/>
          <w14:ligatures w14:val="none"/>
        </w:rPr>
      </w:pPr>
      <w:r w:rsidRPr="00683339">
        <w:rPr>
          <w:rFonts w:ascii="Arial Rounded MT Bold" w:eastAsia="Times New Roman" w:hAnsi="Arial Rounded MT Bold" w:cs="Segoe UI"/>
          <w:b/>
          <w:bCs/>
          <w:kern w:val="0"/>
          <w:sz w:val="32"/>
          <w:szCs w:val="32"/>
          <w:lang w:eastAsia="en-GB"/>
          <w14:ligatures w14:val="none"/>
        </w:rPr>
        <w:t>Submitted by                                              Submitted to</w:t>
      </w:r>
    </w:p>
    <w:p w14:paraId="000C7FE3" w14:textId="61F45B60" w:rsidR="00974534" w:rsidRPr="00683339" w:rsidRDefault="00974534" w:rsidP="00974534">
      <w:pPr>
        <w:jc w:val="both"/>
        <w:rPr>
          <w:rFonts w:ascii="Arial Rounded MT Bold" w:eastAsia="Times New Roman" w:hAnsi="Arial Rounded MT Bold" w:cs="Arial"/>
          <w:b/>
          <w:bCs/>
          <w:kern w:val="0"/>
          <w:sz w:val="28"/>
          <w:szCs w:val="28"/>
          <w:lang w:eastAsia="en-GB"/>
          <w14:ligatures w14:val="none"/>
        </w:rPr>
      </w:pPr>
      <w:r w:rsidRPr="00683339">
        <w:rPr>
          <w:rFonts w:ascii="Arial Rounded MT Bold" w:eastAsia="Times New Roman" w:hAnsi="Arial Rounded MT Bold" w:cs="Arial"/>
          <w:b/>
          <w:bCs/>
          <w:kern w:val="0"/>
          <w:sz w:val="28"/>
          <w:szCs w:val="28"/>
          <w:lang w:eastAsia="en-GB"/>
          <w14:ligatures w14:val="none"/>
        </w:rPr>
        <w:t>Md. Arif Ullah                                                    Dr.</w:t>
      </w:r>
      <w:r w:rsidRPr="00683339">
        <w:rPr>
          <w:rFonts w:ascii="Arial Rounded MT Bold" w:eastAsia="Times New Roman" w:hAnsi="Arial Rounded MT Bold" w:cs="Arial"/>
          <w:b/>
          <w:bCs/>
          <w:kern w:val="0"/>
          <w:sz w:val="36"/>
          <w:szCs w:val="36"/>
          <w:lang w:eastAsia="en-GB"/>
          <w14:ligatures w14:val="none"/>
        </w:rPr>
        <w:t xml:space="preserve"> </w:t>
      </w:r>
      <w:r w:rsidRPr="00683339">
        <w:rPr>
          <w:rFonts w:ascii="Arial Rounded MT Bold" w:hAnsi="Arial Rounded MT Bold" w:cs="Arial"/>
          <w:b/>
          <w:bCs/>
          <w:sz w:val="28"/>
          <w:szCs w:val="28"/>
          <w:shd w:val="clear" w:color="auto" w:fill="FFFFFF"/>
        </w:rPr>
        <w:t xml:space="preserve">Tomy </w:t>
      </w:r>
      <w:proofErr w:type="spellStart"/>
      <w:r w:rsidRPr="00683339">
        <w:rPr>
          <w:rFonts w:ascii="Arial Rounded MT Bold" w:hAnsi="Arial Rounded MT Bold" w:cs="Arial"/>
          <w:b/>
          <w:bCs/>
          <w:sz w:val="28"/>
          <w:szCs w:val="28"/>
          <w:shd w:val="clear" w:color="auto" w:fill="FFFFFF"/>
        </w:rPr>
        <w:t>Adattu</w:t>
      </w:r>
      <w:proofErr w:type="spellEnd"/>
      <w:r w:rsidRPr="00683339">
        <w:rPr>
          <w:rFonts w:ascii="Arial Rounded MT Bold" w:hAnsi="Arial Rounded MT Bold" w:cs="Arial"/>
          <w:b/>
          <w:bCs/>
          <w:sz w:val="28"/>
          <w:szCs w:val="28"/>
          <w:shd w:val="clear" w:color="auto" w:fill="FFFFFF"/>
        </w:rPr>
        <w:t xml:space="preserve"> Chacko</w:t>
      </w:r>
    </w:p>
    <w:p w14:paraId="62253955" w14:textId="20842846" w:rsidR="00974534" w:rsidRPr="00F4519C" w:rsidRDefault="00974534" w:rsidP="00F4519C">
      <w:pPr>
        <w:jc w:val="both"/>
        <w:rPr>
          <w:rFonts w:ascii="Arial Rounded MT Bold" w:eastAsia="Times New Roman" w:hAnsi="Arial Rounded MT Bold" w:cs="Arial"/>
          <w:b/>
          <w:bCs/>
          <w:kern w:val="0"/>
          <w:sz w:val="28"/>
          <w:szCs w:val="28"/>
          <w:lang w:eastAsia="en-GB"/>
          <w14:ligatures w14:val="none"/>
        </w:rPr>
      </w:pPr>
      <w:r w:rsidRPr="00683339">
        <w:rPr>
          <w:rFonts w:ascii="Arial Rounded MT Bold" w:eastAsia="Times New Roman" w:hAnsi="Arial Rounded MT Bold" w:cs="Arial"/>
          <w:b/>
          <w:bCs/>
          <w:kern w:val="0"/>
          <w:sz w:val="28"/>
          <w:szCs w:val="28"/>
          <w:lang w:eastAsia="en-GB"/>
          <w14:ligatures w14:val="none"/>
        </w:rPr>
        <w:t>Student ID: 2245624</w:t>
      </w:r>
    </w:p>
    <w:p w14:paraId="66350DDD" w14:textId="77777777" w:rsidR="00497C2D" w:rsidRDefault="00497C2D" w:rsidP="00B17DF7">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6CD1B367" w14:textId="145B5E9E" w:rsidR="00497C2D" w:rsidRDefault="001E57B4" w:rsidP="00B17DF7">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Pr>
          <w:noProof/>
        </w:rPr>
        <w:lastRenderedPageBreak/>
        <w:drawing>
          <wp:inline distT="0" distB="0" distL="0" distR="0" wp14:anchorId="10499E41" wp14:editId="4ACE1081">
            <wp:extent cx="6028055" cy="9376092"/>
            <wp:effectExtent l="0" t="0" r="0" b="0"/>
            <wp:docPr id="64779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9244" name="Picture 64779244"/>
                    <pic:cNvPicPr/>
                  </pic:nvPicPr>
                  <pic:blipFill>
                    <a:blip r:embed="rId10">
                      <a:extLst>
                        <a:ext uri="{28A0092B-C50C-407E-A947-70E740481C1C}">
                          <a14:useLocalDpi xmlns:a14="http://schemas.microsoft.com/office/drawing/2010/main" val="0"/>
                        </a:ext>
                      </a:extLst>
                    </a:blip>
                    <a:stretch>
                      <a:fillRect/>
                    </a:stretch>
                  </pic:blipFill>
                  <pic:spPr>
                    <a:xfrm>
                      <a:off x="0" y="0"/>
                      <a:ext cx="6050314" cy="9410713"/>
                    </a:xfrm>
                    <a:prstGeom prst="rect">
                      <a:avLst/>
                    </a:prstGeom>
                  </pic:spPr>
                </pic:pic>
              </a:graphicData>
            </a:graphic>
          </wp:inline>
        </w:drawing>
      </w:r>
    </w:p>
    <w:p w14:paraId="146CED5B" w14:textId="77777777" w:rsidR="000C0027" w:rsidRDefault="000C0027" w:rsidP="00B17DF7">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p>
    <w:p w14:paraId="0B3F395A" w14:textId="1C61BE64" w:rsidR="00B17DF7" w:rsidRPr="00FA2289" w:rsidRDefault="00B17DF7" w:rsidP="00B17DF7">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sidRPr="00FA2289">
        <w:rPr>
          <w:rFonts w:ascii="Arial" w:eastAsia="Times New Roman" w:hAnsi="Arial" w:cs="Arial"/>
          <w:b/>
          <w:bCs/>
          <w:kern w:val="0"/>
          <w:sz w:val="36"/>
          <w:szCs w:val="36"/>
          <w:lang w:eastAsia="en-GB"/>
          <w14:ligatures w14:val="none"/>
        </w:rPr>
        <w:t>Introduction</w:t>
      </w:r>
      <w:r w:rsidR="00FA2289">
        <w:rPr>
          <w:rFonts w:ascii="Arial" w:eastAsia="Times New Roman" w:hAnsi="Arial" w:cs="Arial"/>
          <w:b/>
          <w:bCs/>
          <w:kern w:val="0"/>
          <w:sz w:val="36"/>
          <w:szCs w:val="36"/>
          <w:lang w:eastAsia="en-GB"/>
          <w14:ligatures w14:val="none"/>
        </w:rPr>
        <w:t>:</w:t>
      </w:r>
    </w:p>
    <w:p w14:paraId="1C520148" w14:textId="77777777" w:rsidR="00FA2289" w:rsidRPr="00FA2289" w:rsidRDefault="00FA2289" w:rsidP="00FA2289">
      <w:pPr>
        <w:pStyle w:val="NormalWeb"/>
        <w:spacing w:line="360" w:lineRule="auto"/>
        <w:jc w:val="both"/>
        <w:rPr>
          <w:rFonts w:ascii="Arial" w:hAnsi="Arial" w:cs="Arial"/>
          <w:sz w:val="22"/>
          <w:szCs w:val="22"/>
        </w:rPr>
      </w:pPr>
      <w:r w:rsidRPr="00FA2289">
        <w:rPr>
          <w:rFonts w:ascii="Arial" w:hAnsi="Arial" w:cs="Arial"/>
          <w:sz w:val="22"/>
          <w:szCs w:val="22"/>
        </w:rPr>
        <w:t>The United Nations 2030 Agenda positions sustainable development as an integrated framework in which health, environment and socioeconomic systems are mutually reinforcing (United Nations, 2015). Among the 17 Sustainable Development Goals (SDGs), SDG 3 (Good Health and Wellbeing) and SDG 11 (Sustainable Cities and Communities) are structurally interdependent, particularly within increasingly urbanised contexts. With over 55% of the global population residing in urban areas—projected to reach 68% by 2050 (United Nations, 2019)—cities function simultaneously as sites of health opportunity and concentrated risk.</w:t>
      </w:r>
    </w:p>
    <w:p w14:paraId="7BBAE278" w14:textId="77777777" w:rsidR="00497C2D" w:rsidRPr="00497C2D" w:rsidRDefault="00497C2D" w:rsidP="00FA2289">
      <w:pPr>
        <w:pStyle w:val="NormalWeb"/>
        <w:spacing w:line="360" w:lineRule="auto"/>
        <w:jc w:val="both"/>
        <w:rPr>
          <w:rFonts w:ascii="Arial" w:hAnsi="Arial" w:cs="Arial"/>
          <w:sz w:val="22"/>
          <w:szCs w:val="22"/>
        </w:rPr>
      </w:pPr>
      <w:r w:rsidRPr="00497C2D">
        <w:rPr>
          <w:rFonts w:ascii="Arial" w:hAnsi="Arial" w:cs="Arial"/>
          <w:sz w:val="22"/>
          <w:szCs w:val="22"/>
        </w:rPr>
        <w:t>This report critically examines the impact of SDG 3 and SDG 11 on population health at global, national and local levels, focusing on the UK. Using the Social Determinants of Health framework (Dahlgren and Whitehead, 1991), systems theory and Health in All Policies (WHO, 2014), it highlights structural factors including housing, income and environment, alongside persistent inequalities (Marmot et al., 2020).</w:t>
      </w:r>
    </w:p>
    <w:p w14:paraId="79325E4A" w14:textId="44188534" w:rsidR="00FA2289" w:rsidRPr="00FA2289" w:rsidRDefault="00FA2289" w:rsidP="00FA2289">
      <w:pPr>
        <w:pStyle w:val="NormalWeb"/>
        <w:spacing w:line="360" w:lineRule="auto"/>
        <w:jc w:val="both"/>
        <w:rPr>
          <w:rFonts w:ascii="Arial" w:hAnsi="Arial" w:cs="Arial"/>
          <w:sz w:val="22"/>
          <w:szCs w:val="22"/>
        </w:rPr>
      </w:pPr>
      <w:r w:rsidRPr="00FA2289">
        <w:rPr>
          <w:rFonts w:ascii="Arial" w:hAnsi="Arial" w:cs="Arial"/>
          <w:sz w:val="22"/>
          <w:szCs w:val="22"/>
        </w:rPr>
        <w:t>The report argues that achieving SDG 3 is not solely a matter of healthcare reform, nor is SDG 11 purely an environmental agenda. Rather, sustainable improvements in health and wellbeing require integrated, equity-centred governance capable of addressing structural determinants across interconnected urban systems.</w:t>
      </w:r>
    </w:p>
    <w:p w14:paraId="3E1773E4" w14:textId="77777777" w:rsidR="00E64BBC" w:rsidRPr="00A2460C" w:rsidRDefault="00E64BBC" w:rsidP="00E64BBC">
      <w:pPr>
        <w:spacing w:before="100" w:beforeAutospacing="1" w:after="100" w:afterAutospacing="1" w:line="360" w:lineRule="auto"/>
        <w:jc w:val="both"/>
        <w:outlineLvl w:val="0"/>
        <w:rPr>
          <w:rFonts w:ascii="Arial" w:eastAsia="Times New Roman" w:hAnsi="Arial" w:cs="Arial"/>
          <w:b/>
          <w:bCs/>
          <w:color w:val="4472C4" w:themeColor="accent1"/>
          <w:kern w:val="36"/>
          <w:sz w:val="48"/>
          <w:szCs w:val="48"/>
          <w:lang w:eastAsia="en-GB"/>
          <w14:ligatures w14:val="none"/>
        </w:rPr>
      </w:pPr>
    </w:p>
    <w:p w14:paraId="11D1A35C" w14:textId="77777777" w:rsidR="000C0027" w:rsidRDefault="000C0027" w:rsidP="00A2460C">
      <w:pPr>
        <w:spacing w:before="100" w:beforeAutospacing="1" w:after="100" w:afterAutospacing="1" w:line="360" w:lineRule="auto"/>
        <w:jc w:val="both"/>
        <w:outlineLvl w:val="0"/>
        <w:rPr>
          <w:rFonts w:ascii="Arial" w:eastAsia="Times New Roman" w:hAnsi="Arial" w:cs="Arial"/>
          <w:color w:val="4472C4" w:themeColor="accent1"/>
          <w:kern w:val="0"/>
          <w:sz w:val="24"/>
          <w:szCs w:val="24"/>
          <w:lang w:eastAsia="en-GB"/>
          <w14:ligatures w14:val="none"/>
        </w:rPr>
      </w:pPr>
    </w:p>
    <w:p w14:paraId="7B73AE81" w14:textId="77777777" w:rsidR="008A095D" w:rsidRDefault="008A095D" w:rsidP="00A2460C">
      <w:pPr>
        <w:spacing w:before="100" w:beforeAutospacing="1" w:after="100" w:afterAutospacing="1" w:line="360" w:lineRule="auto"/>
        <w:jc w:val="both"/>
        <w:outlineLvl w:val="0"/>
        <w:rPr>
          <w:rFonts w:ascii="Arial" w:eastAsia="Times New Roman" w:hAnsi="Arial" w:cs="Arial"/>
          <w:color w:val="4472C4" w:themeColor="accent1"/>
          <w:kern w:val="0"/>
          <w:sz w:val="24"/>
          <w:szCs w:val="24"/>
          <w:lang w:eastAsia="en-GB"/>
          <w14:ligatures w14:val="none"/>
        </w:rPr>
      </w:pPr>
    </w:p>
    <w:p w14:paraId="6AAA31DA" w14:textId="77777777" w:rsidR="008A095D" w:rsidRDefault="008A095D" w:rsidP="00A2460C">
      <w:pPr>
        <w:spacing w:before="100" w:beforeAutospacing="1" w:after="100" w:afterAutospacing="1" w:line="360" w:lineRule="auto"/>
        <w:jc w:val="both"/>
        <w:outlineLvl w:val="0"/>
        <w:rPr>
          <w:rFonts w:ascii="Arial" w:eastAsia="Times New Roman" w:hAnsi="Arial" w:cs="Arial"/>
          <w:color w:val="4472C4" w:themeColor="accent1"/>
          <w:kern w:val="0"/>
          <w:sz w:val="24"/>
          <w:szCs w:val="24"/>
          <w:lang w:eastAsia="en-GB"/>
          <w14:ligatures w14:val="none"/>
        </w:rPr>
      </w:pPr>
    </w:p>
    <w:p w14:paraId="3610DC2B" w14:textId="77777777" w:rsidR="008A095D" w:rsidRDefault="008A095D" w:rsidP="00A2460C">
      <w:pPr>
        <w:spacing w:before="100" w:beforeAutospacing="1" w:after="100" w:afterAutospacing="1" w:line="360" w:lineRule="auto"/>
        <w:jc w:val="both"/>
        <w:outlineLvl w:val="0"/>
        <w:rPr>
          <w:rFonts w:ascii="Arial" w:eastAsia="Times New Roman" w:hAnsi="Arial" w:cs="Arial"/>
          <w:color w:val="4472C4" w:themeColor="accent1"/>
          <w:kern w:val="0"/>
          <w:sz w:val="24"/>
          <w:szCs w:val="24"/>
          <w:lang w:eastAsia="en-GB"/>
          <w14:ligatures w14:val="none"/>
        </w:rPr>
      </w:pPr>
    </w:p>
    <w:p w14:paraId="2B1701DC" w14:textId="77777777" w:rsidR="001E57B4" w:rsidRDefault="001E57B4" w:rsidP="00A2460C">
      <w:pPr>
        <w:spacing w:before="100" w:beforeAutospacing="1" w:after="100" w:afterAutospacing="1" w:line="360" w:lineRule="auto"/>
        <w:jc w:val="both"/>
        <w:outlineLvl w:val="0"/>
        <w:rPr>
          <w:rFonts w:ascii="Arial" w:eastAsia="Times New Roman" w:hAnsi="Arial" w:cs="Arial"/>
          <w:color w:val="4472C4" w:themeColor="accent1"/>
          <w:kern w:val="0"/>
          <w:sz w:val="24"/>
          <w:szCs w:val="24"/>
          <w:lang w:eastAsia="en-GB"/>
          <w14:ligatures w14:val="none"/>
        </w:rPr>
      </w:pPr>
    </w:p>
    <w:p w14:paraId="0AC86B3F" w14:textId="77777777" w:rsidR="001E57B4" w:rsidRDefault="001E57B4" w:rsidP="00A2460C">
      <w:pPr>
        <w:spacing w:before="100" w:beforeAutospacing="1" w:after="100" w:afterAutospacing="1" w:line="360" w:lineRule="auto"/>
        <w:jc w:val="both"/>
        <w:outlineLvl w:val="0"/>
        <w:rPr>
          <w:rFonts w:ascii="Arial" w:eastAsia="Times New Roman" w:hAnsi="Arial" w:cs="Arial"/>
          <w:color w:val="4472C4" w:themeColor="accent1"/>
          <w:kern w:val="0"/>
          <w:sz w:val="24"/>
          <w:szCs w:val="24"/>
          <w:lang w:eastAsia="en-GB"/>
          <w14:ligatures w14:val="none"/>
        </w:rPr>
      </w:pPr>
    </w:p>
    <w:p w14:paraId="03F1106B" w14:textId="5E5C0213" w:rsidR="00A2460C" w:rsidRPr="00FA2289" w:rsidRDefault="00A2460C" w:rsidP="00A2460C">
      <w:pPr>
        <w:spacing w:before="100" w:beforeAutospacing="1" w:after="100" w:afterAutospacing="1" w:line="360" w:lineRule="auto"/>
        <w:jc w:val="both"/>
        <w:outlineLvl w:val="0"/>
        <w:rPr>
          <w:rFonts w:ascii="Arial" w:eastAsia="Times New Roman" w:hAnsi="Arial" w:cs="Arial"/>
          <w:b/>
          <w:bCs/>
          <w:kern w:val="36"/>
          <w:sz w:val="32"/>
          <w:szCs w:val="32"/>
          <w:lang w:eastAsia="en-GB"/>
          <w14:ligatures w14:val="none"/>
        </w:rPr>
      </w:pPr>
      <w:r w:rsidRPr="00683339">
        <w:rPr>
          <w:rFonts w:ascii="Arial" w:eastAsia="Times New Roman" w:hAnsi="Arial" w:cs="Arial"/>
          <w:b/>
          <w:bCs/>
          <w:kern w:val="36"/>
          <w:sz w:val="36"/>
          <w:szCs w:val="36"/>
          <w:lang w:eastAsia="en-GB"/>
          <w14:ligatures w14:val="none"/>
        </w:rPr>
        <w:lastRenderedPageBreak/>
        <w:t>Section 1:</w:t>
      </w:r>
      <w:r w:rsidRPr="00FA2289">
        <w:rPr>
          <w:rFonts w:ascii="Arial" w:eastAsia="Times New Roman" w:hAnsi="Arial" w:cs="Arial"/>
          <w:b/>
          <w:bCs/>
          <w:kern w:val="36"/>
          <w:sz w:val="32"/>
          <w:szCs w:val="32"/>
          <w:lang w:eastAsia="en-GB"/>
          <w14:ligatures w14:val="none"/>
        </w:rPr>
        <w:t xml:space="preserve"> SDG 3 – Good Health and Wellbeing </w:t>
      </w:r>
    </w:p>
    <w:p w14:paraId="520F9C61" w14:textId="77777777" w:rsidR="00A2460C" w:rsidRPr="002A314E" w:rsidRDefault="00A2460C" w:rsidP="002A314E">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r w:rsidRPr="002A314E">
        <w:rPr>
          <w:rFonts w:ascii="Arial" w:eastAsia="Times New Roman" w:hAnsi="Arial" w:cs="Arial"/>
          <w:b/>
          <w:bCs/>
          <w:kern w:val="0"/>
          <w:sz w:val="28"/>
          <w:szCs w:val="28"/>
          <w:lang w:eastAsia="en-GB"/>
          <w14:ligatures w14:val="none"/>
        </w:rPr>
        <w:t>1.1 Overview of SDG 3:</w:t>
      </w:r>
    </w:p>
    <w:p w14:paraId="00B730CB" w14:textId="2ED8D2A4" w:rsidR="003F01B0" w:rsidRPr="00FA2289" w:rsidRDefault="00BE26BD" w:rsidP="003F01B0">
      <w:pPr>
        <w:pStyle w:val="NormalWeb"/>
        <w:spacing w:line="360" w:lineRule="auto"/>
        <w:jc w:val="both"/>
        <w:rPr>
          <w:rFonts w:ascii="Arial" w:hAnsi="Arial" w:cs="Arial"/>
          <w:sz w:val="22"/>
          <w:szCs w:val="22"/>
        </w:rPr>
      </w:pPr>
      <w:r w:rsidRPr="00BE26BD">
        <w:rPr>
          <w:rFonts w:ascii="Arial" w:hAnsi="Arial" w:cs="Arial"/>
          <w:sz w:val="22"/>
          <w:szCs w:val="22"/>
        </w:rPr>
        <w:t xml:space="preserve">Health refers to a state of physical, mental and social wellbeing rather than simply the absence of disease, wellbeing reflects individuals’ ability to realise their potential and cope with life’s stresses, and sustainable development involves meeting present needs without compromising the ability of future generations to meet theirs </w:t>
      </w:r>
      <w:r w:rsidR="00772A0F" w:rsidRPr="00766175">
        <w:rPr>
          <w:rFonts w:ascii="Arial" w:hAnsi="Arial" w:cs="Arial"/>
          <w:sz w:val="22"/>
          <w:szCs w:val="22"/>
        </w:rPr>
        <w:t>(WHO, 20</w:t>
      </w:r>
      <w:r w:rsidR="00772A0F">
        <w:rPr>
          <w:rFonts w:ascii="Arial" w:hAnsi="Arial" w:cs="Arial"/>
          <w:sz w:val="22"/>
          <w:szCs w:val="22"/>
        </w:rPr>
        <w:t>20</w:t>
      </w:r>
      <w:r w:rsidRPr="00BE26BD">
        <w:rPr>
          <w:rFonts w:ascii="Arial" w:hAnsi="Arial" w:cs="Arial"/>
          <w:sz w:val="22"/>
          <w:szCs w:val="22"/>
        </w:rPr>
        <w:t>).</w:t>
      </w:r>
      <w:r w:rsidR="00772A0F">
        <w:rPr>
          <w:rFonts w:ascii="Arial" w:hAnsi="Arial" w:cs="Arial"/>
          <w:sz w:val="22"/>
          <w:szCs w:val="22"/>
        </w:rPr>
        <w:t xml:space="preserve"> </w:t>
      </w:r>
      <w:r w:rsidR="004B6F02" w:rsidRPr="004B6F02">
        <w:rPr>
          <w:rFonts w:ascii="Arial" w:hAnsi="Arial" w:cs="Arial"/>
          <w:sz w:val="22"/>
          <w:szCs w:val="22"/>
        </w:rPr>
        <w:t xml:space="preserve">Since 2015, SDG 3 has contributed to lower maternal mortality, higher vaccination coverage, and improved infectious disease control (WHO, 2020). Universal Health Coverage has strengthened primary care and promoted equity in health systems </w:t>
      </w:r>
      <w:r w:rsidR="004B6F02" w:rsidRPr="00E207A4">
        <w:rPr>
          <w:rFonts w:ascii="Arial" w:hAnsi="Arial" w:cs="Arial"/>
          <w:sz w:val="22"/>
          <w:szCs w:val="22"/>
        </w:rPr>
        <w:t xml:space="preserve">(Monaco, 2024). </w:t>
      </w:r>
      <w:r w:rsidR="004B6F02" w:rsidRPr="004B6F02">
        <w:rPr>
          <w:rFonts w:ascii="Arial" w:hAnsi="Arial" w:cs="Arial"/>
          <w:sz w:val="22"/>
          <w:szCs w:val="22"/>
        </w:rPr>
        <w:t>SDG 3 is also the most researched goal globally (Bueno et al., 2025). However, progress remains uneven, particularly in conflict-affected settings</w:t>
      </w:r>
      <w:r>
        <w:rPr>
          <w:rFonts w:ascii="Arial" w:hAnsi="Arial" w:cs="Arial"/>
          <w:sz w:val="22"/>
          <w:szCs w:val="22"/>
        </w:rPr>
        <w:t xml:space="preserve">. </w:t>
      </w:r>
      <w:r w:rsidR="004B6F02" w:rsidRPr="004B6F02">
        <w:rPr>
          <w:rFonts w:ascii="Arial" w:hAnsi="Arial" w:cs="Arial"/>
          <w:sz w:val="22"/>
          <w:szCs w:val="22"/>
        </w:rPr>
        <w:t>COVID-19 reversed life expectancy gains and exposed persistent funding and implementation gaps (WHO, 2024a).</w:t>
      </w:r>
      <w:r w:rsidR="009640C4">
        <w:rPr>
          <w:rFonts w:ascii="Arial" w:hAnsi="Arial" w:cs="Arial"/>
          <w:sz w:val="22"/>
          <w:szCs w:val="22"/>
        </w:rPr>
        <w:t xml:space="preserve"> </w:t>
      </w:r>
      <w:r w:rsidR="00CE1706" w:rsidRPr="00CE1706">
        <w:rPr>
          <w:rFonts w:ascii="Arial" w:hAnsi="Arial" w:cs="Arial"/>
          <w:sz w:val="22"/>
          <w:szCs w:val="22"/>
        </w:rPr>
        <w:t>Accordingly, achieving SDG 3 requires coordinated cross-sectoral policy action to reduce inequalities and strengthen public health outcomes (</w:t>
      </w:r>
      <w:proofErr w:type="spellStart"/>
      <w:r w:rsidR="00CE1706" w:rsidRPr="00CE1706">
        <w:rPr>
          <w:rFonts w:ascii="Arial" w:hAnsi="Arial" w:cs="Arial"/>
          <w:sz w:val="22"/>
          <w:szCs w:val="22"/>
        </w:rPr>
        <w:t>Fet</w:t>
      </w:r>
      <w:proofErr w:type="spellEnd"/>
      <w:r w:rsidR="00CE1706" w:rsidRPr="00CE1706">
        <w:rPr>
          <w:rFonts w:ascii="Arial" w:hAnsi="Arial" w:cs="Arial"/>
          <w:sz w:val="22"/>
          <w:szCs w:val="22"/>
        </w:rPr>
        <w:t>, 2024).</w:t>
      </w:r>
    </w:p>
    <w:p w14:paraId="43CC2D61" w14:textId="78EF130B" w:rsidR="00A2460C" w:rsidRPr="00FA2289" w:rsidRDefault="00A2460C" w:rsidP="00A2460C">
      <w:pPr>
        <w:spacing w:before="100" w:beforeAutospacing="1" w:after="100" w:afterAutospacing="1" w:line="240" w:lineRule="auto"/>
        <w:outlineLvl w:val="2"/>
        <w:rPr>
          <w:rFonts w:ascii="Arial" w:eastAsia="Times New Roman" w:hAnsi="Arial" w:cs="Arial"/>
          <w:b/>
          <w:bCs/>
          <w:kern w:val="0"/>
          <w:sz w:val="28"/>
          <w:szCs w:val="28"/>
          <w:lang w:eastAsia="en-GB"/>
          <w14:ligatures w14:val="none"/>
        </w:rPr>
      </w:pPr>
      <w:r w:rsidRPr="00FA2289">
        <w:rPr>
          <w:rFonts w:ascii="Arial" w:eastAsia="Times New Roman" w:hAnsi="Arial" w:cs="Arial"/>
          <w:b/>
          <w:bCs/>
          <w:kern w:val="0"/>
          <w:sz w:val="28"/>
          <w:szCs w:val="28"/>
          <w:lang w:eastAsia="en-GB"/>
          <w14:ligatures w14:val="none"/>
        </w:rPr>
        <w:t>1.2 Critical Evaluation of Global Policies and Initiatives in SDG 3</w:t>
      </w:r>
      <w:r w:rsidR="003F01B0" w:rsidRPr="00FA2289">
        <w:rPr>
          <w:rFonts w:ascii="Arial" w:eastAsia="Times New Roman" w:hAnsi="Arial" w:cs="Arial"/>
          <w:b/>
          <w:bCs/>
          <w:kern w:val="0"/>
          <w:sz w:val="28"/>
          <w:szCs w:val="28"/>
          <w:lang w:eastAsia="en-GB"/>
          <w14:ligatures w14:val="none"/>
        </w:rPr>
        <w:t>:</w:t>
      </w:r>
    </w:p>
    <w:p w14:paraId="0F7A4200" w14:textId="72B3EC26" w:rsidR="00245306" w:rsidRDefault="00683339" w:rsidP="00245306">
      <w:pPr>
        <w:pStyle w:val="NormalWeb"/>
        <w:spacing w:line="360" w:lineRule="auto"/>
        <w:jc w:val="both"/>
      </w:pPr>
      <w:r>
        <w:rPr>
          <w:rFonts w:ascii="Arial" w:hAnsi="Arial" w:cs="Arial"/>
          <w:b/>
          <w:bCs/>
        </w:rPr>
        <w:t xml:space="preserve">1.2.1 </w:t>
      </w:r>
      <w:r w:rsidR="00C53F79" w:rsidRPr="00B939A6">
        <w:rPr>
          <w:rFonts w:ascii="Arial" w:hAnsi="Arial" w:cs="Arial"/>
          <w:b/>
          <w:bCs/>
        </w:rPr>
        <w:t>Progress and Continuing Challenges</w:t>
      </w:r>
      <w:r w:rsidR="00E10503">
        <w:rPr>
          <w:rFonts w:ascii="Arial" w:hAnsi="Arial" w:cs="Arial"/>
        </w:rPr>
        <w:t xml:space="preserve">: </w:t>
      </w:r>
      <w:r w:rsidR="00245306" w:rsidRPr="00245306">
        <w:rPr>
          <w:rFonts w:ascii="Arial" w:hAnsi="Arial" w:cs="Arial"/>
          <w:sz w:val="22"/>
          <w:szCs w:val="22"/>
        </w:rPr>
        <w:t>Global initiatives aligned with SDG 3 have improved disease prevention and healthcare access. Expanded vaccination programmes and stronger public health systems have reduced maternal mortality and communicable diseases globally (W</w:t>
      </w:r>
      <w:r w:rsidR="00772A0F">
        <w:rPr>
          <w:rFonts w:ascii="Arial" w:hAnsi="Arial" w:cs="Arial"/>
          <w:sz w:val="22"/>
          <w:szCs w:val="22"/>
        </w:rPr>
        <w:t>HO</w:t>
      </w:r>
      <w:r w:rsidR="00245306" w:rsidRPr="00245306">
        <w:rPr>
          <w:rFonts w:ascii="Arial" w:hAnsi="Arial" w:cs="Arial"/>
          <w:sz w:val="22"/>
          <w:szCs w:val="22"/>
        </w:rPr>
        <w:t>, 2020). Universal Health Coverage aims to ensure access to essential healthcare without financial hardship (Monaco, 2024). However, inequalities persist, particularly in conflict-affected and low-income countries with fragile health systems. The COVID-19 pandemic further exposed weaknesses in preparedness, vaccine access and global health governance (W</w:t>
      </w:r>
      <w:r w:rsidR="00772A0F">
        <w:rPr>
          <w:rFonts w:ascii="Arial" w:hAnsi="Arial" w:cs="Arial"/>
          <w:sz w:val="22"/>
          <w:szCs w:val="22"/>
        </w:rPr>
        <w:t>HO</w:t>
      </w:r>
      <w:r w:rsidR="00245306" w:rsidRPr="00245306">
        <w:rPr>
          <w:rFonts w:ascii="Arial" w:hAnsi="Arial" w:cs="Arial"/>
          <w:sz w:val="22"/>
          <w:szCs w:val="22"/>
        </w:rPr>
        <w:t>, 2024a).</w:t>
      </w:r>
    </w:p>
    <w:p w14:paraId="1F77D956" w14:textId="34B4FF54" w:rsidR="00C53F79" w:rsidRPr="00B939A6" w:rsidRDefault="00683339" w:rsidP="00245306">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 xml:space="preserve">1.2.2 </w:t>
      </w:r>
      <w:r w:rsidR="00C53F79" w:rsidRPr="00B939A6">
        <w:rPr>
          <w:rFonts w:ascii="Arial" w:eastAsia="Times New Roman" w:hAnsi="Arial" w:cs="Arial"/>
          <w:b/>
          <w:bCs/>
          <w:kern w:val="0"/>
          <w:lang w:eastAsia="en-GB"/>
          <w14:ligatures w14:val="none"/>
        </w:rPr>
        <w:t>Structural Limitations of Current Health Policies</w:t>
      </w:r>
      <w:r w:rsidR="00E10503">
        <w:rPr>
          <w:rFonts w:ascii="Arial" w:eastAsia="Times New Roman" w:hAnsi="Arial" w:cs="Arial"/>
          <w:kern w:val="0"/>
          <w:lang w:eastAsia="en-GB"/>
          <w14:ligatures w14:val="none"/>
        </w:rPr>
        <w:t xml:space="preserve">: </w:t>
      </w:r>
      <w:r w:rsidR="00C53F79" w:rsidRPr="00B939A6">
        <w:rPr>
          <w:rFonts w:ascii="Arial" w:eastAsia="Times New Roman" w:hAnsi="Arial" w:cs="Arial"/>
          <w:kern w:val="0"/>
          <w:lang w:eastAsia="en-GB"/>
          <w14:ligatures w14:val="none"/>
        </w:rPr>
        <w:t>Although SDG 3 has strengthened global cooperation, many strategies still focus on healthcare provision rather than wider structural determinants of health. National indicators often conceal internal disparities, particularly within urban areas where large inequalities exist between affluent and deprived communities (Freitas et al., 2020).</w:t>
      </w:r>
    </w:p>
    <w:p w14:paraId="53D97F0C" w14:textId="4E9BC869" w:rsidR="00C53F79" w:rsidRPr="00B939A6" w:rsidRDefault="00683339" w:rsidP="00C53F79">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 xml:space="preserve">1.2.3 </w:t>
      </w:r>
      <w:r w:rsidR="00C53F79" w:rsidRPr="00B939A6">
        <w:rPr>
          <w:rFonts w:ascii="Arial" w:eastAsia="Times New Roman" w:hAnsi="Arial" w:cs="Arial"/>
          <w:b/>
          <w:bCs/>
          <w:kern w:val="0"/>
          <w:lang w:eastAsia="en-GB"/>
          <w14:ligatures w14:val="none"/>
        </w:rPr>
        <w:t>Health Inequalities and Universal Health Coverage</w:t>
      </w:r>
      <w:r w:rsidR="00E10503">
        <w:rPr>
          <w:rFonts w:ascii="Arial" w:eastAsia="Times New Roman" w:hAnsi="Arial" w:cs="Arial"/>
          <w:kern w:val="0"/>
          <w:lang w:eastAsia="en-GB"/>
          <w14:ligatures w14:val="none"/>
        </w:rPr>
        <w:t xml:space="preserve">: </w:t>
      </w:r>
      <w:r w:rsidR="00C53F79" w:rsidRPr="00B939A6">
        <w:rPr>
          <w:rFonts w:ascii="Arial" w:eastAsia="Times New Roman" w:hAnsi="Arial" w:cs="Arial"/>
          <w:kern w:val="0"/>
          <w:lang w:eastAsia="en-GB"/>
          <w14:ligatures w14:val="none"/>
        </w:rPr>
        <w:t>Expanding healthcare access alone cannot eliminate health inequalities. In the UK, life expectancy improvements have slowed and a persistent 9–</w:t>
      </w:r>
      <w:r w:rsidR="0059610E" w:rsidRPr="00B939A6">
        <w:rPr>
          <w:rFonts w:ascii="Arial" w:eastAsia="Times New Roman" w:hAnsi="Arial" w:cs="Arial"/>
          <w:kern w:val="0"/>
          <w:lang w:eastAsia="en-GB"/>
          <w14:ligatures w14:val="none"/>
        </w:rPr>
        <w:t>10-year</w:t>
      </w:r>
      <w:r w:rsidR="00C53F79" w:rsidRPr="00B939A6">
        <w:rPr>
          <w:rFonts w:ascii="Arial" w:eastAsia="Times New Roman" w:hAnsi="Arial" w:cs="Arial"/>
          <w:kern w:val="0"/>
          <w:lang w:eastAsia="en-GB"/>
          <w14:ligatures w14:val="none"/>
        </w:rPr>
        <w:t xml:space="preserve"> gap exists between the most and least deprived </w:t>
      </w:r>
      <w:r w:rsidR="00C53F79" w:rsidRPr="00B939A6">
        <w:rPr>
          <w:rFonts w:ascii="Arial" w:eastAsia="Times New Roman" w:hAnsi="Arial" w:cs="Arial"/>
          <w:kern w:val="0"/>
          <w:lang w:eastAsia="en-GB"/>
          <w14:ligatures w14:val="none"/>
        </w:rPr>
        <w:lastRenderedPageBreak/>
        <w:t>populations (ONS, 2023b). These disparities highlight the need to address broader socioeconomic determinants of health (Rutter et al., 2017).</w:t>
      </w:r>
    </w:p>
    <w:p w14:paraId="6F6C7350" w14:textId="5C1CF221" w:rsidR="004026A4" w:rsidRPr="00FA2289" w:rsidRDefault="004026A4" w:rsidP="00A2460C">
      <w:pPr>
        <w:spacing w:before="100" w:beforeAutospacing="1" w:after="100" w:afterAutospacing="1" w:line="360" w:lineRule="auto"/>
        <w:jc w:val="both"/>
        <w:rPr>
          <w:rFonts w:ascii="Arial" w:hAnsi="Arial" w:cs="Arial"/>
          <w:b/>
          <w:bCs/>
          <w:sz w:val="24"/>
          <w:szCs w:val="24"/>
        </w:rPr>
      </w:pPr>
      <w:r w:rsidRPr="00FA2289">
        <w:rPr>
          <w:rFonts w:ascii="Arial" w:hAnsi="Arial" w:cs="Arial"/>
          <w:b/>
          <w:bCs/>
          <w:sz w:val="24"/>
          <w:szCs w:val="24"/>
        </w:rPr>
        <w:t xml:space="preserve">1.2.4 </w:t>
      </w:r>
      <w:r w:rsidR="002A314E">
        <w:rPr>
          <w:rFonts w:ascii="Arial" w:hAnsi="Arial" w:cs="Arial"/>
          <w:b/>
          <w:bCs/>
          <w:sz w:val="24"/>
          <w:szCs w:val="24"/>
        </w:rPr>
        <w:t xml:space="preserve">Table: </w:t>
      </w:r>
      <w:r w:rsidRPr="00FA2289">
        <w:rPr>
          <w:rFonts w:ascii="Arial" w:hAnsi="Arial" w:cs="Arial"/>
          <w:b/>
          <w:bCs/>
          <w:sz w:val="24"/>
          <w:szCs w:val="24"/>
        </w:rPr>
        <w:t>Health Equity and Systems Governance</w:t>
      </w:r>
      <w:r w:rsidR="00ED0549" w:rsidRPr="00FA2289">
        <w:rPr>
          <w:rFonts w:ascii="Arial" w:hAnsi="Arial" w:cs="Arial"/>
          <w:b/>
          <w:bCs/>
          <w:sz w:val="24"/>
          <w:szCs w:val="24"/>
        </w:rPr>
        <w:t>:</w:t>
      </w:r>
    </w:p>
    <w:p w14:paraId="1AD93633" w14:textId="77777777" w:rsidR="00ED0549" w:rsidRPr="00FA2289" w:rsidRDefault="00ED0549" w:rsidP="00ED0549">
      <w:pPr>
        <w:pStyle w:val="Heading3"/>
        <w:rPr>
          <w:rFonts w:ascii="Arial" w:hAnsi="Arial" w:cs="Arial"/>
          <w:b/>
          <w:bCs/>
          <w:color w:val="auto"/>
          <w:sz w:val="22"/>
          <w:szCs w:val="22"/>
        </w:rPr>
      </w:pPr>
      <w:r w:rsidRPr="00FA2289">
        <w:rPr>
          <w:rFonts w:ascii="Arial" w:hAnsi="Arial" w:cs="Arial"/>
          <w:b/>
          <w:bCs/>
          <w:color w:val="auto"/>
          <w:sz w:val="22"/>
          <w:szCs w:val="22"/>
        </w:rPr>
        <w:t>Table 1: Life Expectancy Gap (England)</w:t>
      </w:r>
    </w:p>
    <w:tbl>
      <w:tblPr>
        <w:tblStyle w:val="TableGrid"/>
        <w:tblW w:w="0" w:type="auto"/>
        <w:tblLook w:val="04A0" w:firstRow="1" w:lastRow="0" w:firstColumn="1" w:lastColumn="0" w:noHBand="0" w:noVBand="1"/>
      </w:tblPr>
      <w:tblGrid>
        <w:gridCol w:w="2880"/>
        <w:gridCol w:w="2880"/>
        <w:gridCol w:w="2880"/>
      </w:tblGrid>
      <w:tr w:rsidR="00FA2289" w:rsidRPr="00FA2289" w14:paraId="36321DD3" w14:textId="77777777" w:rsidTr="00762141">
        <w:tc>
          <w:tcPr>
            <w:tcW w:w="2880" w:type="dxa"/>
            <w:shd w:val="clear" w:color="auto" w:fill="70AD47" w:themeFill="accent6"/>
          </w:tcPr>
          <w:p w14:paraId="1A010657" w14:textId="77777777" w:rsidR="00ED0549" w:rsidRPr="00FA2289" w:rsidRDefault="00ED0549" w:rsidP="0040646F">
            <w:pPr>
              <w:rPr>
                <w:rFonts w:ascii="Arial" w:hAnsi="Arial" w:cs="Arial"/>
                <w:b/>
                <w:bCs/>
                <w:sz w:val="20"/>
                <w:szCs w:val="20"/>
              </w:rPr>
            </w:pPr>
            <w:r w:rsidRPr="00FA2289">
              <w:rPr>
                <w:rFonts w:ascii="Arial" w:hAnsi="Arial" w:cs="Arial"/>
                <w:b/>
                <w:bCs/>
                <w:sz w:val="20"/>
                <w:szCs w:val="20"/>
              </w:rPr>
              <w:t>Deprivation Level</w:t>
            </w:r>
          </w:p>
        </w:tc>
        <w:tc>
          <w:tcPr>
            <w:tcW w:w="2880" w:type="dxa"/>
            <w:shd w:val="clear" w:color="auto" w:fill="70AD47" w:themeFill="accent6"/>
          </w:tcPr>
          <w:p w14:paraId="345CF9D8" w14:textId="77777777" w:rsidR="00ED0549" w:rsidRPr="00FA2289" w:rsidRDefault="00ED0549" w:rsidP="0040646F">
            <w:pPr>
              <w:rPr>
                <w:rFonts w:ascii="Arial" w:hAnsi="Arial" w:cs="Arial"/>
                <w:sz w:val="20"/>
                <w:szCs w:val="20"/>
              </w:rPr>
            </w:pPr>
            <w:r w:rsidRPr="00FA2289">
              <w:rPr>
                <w:rFonts w:ascii="Arial" w:hAnsi="Arial" w:cs="Arial"/>
                <w:sz w:val="20"/>
                <w:szCs w:val="20"/>
              </w:rPr>
              <w:t>Male Life Expectancy</w:t>
            </w:r>
          </w:p>
        </w:tc>
        <w:tc>
          <w:tcPr>
            <w:tcW w:w="2880" w:type="dxa"/>
            <w:shd w:val="clear" w:color="auto" w:fill="70AD47" w:themeFill="accent6"/>
          </w:tcPr>
          <w:p w14:paraId="6DE99CD2" w14:textId="77777777" w:rsidR="00ED0549" w:rsidRPr="00FA2289" w:rsidRDefault="00ED0549" w:rsidP="0040646F">
            <w:pPr>
              <w:rPr>
                <w:rFonts w:ascii="Arial" w:hAnsi="Arial" w:cs="Arial"/>
                <w:sz w:val="20"/>
                <w:szCs w:val="20"/>
              </w:rPr>
            </w:pPr>
            <w:r w:rsidRPr="00FA2289">
              <w:rPr>
                <w:rFonts w:ascii="Arial" w:hAnsi="Arial" w:cs="Arial"/>
                <w:sz w:val="20"/>
                <w:szCs w:val="20"/>
              </w:rPr>
              <w:t>Female Life Expectancy</w:t>
            </w:r>
          </w:p>
        </w:tc>
      </w:tr>
      <w:tr w:rsidR="00FA2289" w:rsidRPr="00FA2289" w14:paraId="63608C21" w14:textId="77777777" w:rsidTr="00762141">
        <w:tc>
          <w:tcPr>
            <w:tcW w:w="2880" w:type="dxa"/>
            <w:shd w:val="clear" w:color="auto" w:fill="70AD47" w:themeFill="accent6"/>
          </w:tcPr>
          <w:p w14:paraId="3BAEF31B" w14:textId="77777777" w:rsidR="00ED0549" w:rsidRPr="00FA2289" w:rsidRDefault="00ED0549" w:rsidP="0040646F">
            <w:pPr>
              <w:rPr>
                <w:rFonts w:ascii="Arial" w:hAnsi="Arial" w:cs="Arial"/>
                <w:b/>
                <w:bCs/>
                <w:sz w:val="20"/>
                <w:szCs w:val="20"/>
              </w:rPr>
            </w:pPr>
            <w:r w:rsidRPr="00FA2289">
              <w:rPr>
                <w:rFonts w:ascii="Arial" w:hAnsi="Arial" w:cs="Arial"/>
                <w:b/>
                <w:bCs/>
                <w:sz w:val="20"/>
                <w:szCs w:val="20"/>
              </w:rPr>
              <w:t>Least Deprived</w:t>
            </w:r>
          </w:p>
        </w:tc>
        <w:tc>
          <w:tcPr>
            <w:tcW w:w="2880" w:type="dxa"/>
            <w:shd w:val="clear" w:color="auto" w:fill="70AD47" w:themeFill="accent6"/>
          </w:tcPr>
          <w:p w14:paraId="41B12947" w14:textId="77777777" w:rsidR="00ED0549" w:rsidRPr="00FA2289" w:rsidRDefault="00ED0549" w:rsidP="0040646F">
            <w:pPr>
              <w:rPr>
                <w:rFonts w:ascii="Arial" w:hAnsi="Arial" w:cs="Arial"/>
                <w:sz w:val="20"/>
                <w:szCs w:val="20"/>
              </w:rPr>
            </w:pPr>
            <w:r w:rsidRPr="00FA2289">
              <w:rPr>
                <w:rFonts w:ascii="Arial" w:hAnsi="Arial" w:cs="Arial"/>
                <w:sz w:val="20"/>
                <w:szCs w:val="20"/>
              </w:rPr>
              <w:t>83.0 years</w:t>
            </w:r>
          </w:p>
        </w:tc>
        <w:tc>
          <w:tcPr>
            <w:tcW w:w="2880" w:type="dxa"/>
            <w:shd w:val="clear" w:color="auto" w:fill="70AD47" w:themeFill="accent6"/>
          </w:tcPr>
          <w:p w14:paraId="448953CC" w14:textId="77777777" w:rsidR="00ED0549" w:rsidRPr="00FA2289" w:rsidRDefault="00ED0549" w:rsidP="0040646F">
            <w:pPr>
              <w:rPr>
                <w:rFonts w:ascii="Arial" w:hAnsi="Arial" w:cs="Arial"/>
                <w:sz w:val="20"/>
                <w:szCs w:val="20"/>
              </w:rPr>
            </w:pPr>
            <w:r w:rsidRPr="00FA2289">
              <w:rPr>
                <w:rFonts w:ascii="Arial" w:hAnsi="Arial" w:cs="Arial"/>
                <w:sz w:val="20"/>
                <w:szCs w:val="20"/>
              </w:rPr>
              <w:t>86.4 years</w:t>
            </w:r>
          </w:p>
        </w:tc>
      </w:tr>
      <w:tr w:rsidR="00FA2289" w:rsidRPr="00FA2289" w14:paraId="61FF7D81" w14:textId="77777777" w:rsidTr="00762141">
        <w:tc>
          <w:tcPr>
            <w:tcW w:w="2880" w:type="dxa"/>
            <w:shd w:val="clear" w:color="auto" w:fill="70AD47" w:themeFill="accent6"/>
          </w:tcPr>
          <w:p w14:paraId="09ECB1B9" w14:textId="77777777" w:rsidR="00ED0549" w:rsidRPr="00FA2289" w:rsidRDefault="00ED0549" w:rsidP="0040646F">
            <w:pPr>
              <w:rPr>
                <w:rFonts w:ascii="Arial" w:hAnsi="Arial" w:cs="Arial"/>
                <w:b/>
                <w:bCs/>
                <w:sz w:val="20"/>
                <w:szCs w:val="20"/>
              </w:rPr>
            </w:pPr>
            <w:r w:rsidRPr="00FA2289">
              <w:rPr>
                <w:rFonts w:ascii="Arial" w:hAnsi="Arial" w:cs="Arial"/>
                <w:b/>
                <w:bCs/>
                <w:sz w:val="20"/>
                <w:szCs w:val="20"/>
              </w:rPr>
              <w:t>Most Deprived</w:t>
            </w:r>
          </w:p>
        </w:tc>
        <w:tc>
          <w:tcPr>
            <w:tcW w:w="2880" w:type="dxa"/>
            <w:shd w:val="clear" w:color="auto" w:fill="70AD47" w:themeFill="accent6"/>
          </w:tcPr>
          <w:p w14:paraId="586AB09E" w14:textId="77777777" w:rsidR="00ED0549" w:rsidRPr="00FA2289" w:rsidRDefault="00ED0549" w:rsidP="0040646F">
            <w:pPr>
              <w:rPr>
                <w:rFonts w:ascii="Arial" w:hAnsi="Arial" w:cs="Arial"/>
                <w:sz w:val="20"/>
                <w:szCs w:val="20"/>
              </w:rPr>
            </w:pPr>
            <w:r w:rsidRPr="00FA2289">
              <w:rPr>
                <w:rFonts w:ascii="Arial" w:hAnsi="Arial" w:cs="Arial"/>
                <w:sz w:val="20"/>
                <w:szCs w:val="20"/>
              </w:rPr>
              <w:t>73.5 years</w:t>
            </w:r>
          </w:p>
        </w:tc>
        <w:tc>
          <w:tcPr>
            <w:tcW w:w="2880" w:type="dxa"/>
            <w:shd w:val="clear" w:color="auto" w:fill="70AD47" w:themeFill="accent6"/>
          </w:tcPr>
          <w:p w14:paraId="10066FE6" w14:textId="77777777" w:rsidR="00ED0549" w:rsidRPr="00FA2289" w:rsidRDefault="00ED0549" w:rsidP="0040646F">
            <w:pPr>
              <w:rPr>
                <w:rFonts w:ascii="Arial" w:hAnsi="Arial" w:cs="Arial"/>
                <w:sz w:val="20"/>
                <w:szCs w:val="20"/>
              </w:rPr>
            </w:pPr>
            <w:r w:rsidRPr="00FA2289">
              <w:rPr>
                <w:rFonts w:ascii="Arial" w:hAnsi="Arial" w:cs="Arial"/>
                <w:sz w:val="20"/>
                <w:szCs w:val="20"/>
              </w:rPr>
              <w:t>78.7 years</w:t>
            </w:r>
          </w:p>
        </w:tc>
      </w:tr>
    </w:tbl>
    <w:p w14:paraId="7741132D" w14:textId="77777777" w:rsidR="002A314E" w:rsidRDefault="002A314E" w:rsidP="00ED0549">
      <w:pPr>
        <w:rPr>
          <w:rFonts w:ascii="Arial" w:hAnsi="Arial" w:cs="Arial"/>
          <w:sz w:val="18"/>
          <w:szCs w:val="18"/>
        </w:rPr>
      </w:pPr>
    </w:p>
    <w:p w14:paraId="3D3D2200" w14:textId="499403D8" w:rsidR="00ED0549" w:rsidRPr="00245306" w:rsidRDefault="00ED0549" w:rsidP="00ED0549">
      <w:pPr>
        <w:rPr>
          <w:rFonts w:ascii="Arial" w:hAnsi="Arial" w:cs="Arial"/>
          <w:sz w:val="18"/>
          <w:szCs w:val="18"/>
        </w:rPr>
      </w:pPr>
      <w:r w:rsidRPr="002A314E">
        <w:rPr>
          <w:rFonts w:ascii="Arial" w:hAnsi="Arial" w:cs="Arial"/>
          <w:sz w:val="18"/>
          <w:szCs w:val="18"/>
        </w:rPr>
        <w:t>Source: ONS (2023b). The persistent 9–10-year gap evidences entrenched inequality, raising questions about SDG 3 equity progress.</w:t>
      </w:r>
    </w:p>
    <w:p w14:paraId="138583EC" w14:textId="77777777" w:rsidR="00ED0549" w:rsidRPr="00FA2289" w:rsidRDefault="00ED0549" w:rsidP="00ED0549">
      <w:pPr>
        <w:pStyle w:val="Heading3"/>
        <w:rPr>
          <w:rFonts w:ascii="Arial" w:hAnsi="Arial" w:cs="Arial"/>
          <w:b/>
          <w:bCs/>
          <w:color w:val="auto"/>
          <w:sz w:val="22"/>
          <w:szCs w:val="22"/>
        </w:rPr>
      </w:pPr>
      <w:r w:rsidRPr="00FA2289">
        <w:rPr>
          <w:rFonts w:ascii="Arial" w:hAnsi="Arial" w:cs="Arial"/>
          <w:b/>
          <w:bCs/>
          <w:color w:val="auto"/>
          <w:sz w:val="22"/>
          <w:szCs w:val="22"/>
        </w:rPr>
        <w:t>Table 2: Public Health Grant Trends (England)</w:t>
      </w:r>
    </w:p>
    <w:tbl>
      <w:tblPr>
        <w:tblStyle w:val="TableGrid"/>
        <w:tblW w:w="0" w:type="auto"/>
        <w:tblLook w:val="04A0" w:firstRow="1" w:lastRow="0" w:firstColumn="1" w:lastColumn="0" w:noHBand="0" w:noVBand="1"/>
      </w:tblPr>
      <w:tblGrid>
        <w:gridCol w:w="4320"/>
        <w:gridCol w:w="4320"/>
      </w:tblGrid>
      <w:tr w:rsidR="00FA2289" w:rsidRPr="00FA2289" w14:paraId="6E15AE10" w14:textId="77777777" w:rsidTr="00762141">
        <w:tc>
          <w:tcPr>
            <w:tcW w:w="4320" w:type="dxa"/>
            <w:shd w:val="clear" w:color="auto" w:fill="70AD47" w:themeFill="accent6"/>
          </w:tcPr>
          <w:p w14:paraId="0422C057" w14:textId="77777777" w:rsidR="00ED0549" w:rsidRPr="00FA2289" w:rsidRDefault="00ED0549" w:rsidP="0040646F">
            <w:pPr>
              <w:rPr>
                <w:rFonts w:ascii="Arial" w:hAnsi="Arial" w:cs="Arial"/>
                <w:b/>
                <w:bCs/>
                <w:sz w:val="20"/>
                <w:szCs w:val="20"/>
              </w:rPr>
            </w:pPr>
            <w:r w:rsidRPr="00FA2289">
              <w:rPr>
                <w:rFonts w:ascii="Arial" w:hAnsi="Arial" w:cs="Arial"/>
                <w:b/>
                <w:bCs/>
                <w:sz w:val="20"/>
                <w:szCs w:val="20"/>
              </w:rPr>
              <w:t>Year</w:t>
            </w:r>
          </w:p>
        </w:tc>
        <w:tc>
          <w:tcPr>
            <w:tcW w:w="4320" w:type="dxa"/>
            <w:shd w:val="clear" w:color="auto" w:fill="70AD47" w:themeFill="accent6"/>
          </w:tcPr>
          <w:p w14:paraId="443987A5" w14:textId="77777777" w:rsidR="00ED0549" w:rsidRPr="00FA2289" w:rsidRDefault="00ED0549" w:rsidP="0040646F">
            <w:pPr>
              <w:rPr>
                <w:rFonts w:ascii="Arial" w:hAnsi="Arial" w:cs="Arial"/>
                <w:sz w:val="20"/>
                <w:szCs w:val="20"/>
              </w:rPr>
            </w:pPr>
            <w:r w:rsidRPr="00FA2289">
              <w:rPr>
                <w:rFonts w:ascii="Arial" w:hAnsi="Arial" w:cs="Arial"/>
                <w:sz w:val="20"/>
                <w:szCs w:val="20"/>
              </w:rPr>
              <w:t>Grant (£bn)</w:t>
            </w:r>
          </w:p>
        </w:tc>
      </w:tr>
      <w:tr w:rsidR="00FA2289" w:rsidRPr="00FA2289" w14:paraId="40533E9D" w14:textId="77777777" w:rsidTr="00762141">
        <w:tc>
          <w:tcPr>
            <w:tcW w:w="4320" w:type="dxa"/>
            <w:shd w:val="clear" w:color="auto" w:fill="70AD47" w:themeFill="accent6"/>
          </w:tcPr>
          <w:p w14:paraId="50C395F2" w14:textId="77777777" w:rsidR="00ED0549" w:rsidRPr="00FA2289" w:rsidRDefault="00ED0549" w:rsidP="0040646F">
            <w:pPr>
              <w:rPr>
                <w:rFonts w:ascii="Arial" w:hAnsi="Arial" w:cs="Arial"/>
                <w:b/>
                <w:bCs/>
                <w:sz w:val="20"/>
                <w:szCs w:val="20"/>
              </w:rPr>
            </w:pPr>
            <w:r w:rsidRPr="00FA2289">
              <w:rPr>
                <w:rFonts w:ascii="Arial" w:hAnsi="Arial" w:cs="Arial"/>
                <w:b/>
                <w:bCs/>
                <w:sz w:val="20"/>
                <w:szCs w:val="20"/>
              </w:rPr>
              <w:t>2015/16</w:t>
            </w:r>
          </w:p>
        </w:tc>
        <w:tc>
          <w:tcPr>
            <w:tcW w:w="4320" w:type="dxa"/>
            <w:shd w:val="clear" w:color="auto" w:fill="70AD47" w:themeFill="accent6"/>
          </w:tcPr>
          <w:p w14:paraId="7A5C41BF" w14:textId="77777777" w:rsidR="00ED0549" w:rsidRPr="00FA2289" w:rsidRDefault="00ED0549" w:rsidP="0040646F">
            <w:pPr>
              <w:rPr>
                <w:rFonts w:ascii="Arial" w:hAnsi="Arial" w:cs="Arial"/>
                <w:sz w:val="20"/>
                <w:szCs w:val="20"/>
              </w:rPr>
            </w:pPr>
            <w:r w:rsidRPr="00FA2289">
              <w:rPr>
                <w:rFonts w:ascii="Arial" w:hAnsi="Arial" w:cs="Arial"/>
                <w:sz w:val="20"/>
                <w:szCs w:val="20"/>
              </w:rPr>
              <w:t>3.6</w:t>
            </w:r>
          </w:p>
        </w:tc>
      </w:tr>
      <w:tr w:rsidR="00FA2289" w:rsidRPr="00FA2289" w14:paraId="5931ABCE" w14:textId="77777777" w:rsidTr="00762141">
        <w:tc>
          <w:tcPr>
            <w:tcW w:w="4320" w:type="dxa"/>
            <w:shd w:val="clear" w:color="auto" w:fill="70AD47" w:themeFill="accent6"/>
          </w:tcPr>
          <w:p w14:paraId="5495DB2F" w14:textId="77777777" w:rsidR="00ED0549" w:rsidRPr="00FA2289" w:rsidRDefault="00ED0549" w:rsidP="0040646F">
            <w:pPr>
              <w:rPr>
                <w:rFonts w:ascii="Arial" w:hAnsi="Arial" w:cs="Arial"/>
                <w:b/>
                <w:bCs/>
                <w:sz w:val="20"/>
                <w:szCs w:val="20"/>
              </w:rPr>
            </w:pPr>
            <w:r w:rsidRPr="00FA2289">
              <w:rPr>
                <w:rFonts w:ascii="Arial" w:hAnsi="Arial" w:cs="Arial"/>
                <w:b/>
                <w:bCs/>
                <w:sz w:val="20"/>
                <w:szCs w:val="20"/>
              </w:rPr>
              <w:t>2020/21</w:t>
            </w:r>
          </w:p>
        </w:tc>
        <w:tc>
          <w:tcPr>
            <w:tcW w:w="4320" w:type="dxa"/>
            <w:shd w:val="clear" w:color="auto" w:fill="70AD47" w:themeFill="accent6"/>
          </w:tcPr>
          <w:p w14:paraId="1406853A" w14:textId="77777777" w:rsidR="00ED0549" w:rsidRPr="00FA2289" w:rsidRDefault="00ED0549" w:rsidP="0040646F">
            <w:pPr>
              <w:rPr>
                <w:rFonts w:ascii="Arial" w:hAnsi="Arial" w:cs="Arial"/>
                <w:sz w:val="20"/>
                <w:szCs w:val="20"/>
              </w:rPr>
            </w:pPr>
            <w:r w:rsidRPr="00FA2289">
              <w:rPr>
                <w:rFonts w:ascii="Arial" w:hAnsi="Arial" w:cs="Arial"/>
                <w:sz w:val="20"/>
                <w:szCs w:val="20"/>
              </w:rPr>
              <w:t>3.2</w:t>
            </w:r>
          </w:p>
        </w:tc>
      </w:tr>
      <w:tr w:rsidR="00FA2289" w:rsidRPr="00FA2289" w14:paraId="6F9E6CF9" w14:textId="77777777" w:rsidTr="00762141">
        <w:tc>
          <w:tcPr>
            <w:tcW w:w="4320" w:type="dxa"/>
            <w:shd w:val="clear" w:color="auto" w:fill="70AD47" w:themeFill="accent6"/>
          </w:tcPr>
          <w:p w14:paraId="6198DE58" w14:textId="77777777" w:rsidR="00ED0549" w:rsidRPr="00FA2289" w:rsidRDefault="00ED0549" w:rsidP="0040646F">
            <w:pPr>
              <w:rPr>
                <w:rFonts w:ascii="Arial" w:hAnsi="Arial" w:cs="Arial"/>
                <w:b/>
                <w:bCs/>
                <w:sz w:val="20"/>
                <w:szCs w:val="20"/>
              </w:rPr>
            </w:pPr>
            <w:r w:rsidRPr="00FA2289">
              <w:rPr>
                <w:rFonts w:ascii="Arial" w:hAnsi="Arial" w:cs="Arial"/>
                <w:b/>
                <w:bCs/>
                <w:sz w:val="20"/>
                <w:szCs w:val="20"/>
              </w:rPr>
              <w:t>2023/24</w:t>
            </w:r>
          </w:p>
        </w:tc>
        <w:tc>
          <w:tcPr>
            <w:tcW w:w="4320" w:type="dxa"/>
            <w:shd w:val="clear" w:color="auto" w:fill="70AD47" w:themeFill="accent6"/>
          </w:tcPr>
          <w:p w14:paraId="4096AE03" w14:textId="77777777" w:rsidR="00ED0549" w:rsidRPr="00FA2289" w:rsidRDefault="00ED0549" w:rsidP="0040646F">
            <w:pPr>
              <w:rPr>
                <w:rFonts w:ascii="Arial" w:hAnsi="Arial" w:cs="Arial"/>
                <w:sz w:val="20"/>
                <w:szCs w:val="20"/>
              </w:rPr>
            </w:pPr>
            <w:r w:rsidRPr="00FA2289">
              <w:rPr>
                <w:rFonts w:ascii="Arial" w:hAnsi="Arial" w:cs="Arial"/>
                <w:sz w:val="20"/>
                <w:szCs w:val="20"/>
              </w:rPr>
              <w:t>3.5</w:t>
            </w:r>
          </w:p>
        </w:tc>
      </w:tr>
    </w:tbl>
    <w:p w14:paraId="5E90D8F1" w14:textId="77777777" w:rsidR="002A314E" w:rsidRDefault="002A314E" w:rsidP="00ED0549">
      <w:pPr>
        <w:rPr>
          <w:rFonts w:ascii="Arial" w:hAnsi="Arial" w:cs="Arial"/>
          <w:sz w:val="18"/>
          <w:szCs w:val="18"/>
        </w:rPr>
      </w:pPr>
    </w:p>
    <w:p w14:paraId="25F383FE" w14:textId="4E645347" w:rsidR="002A314E" w:rsidRDefault="00ED0549" w:rsidP="00245306">
      <w:pPr>
        <w:rPr>
          <w:rFonts w:ascii="Arial" w:hAnsi="Arial" w:cs="Arial"/>
          <w:sz w:val="20"/>
          <w:szCs w:val="20"/>
        </w:rPr>
      </w:pPr>
      <w:r w:rsidRPr="002A314E">
        <w:rPr>
          <w:rFonts w:ascii="Arial" w:hAnsi="Arial" w:cs="Arial"/>
          <w:sz w:val="18"/>
          <w:szCs w:val="18"/>
        </w:rPr>
        <w:t>Source: NAO (2023). Although nominal increases exist, real-term stagnation limits transformative prevention</w:t>
      </w:r>
      <w:r w:rsidRPr="00FA2289">
        <w:rPr>
          <w:rFonts w:ascii="Arial" w:hAnsi="Arial" w:cs="Arial"/>
          <w:sz w:val="20"/>
          <w:szCs w:val="20"/>
        </w:rPr>
        <w:t>.</w:t>
      </w:r>
    </w:p>
    <w:p w14:paraId="7CA9111A" w14:textId="77777777" w:rsidR="00245306" w:rsidRPr="00245306" w:rsidRDefault="00245306" w:rsidP="00245306">
      <w:pPr>
        <w:rPr>
          <w:rFonts w:ascii="Arial" w:hAnsi="Arial" w:cs="Arial"/>
          <w:sz w:val="20"/>
          <w:szCs w:val="20"/>
        </w:rPr>
      </w:pPr>
    </w:p>
    <w:p w14:paraId="29F8B332" w14:textId="77777777" w:rsidR="00A2460C" w:rsidRPr="00FA2289" w:rsidRDefault="00A2460C" w:rsidP="00A2460C">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r w:rsidRPr="00FA2289">
        <w:rPr>
          <w:rFonts w:ascii="Arial" w:eastAsia="Times New Roman" w:hAnsi="Arial" w:cs="Arial"/>
          <w:b/>
          <w:bCs/>
          <w:kern w:val="0"/>
          <w:sz w:val="28"/>
          <w:szCs w:val="28"/>
          <w:lang w:eastAsia="en-GB"/>
          <w14:ligatures w14:val="none"/>
        </w:rPr>
        <w:t>1.3 Critical Evaluation of National and Local Examples in SDG3:</w:t>
      </w:r>
    </w:p>
    <w:p w14:paraId="49ABB75D" w14:textId="22DE05C8" w:rsidR="00C53F79" w:rsidRPr="00C53F79" w:rsidRDefault="00683339" w:rsidP="00C53F79">
      <w:pPr>
        <w:pStyle w:val="NormalWeb"/>
        <w:spacing w:line="360" w:lineRule="auto"/>
        <w:jc w:val="both"/>
        <w:rPr>
          <w:rFonts w:ascii="Arial" w:hAnsi="Arial" w:cs="Arial"/>
          <w:sz w:val="22"/>
          <w:szCs w:val="22"/>
        </w:rPr>
      </w:pPr>
      <w:r>
        <w:rPr>
          <w:rStyle w:val="Strong"/>
          <w:rFonts w:ascii="Arial" w:eastAsiaTheme="majorEastAsia" w:hAnsi="Arial" w:cs="Arial"/>
          <w:sz w:val="22"/>
          <w:szCs w:val="22"/>
        </w:rPr>
        <w:t xml:space="preserve">1.3.1 </w:t>
      </w:r>
      <w:r w:rsidR="00C53F79" w:rsidRPr="00C53F79">
        <w:rPr>
          <w:rStyle w:val="Strong"/>
          <w:rFonts w:ascii="Arial" w:eastAsiaTheme="majorEastAsia" w:hAnsi="Arial" w:cs="Arial"/>
          <w:sz w:val="22"/>
          <w:szCs w:val="22"/>
        </w:rPr>
        <w:t>Policy Alignment with SDG 3</w:t>
      </w:r>
      <w:r w:rsidR="00E10503">
        <w:rPr>
          <w:rFonts w:ascii="Arial" w:hAnsi="Arial" w:cs="Arial"/>
          <w:sz w:val="22"/>
          <w:szCs w:val="22"/>
        </w:rPr>
        <w:t xml:space="preserve">: </w:t>
      </w:r>
      <w:r w:rsidR="00C53F79" w:rsidRPr="00C53F79">
        <w:rPr>
          <w:rFonts w:ascii="Arial" w:hAnsi="Arial" w:cs="Arial"/>
          <w:sz w:val="22"/>
          <w:szCs w:val="22"/>
        </w:rPr>
        <w:t>The NHS Long Term Plan aligns with SDG 3 by prioritising prevention, mental health services, digital innovation and integrated care systems to improve coordination between healthcare and community services (NHS England, 2019). Integrated Care Systems also reflect systems-thinking approaches by recognising that health outcomes are influenced by interconnected social and economic factors (Rutter et al., 2017).</w:t>
      </w:r>
    </w:p>
    <w:p w14:paraId="5BA63423" w14:textId="33372206" w:rsidR="00C53F79" w:rsidRPr="00C53F79" w:rsidRDefault="00683339" w:rsidP="00C53F79">
      <w:pPr>
        <w:pStyle w:val="NormalWeb"/>
        <w:spacing w:line="360" w:lineRule="auto"/>
        <w:jc w:val="both"/>
        <w:rPr>
          <w:rFonts w:ascii="Arial" w:hAnsi="Arial" w:cs="Arial"/>
          <w:sz w:val="22"/>
          <w:szCs w:val="22"/>
        </w:rPr>
      </w:pPr>
      <w:r>
        <w:rPr>
          <w:rStyle w:val="Strong"/>
          <w:rFonts w:ascii="Arial" w:eastAsiaTheme="majorEastAsia" w:hAnsi="Arial" w:cs="Arial"/>
          <w:sz w:val="22"/>
          <w:szCs w:val="22"/>
        </w:rPr>
        <w:t xml:space="preserve">1.3.2 </w:t>
      </w:r>
      <w:r w:rsidR="00C53F79" w:rsidRPr="00C53F79">
        <w:rPr>
          <w:rStyle w:val="Strong"/>
          <w:rFonts w:ascii="Arial" w:eastAsiaTheme="majorEastAsia" w:hAnsi="Arial" w:cs="Arial"/>
          <w:sz w:val="22"/>
          <w:szCs w:val="22"/>
        </w:rPr>
        <w:t>Persistent Inequalities</w:t>
      </w:r>
      <w:r w:rsidR="00E10503">
        <w:rPr>
          <w:rFonts w:ascii="Arial" w:hAnsi="Arial" w:cs="Arial"/>
          <w:sz w:val="22"/>
          <w:szCs w:val="22"/>
        </w:rPr>
        <w:t xml:space="preserve">: </w:t>
      </w:r>
      <w:r w:rsidR="00C53F79" w:rsidRPr="00C53F79">
        <w:rPr>
          <w:rFonts w:ascii="Arial" w:hAnsi="Arial" w:cs="Arial"/>
          <w:sz w:val="22"/>
          <w:szCs w:val="22"/>
        </w:rPr>
        <w:t>Despite these policy initiatives, significant health inequalities remain in the UK. The Marmot Review highlighted a slowdown in life expectancy improvements between 2010 and 2019, particularly within disadvantaged communities (Marmot et al., 2020). These inequalities are strongly linked to wider social determinants such as housing insecurity, unemployment and income inequality (Institute of Health Equity, 2023).</w:t>
      </w:r>
    </w:p>
    <w:p w14:paraId="122B1C40" w14:textId="1AC17F21" w:rsidR="00C53F79" w:rsidRPr="00C53F79" w:rsidRDefault="00683339" w:rsidP="00C53F79">
      <w:pPr>
        <w:pStyle w:val="NormalWeb"/>
        <w:spacing w:line="360" w:lineRule="auto"/>
        <w:jc w:val="both"/>
        <w:rPr>
          <w:rFonts w:ascii="Arial" w:hAnsi="Arial" w:cs="Arial"/>
          <w:sz w:val="22"/>
          <w:szCs w:val="22"/>
        </w:rPr>
      </w:pPr>
      <w:r>
        <w:rPr>
          <w:rStyle w:val="Strong"/>
          <w:rFonts w:ascii="Arial" w:eastAsiaTheme="majorEastAsia" w:hAnsi="Arial" w:cs="Arial"/>
          <w:sz w:val="22"/>
          <w:szCs w:val="22"/>
        </w:rPr>
        <w:t xml:space="preserve">1.3.3 </w:t>
      </w:r>
      <w:r w:rsidR="00C53F79" w:rsidRPr="00C53F79">
        <w:rPr>
          <w:rStyle w:val="Strong"/>
          <w:rFonts w:ascii="Arial" w:eastAsiaTheme="majorEastAsia" w:hAnsi="Arial" w:cs="Arial"/>
          <w:sz w:val="22"/>
          <w:szCs w:val="22"/>
        </w:rPr>
        <w:t>Workforce and Funding Pressures</w:t>
      </w:r>
      <w:r w:rsidR="00E10503">
        <w:rPr>
          <w:rFonts w:ascii="Arial" w:hAnsi="Arial" w:cs="Arial"/>
          <w:sz w:val="22"/>
          <w:szCs w:val="22"/>
        </w:rPr>
        <w:t xml:space="preserve">: </w:t>
      </w:r>
      <w:r w:rsidR="00C53F79" w:rsidRPr="00C53F79">
        <w:rPr>
          <w:rFonts w:ascii="Arial" w:hAnsi="Arial" w:cs="Arial"/>
          <w:sz w:val="22"/>
          <w:szCs w:val="22"/>
        </w:rPr>
        <w:t>Financial pressures continue to limit policy implementation. Sustainable health systems require stable investment in prevention and public health services (World Health Organization, 2024a). However, austerity measures during the 2010s reduced local authority public health funding, weakening preventive services and widening regional inequalities (McHugh and Macintyre, 2024).</w:t>
      </w:r>
    </w:p>
    <w:p w14:paraId="49202C46" w14:textId="38331223" w:rsidR="00497C2D" w:rsidRDefault="00683339" w:rsidP="00497C2D">
      <w:pPr>
        <w:pStyle w:val="NormalWeb"/>
        <w:spacing w:line="360" w:lineRule="auto"/>
        <w:jc w:val="both"/>
      </w:pPr>
      <w:r>
        <w:rPr>
          <w:rStyle w:val="Strong"/>
          <w:rFonts w:ascii="Arial" w:eastAsiaTheme="majorEastAsia" w:hAnsi="Arial" w:cs="Arial"/>
          <w:sz w:val="22"/>
          <w:szCs w:val="22"/>
        </w:rPr>
        <w:lastRenderedPageBreak/>
        <w:t xml:space="preserve">1.3.4 </w:t>
      </w:r>
      <w:r w:rsidR="00C53F79" w:rsidRPr="00C53F79">
        <w:rPr>
          <w:rStyle w:val="Strong"/>
          <w:rFonts w:ascii="Arial" w:eastAsiaTheme="majorEastAsia" w:hAnsi="Arial" w:cs="Arial"/>
          <w:sz w:val="22"/>
          <w:szCs w:val="22"/>
        </w:rPr>
        <w:t>Prevention and Local Initiatives</w:t>
      </w:r>
      <w:r w:rsidR="00E10503">
        <w:rPr>
          <w:rFonts w:ascii="Arial" w:hAnsi="Arial" w:cs="Arial"/>
          <w:sz w:val="22"/>
          <w:szCs w:val="22"/>
        </w:rPr>
        <w:t>:</w:t>
      </w:r>
      <w:r w:rsidR="00E10503" w:rsidRPr="00497C2D">
        <w:rPr>
          <w:rFonts w:ascii="Arial" w:hAnsi="Arial" w:cs="Arial"/>
          <w:sz w:val="22"/>
          <w:szCs w:val="22"/>
        </w:rPr>
        <w:t xml:space="preserve"> </w:t>
      </w:r>
      <w:r w:rsidR="00497C2D" w:rsidRPr="00497C2D">
        <w:rPr>
          <w:rFonts w:ascii="Arial" w:hAnsi="Arial" w:cs="Arial"/>
          <w:sz w:val="22"/>
          <w:szCs w:val="22"/>
        </w:rPr>
        <w:t xml:space="preserve">Prevention programmes such as Improving Access to Psychological Therapies have expanded mental health support (NHS Digital, 2023). However, high service demand and deprivation continue to affect outcomes (Public Health England, 2021). In </w:t>
      </w:r>
      <w:r w:rsidR="00497C2D" w:rsidRPr="00497C2D">
        <w:rPr>
          <w:rFonts w:ascii="Arial" w:hAnsi="Arial" w:cs="Arial"/>
          <w:b/>
          <w:bCs/>
          <w:sz w:val="22"/>
          <w:szCs w:val="22"/>
        </w:rPr>
        <w:t>Birmingham</w:t>
      </w:r>
      <w:r w:rsidR="00497C2D" w:rsidRPr="00497C2D">
        <w:rPr>
          <w:rFonts w:ascii="Arial" w:hAnsi="Arial" w:cs="Arial"/>
          <w:sz w:val="22"/>
          <w:szCs w:val="22"/>
        </w:rPr>
        <w:t xml:space="preserve">, the Creating a </w:t>
      </w:r>
      <w:r w:rsidR="0059610E" w:rsidRPr="00497C2D">
        <w:rPr>
          <w:rFonts w:ascii="Arial" w:hAnsi="Arial" w:cs="Arial"/>
          <w:sz w:val="22"/>
          <w:szCs w:val="22"/>
        </w:rPr>
        <w:t>Boulder</w:t>
      </w:r>
      <w:r w:rsidR="00497C2D" w:rsidRPr="00497C2D">
        <w:rPr>
          <w:rFonts w:ascii="Arial" w:hAnsi="Arial" w:cs="Arial"/>
          <w:sz w:val="22"/>
          <w:szCs w:val="22"/>
        </w:rPr>
        <w:t>, Healthier City strategy aims to reduce inequalities, yet disparities persist across deprived neighbourhoods (Birmingham City Council, 202</w:t>
      </w:r>
      <w:r w:rsidR="004C79DE">
        <w:rPr>
          <w:rFonts w:ascii="Arial" w:hAnsi="Arial" w:cs="Arial"/>
          <w:sz w:val="22"/>
          <w:szCs w:val="22"/>
        </w:rPr>
        <w:t>3</w:t>
      </w:r>
      <w:r w:rsidR="00497C2D" w:rsidRPr="00497C2D">
        <w:rPr>
          <w:rFonts w:ascii="Arial" w:hAnsi="Arial" w:cs="Arial"/>
          <w:sz w:val="22"/>
          <w:szCs w:val="22"/>
        </w:rPr>
        <w:t>).</w:t>
      </w:r>
    </w:p>
    <w:p w14:paraId="6A8D7472" w14:textId="7AD499E0" w:rsidR="00A2460C" w:rsidRPr="00ED0549" w:rsidRDefault="00A2460C" w:rsidP="00497C2D">
      <w:pPr>
        <w:pStyle w:val="NormalWeb"/>
        <w:spacing w:line="360" w:lineRule="auto"/>
        <w:jc w:val="both"/>
        <w:rPr>
          <w:rFonts w:ascii="Arial" w:hAnsi="Arial" w:cs="Arial"/>
          <w:b/>
          <w:bCs/>
          <w:sz w:val="28"/>
          <w:szCs w:val="28"/>
        </w:rPr>
      </w:pPr>
      <w:r w:rsidRPr="00ED0549">
        <w:rPr>
          <w:rFonts w:ascii="Arial" w:hAnsi="Arial" w:cs="Arial"/>
          <w:b/>
          <w:bCs/>
          <w:sz w:val="28"/>
          <w:szCs w:val="28"/>
        </w:rPr>
        <w:t xml:space="preserve">1.4 Use of Theories/Models </w:t>
      </w:r>
      <w:r w:rsidR="00ED0549">
        <w:rPr>
          <w:rFonts w:ascii="Arial" w:hAnsi="Arial" w:cs="Arial"/>
          <w:b/>
          <w:bCs/>
          <w:sz w:val="28"/>
          <w:szCs w:val="28"/>
        </w:rPr>
        <w:t>i</w:t>
      </w:r>
      <w:r w:rsidRPr="00ED0549">
        <w:rPr>
          <w:rFonts w:ascii="Arial" w:hAnsi="Arial" w:cs="Arial"/>
          <w:b/>
          <w:bCs/>
          <w:sz w:val="28"/>
          <w:szCs w:val="28"/>
        </w:rPr>
        <w:t>ncorporated inSDG3:</w:t>
      </w:r>
    </w:p>
    <w:p w14:paraId="7C6A580A" w14:textId="1A8C7DC4" w:rsidR="00BE26BD" w:rsidRPr="00497C2D" w:rsidRDefault="00497C2D" w:rsidP="008F20C9">
      <w:pPr>
        <w:pStyle w:val="NormalWeb"/>
        <w:spacing w:line="360" w:lineRule="auto"/>
        <w:jc w:val="both"/>
        <w:rPr>
          <w:rFonts w:ascii="Arial" w:hAnsi="Arial" w:cs="Arial"/>
          <w:sz w:val="22"/>
          <w:szCs w:val="22"/>
        </w:rPr>
      </w:pPr>
      <w:r w:rsidRPr="00497C2D">
        <w:rPr>
          <w:rFonts w:ascii="Arial" w:hAnsi="Arial" w:cs="Arial"/>
          <w:sz w:val="22"/>
          <w:szCs w:val="22"/>
        </w:rPr>
        <w:t xml:space="preserve">Social prescribing supports SDG 3’s complete approach to health by connecting individuals with community services that enhance wellbeing. Nevertheless, substantial inequalities persist, with deprived populations experiencing 9–10 fewer healthy years, and the COVID-19 pandemic highlighting urban health disparities (Public Health England, 2021). The Social Determinants of Health framework attributes these gaps to upstream factors such as housing, environment and infrastructure, emphasising the role of urban and social policy in improving health (Marmot et al., 2020). Systems theory further shows that cities function as interconnected systems where transport, environment and health interact. Although Health in All Policies encourages cross-sector collaboration (WHO, 2014), implementation in the UK remains uneven, and behavioural models alone provide limited impact (Bandura, 1986; Cristiano </w:t>
      </w:r>
      <w:r w:rsidR="00E60802">
        <w:rPr>
          <w:rFonts w:ascii="Arial" w:hAnsi="Arial" w:cs="Arial"/>
          <w:sz w:val="22"/>
          <w:szCs w:val="22"/>
        </w:rPr>
        <w:t xml:space="preserve">and </w:t>
      </w:r>
      <w:proofErr w:type="spellStart"/>
      <w:r w:rsidRPr="00497C2D">
        <w:rPr>
          <w:rFonts w:ascii="Arial" w:hAnsi="Arial" w:cs="Arial"/>
          <w:sz w:val="22"/>
          <w:szCs w:val="22"/>
        </w:rPr>
        <w:t>Zilio</w:t>
      </w:r>
      <w:proofErr w:type="spellEnd"/>
      <w:r w:rsidRPr="00497C2D">
        <w:rPr>
          <w:rFonts w:ascii="Arial" w:hAnsi="Arial" w:cs="Arial"/>
          <w:sz w:val="22"/>
          <w:szCs w:val="22"/>
        </w:rPr>
        <w:t>, 2021).</w:t>
      </w:r>
    </w:p>
    <w:p w14:paraId="6B39E1F8" w14:textId="56E5CC65" w:rsidR="009B2FF0" w:rsidRPr="008F20C9" w:rsidRDefault="00683339" w:rsidP="00BB7517">
      <w:pPr>
        <w:spacing w:before="100" w:beforeAutospacing="1" w:after="100" w:afterAutospacing="1" w:line="240" w:lineRule="auto"/>
        <w:jc w:val="both"/>
        <w:outlineLvl w:val="1"/>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t xml:space="preserve">1.5 </w:t>
      </w:r>
      <w:r w:rsidR="006220D7" w:rsidRPr="008F20C9">
        <w:rPr>
          <w:rFonts w:ascii="Arial" w:eastAsia="Times New Roman" w:hAnsi="Arial" w:cs="Arial"/>
          <w:b/>
          <w:bCs/>
          <w:kern w:val="0"/>
          <w:sz w:val="28"/>
          <w:szCs w:val="28"/>
          <w:lang w:eastAsia="en-GB"/>
          <w14:ligatures w14:val="none"/>
        </w:rPr>
        <w:t>Recommendations:</w:t>
      </w:r>
    </w:p>
    <w:p w14:paraId="041C1C30" w14:textId="2C24C9E5" w:rsidR="00A84E98" w:rsidRPr="00A84E98" w:rsidRDefault="00A84E98" w:rsidP="00A84E98">
      <w:pPr>
        <w:pStyle w:val="NormalWeb"/>
        <w:spacing w:line="360" w:lineRule="auto"/>
        <w:jc w:val="both"/>
        <w:rPr>
          <w:rFonts w:ascii="Arial" w:hAnsi="Arial" w:cs="Arial"/>
          <w:sz w:val="22"/>
          <w:szCs w:val="22"/>
        </w:rPr>
      </w:pPr>
      <w:r w:rsidRPr="00A84E98">
        <w:rPr>
          <w:rStyle w:val="Strong"/>
          <w:rFonts w:ascii="Arial" w:eastAsiaTheme="majorEastAsia" w:hAnsi="Arial" w:cs="Arial"/>
          <w:sz w:val="22"/>
          <w:szCs w:val="22"/>
        </w:rPr>
        <w:t>Recommendation 1 –</w:t>
      </w:r>
      <w:r w:rsidRPr="00A84E98">
        <w:rPr>
          <w:rFonts w:ascii="Arial" w:hAnsi="Arial" w:cs="Arial"/>
          <w:sz w:val="22"/>
          <w:szCs w:val="22"/>
        </w:rPr>
        <w:t xml:space="preserve"> Public health funding should be restored through equity-based, ring-fenced investment prioritising deprived areas where cuts have widened inequalities. Strengthening prevention and upstream services would improve long-term population health (The King’s Fund, 2022).</w:t>
      </w:r>
    </w:p>
    <w:p w14:paraId="45721BB4" w14:textId="5520A6F6" w:rsidR="00A84E98" w:rsidRPr="00A84E98" w:rsidRDefault="00A84E98" w:rsidP="00A84E98">
      <w:pPr>
        <w:pStyle w:val="NormalWeb"/>
        <w:spacing w:line="360" w:lineRule="auto"/>
        <w:jc w:val="both"/>
        <w:rPr>
          <w:rFonts w:ascii="Arial" w:hAnsi="Arial" w:cs="Arial"/>
          <w:sz w:val="22"/>
          <w:szCs w:val="22"/>
        </w:rPr>
      </w:pPr>
      <w:r w:rsidRPr="00A84E98">
        <w:rPr>
          <w:rStyle w:val="Strong"/>
          <w:rFonts w:ascii="Arial" w:eastAsiaTheme="majorEastAsia" w:hAnsi="Arial" w:cs="Arial"/>
          <w:sz w:val="22"/>
          <w:szCs w:val="22"/>
        </w:rPr>
        <w:t>Recommendation 2 –</w:t>
      </w:r>
      <w:r w:rsidRPr="00A84E98">
        <w:rPr>
          <w:rFonts w:ascii="Arial" w:hAnsi="Arial" w:cs="Arial"/>
          <w:sz w:val="22"/>
          <w:szCs w:val="22"/>
        </w:rPr>
        <w:t xml:space="preserve"> Health in All Policies should be statutorily embedded across government. Mandatory Health Equity Impact Assessments would strengthen cross-sector accountability and ensure policies address structural health inequalities (McHugh </w:t>
      </w:r>
      <w:r w:rsidR="00E60802">
        <w:rPr>
          <w:rFonts w:ascii="Arial" w:hAnsi="Arial" w:cs="Arial"/>
          <w:sz w:val="22"/>
          <w:szCs w:val="22"/>
        </w:rPr>
        <w:t>and</w:t>
      </w:r>
      <w:r w:rsidRPr="00A84E98">
        <w:rPr>
          <w:rFonts w:ascii="Arial" w:hAnsi="Arial" w:cs="Arial"/>
          <w:sz w:val="22"/>
          <w:szCs w:val="22"/>
        </w:rPr>
        <w:t xml:space="preserve"> Macintyre, 2024).</w:t>
      </w:r>
    </w:p>
    <w:p w14:paraId="16107BEA" w14:textId="24D607CA" w:rsidR="002A2398" w:rsidRDefault="00A84E98" w:rsidP="00497C2D">
      <w:pPr>
        <w:pStyle w:val="NormalWeb"/>
        <w:spacing w:line="360" w:lineRule="auto"/>
        <w:jc w:val="both"/>
        <w:rPr>
          <w:rFonts w:ascii="Arial" w:hAnsi="Arial" w:cs="Arial"/>
          <w:sz w:val="22"/>
          <w:szCs w:val="22"/>
        </w:rPr>
      </w:pPr>
      <w:r w:rsidRPr="00A84E98">
        <w:rPr>
          <w:rStyle w:val="Strong"/>
          <w:rFonts w:ascii="Arial" w:eastAsiaTheme="majorEastAsia" w:hAnsi="Arial" w:cs="Arial"/>
          <w:sz w:val="22"/>
          <w:szCs w:val="22"/>
        </w:rPr>
        <w:t>Recommendation 3 –</w:t>
      </w:r>
      <w:r w:rsidRPr="00A84E98">
        <w:rPr>
          <w:rFonts w:ascii="Arial" w:hAnsi="Arial" w:cs="Arial"/>
          <w:sz w:val="22"/>
          <w:szCs w:val="22"/>
        </w:rPr>
        <w:t xml:space="preserve"> Health system metrics should prioritise prevention, wellbeing, and healthy life expectancy rather than treatment outputs. Disaggregated data would better align with SDG 3 and reveal structural disparities (WHO, 2024a).</w:t>
      </w:r>
    </w:p>
    <w:p w14:paraId="5B4CC419" w14:textId="77777777" w:rsidR="00497C2D" w:rsidRPr="00497C2D" w:rsidRDefault="00497C2D" w:rsidP="00497C2D">
      <w:pPr>
        <w:pStyle w:val="NormalWeb"/>
        <w:spacing w:line="360" w:lineRule="auto"/>
        <w:jc w:val="both"/>
        <w:rPr>
          <w:rFonts w:ascii="Arial" w:hAnsi="Arial" w:cs="Arial"/>
          <w:sz w:val="22"/>
          <w:szCs w:val="22"/>
        </w:rPr>
      </w:pPr>
    </w:p>
    <w:p w14:paraId="4BFE2001" w14:textId="3C5913B0" w:rsidR="00BB7517" w:rsidRPr="00525741" w:rsidRDefault="00B17DF7" w:rsidP="00EC3555">
      <w:pPr>
        <w:spacing w:before="100" w:beforeAutospacing="1" w:after="100" w:afterAutospacing="1" w:line="360" w:lineRule="auto"/>
        <w:jc w:val="both"/>
        <w:outlineLvl w:val="0"/>
        <w:rPr>
          <w:rFonts w:ascii="Arial" w:eastAsia="Times New Roman" w:hAnsi="Arial" w:cs="Arial"/>
          <w:b/>
          <w:bCs/>
          <w:kern w:val="0"/>
          <w:sz w:val="32"/>
          <w:szCs w:val="32"/>
          <w:lang w:eastAsia="en-GB"/>
          <w14:ligatures w14:val="none"/>
        </w:rPr>
      </w:pPr>
      <w:r w:rsidRPr="00F4519C">
        <w:rPr>
          <w:rFonts w:ascii="Arial" w:eastAsia="Times New Roman" w:hAnsi="Arial" w:cs="Arial"/>
          <w:b/>
          <w:bCs/>
          <w:kern w:val="36"/>
          <w:sz w:val="36"/>
          <w:szCs w:val="36"/>
          <w:lang w:eastAsia="en-GB"/>
          <w14:ligatures w14:val="none"/>
        </w:rPr>
        <w:lastRenderedPageBreak/>
        <w:t>Part 2:</w:t>
      </w:r>
      <w:r w:rsidRPr="00525741">
        <w:rPr>
          <w:rFonts w:ascii="Arial" w:eastAsia="Times New Roman" w:hAnsi="Arial" w:cs="Arial"/>
          <w:b/>
          <w:bCs/>
          <w:kern w:val="36"/>
          <w:sz w:val="32"/>
          <w:szCs w:val="32"/>
          <w:lang w:eastAsia="en-GB"/>
          <w14:ligatures w14:val="none"/>
        </w:rPr>
        <w:t xml:space="preserve"> </w:t>
      </w:r>
      <w:r w:rsidR="00BB7517" w:rsidRPr="00525741">
        <w:rPr>
          <w:rFonts w:ascii="Arial" w:eastAsia="Times New Roman" w:hAnsi="Arial" w:cs="Arial"/>
          <w:b/>
          <w:bCs/>
          <w:kern w:val="0"/>
          <w:sz w:val="32"/>
          <w:szCs w:val="32"/>
          <w:lang w:eastAsia="en-GB"/>
          <w14:ligatures w14:val="none"/>
        </w:rPr>
        <w:t>Impact of SDG 11 on Health and Wellbeing</w:t>
      </w:r>
    </w:p>
    <w:p w14:paraId="43A5C80F" w14:textId="2A676DAD" w:rsidR="004D76ED" w:rsidRPr="00ED0549" w:rsidRDefault="00525741" w:rsidP="004D76ED">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r w:rsidRPr="00ED0549">
        <w:rPr>
          <w:rFonts w:ascii="Arial" w:eastAsia="Times New Roman" w:hAnsi="Arial" w:cs="Arial"/>
          <w:b/>
          <w:bCs/>
          <w:kern w:val="0"/>
          <w:sz w:val="28"/>
          <w:szCs w:val="28"/>
          <w:lang w:eastAsia="en-GB"/>
          <w14:ligatures w14:val="none"/>
        </w:rPr>
        <w:t xml:space="preserve">2.1 </w:t>
      </w:r>
      <w:r w:rsidR="004D76ED" w:rsidRPr="00ED0549">
        <w:rPr>
          <w:rFonts w:ascii="Arial" w:eastAsia="Times New Roman" w:hAnsi="Arial" w:cs="Arial"/>
          <w:b/>
          <w:bCs/>
          <w:kern w:val="0"/>
          <w:sz w:val="28"/>
          <w:szCs w:val="28"/>
          <w:lang w:eastAsia="en-GB"/>
          <w14:ligatures w14:val="none"/>
        </w:rPr>
        <w:t>Overview of SDG 11</w:t>
      </w:r>
      <w:r w:rsidRPr="00ED0549">
        <w:rPr>
          <w:rFonts w:ascii="Arial" w:eastAsia="Times New Roman" w:hAnsi="Arial" w:cs="Arial"/>
          <w:b/>
          <w:bCs/>
          <w:kern w:val="0"/>
          <w:sz w:val="28"/>
          <w:szCs w:val="28"/>
          <w:lang w:eastAsia="en-GB"/>
          <w14:ligatures w14:val="none"/>
        </w:rPr>
        <w:t>:</w:t>
      </w:r>
    </w:p>
    <w:p w14:paraId="1029FE0D" w14:textId="3B31FC5A" w:rsidR="00911859" w:rsidRPr="007841A8" w:rsidRDefault="007841A8" w:rsidP="00B17DF7">
      <w:pPr>
        <w:spacing w:before="100" w:beforeAutospacing="1" w:after="100" w:afterAutospacing="1" w:line="360" w:lineRule="auto"/>
        <w:jc w:val="both"/>
        <w:outlineLvl w:val="1"/>
        <w:rPr>
          <w:rFonts w:ascii="Arial" w:hAnsi="Arial" w:cs="Arial"/>
        </w:rPr>
      </w:pPr>
      <w:r w:rsidRPr="007841A8">
        <w:rPr>
          <w:rFonts w:ascii="Arial" w:hAnsi="Arial" w:cs="Arial"/>
        </w:rPr>
        <w:t xml:space="preserve">Sustainable Development Goal 11 aims to make cities and human settlements inclusive, safe, resilient, and sustainable (United Nations, 2015). It focuses on affordable housing, sustainable transport, clean air, disaster resilience, green spaces, and inclusive urban planning. As urban populations continue to grow globally, SDG 11 recognises cities as key drivers of environmental sustainability, economic development, and public health. </w:t>
      </w:r>
      <w:r w:rsidR="00911859" w:rsidRPr="007841A8">
        <w:rPr>
          <w:rFonts w:ascii="Arial" w:hAnsi="Arial" w:cs="Arial"/>
        </w:rPr>
        <w:t>Urban conditions shape exposure to pollution, poor housing, climate risks, and limited green space, affecting physical and mental health. Air pollution alone causes around 7 million premature deaths annually, highlighting the strong link between SDG 11 and public health (WHO, 2023).</w:t>
      </w:r>
    </w:p>
    <w:p w14:paraId="23B99BC5" w14:textId="66240D95" w:rsidR="00B17DF7" w:rsidRPr="00ED0549" w:rsidRDefault="00B17DF7" w:rsidP="00B17DF7">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r w:rsidRPr="00ED0549">
        <w:rPr>
          <w:rFonts w:ascii="Arial" w:eastAsia="Times New Roman" w:hAnsi="Arial" w:cs="Arial"/>
          <w:b/>
          <w:bCs/>
          <w:kern w:val="0"/>
          <w:sz w:val="28"/>
          <w:szCs w:val="28"/>
          <w:lang w:eastAsia="en-GB"/>
          <w14:ligatures w14:val="none"/>
        </w:rPr>
        <w:t>2.</w:t>
      </w:r>
      <w:r w:rsidR="00525741" w:rsidRPr="00ED0549">
        <w:rPr>
          <w:rFonts w:ascii="Arial" w:eastAsia="Times New Roman" w:hAnsi="Arial" w:cs="Arial"/>
          <w:b/>
          <w:bCs/>
          <w:kern w:val="0"/>
          <w:sz w:val="28"/>
          <w:szCs w:val="28"/>
          <w:lang w:eastAsia="en-GB"/>
          <w14:ligatures w14:val="none"/>
        </w:rPr>
        <w:t>2</w:t>
      </w:r>
      <w:r w:rsidRPr="00ED0549">
        <w:rPr>
          <w:rFonts w:ascii="Arial" w:eastAsia="Times New Roman" w:hAnsi="Arial" w:cs="Arial"/>
          <w:b/>
          <w:bCs/>
          <w:kern w:val="0"/>
          <w:sz w:val="28"/>
          <w:szCs w:val="28"/>
          <w:lang w:eastAsia="en-GB"/>
          <w14:ligatures w14:val="none"/>
        </w:rPr>
        <w:t xml:space="preserve"> Global Framework: Urbanisation, Sustainability and Health</w:t>
      </w:r>
      <w:r w:rsidR="00617A1A" w:rsidRPr="00ED0549">
        <w:rPr>
          <w:rFonts w:ascii="Arial" w:eastAsia="Times New Roman" w:hAnsi="Arial" w:cs="Arial"/>
          <w:b/>
          <w:bCs/>
          <w:kern w:val="0"/>
          <w:sz w:val="28"/>
          <w:szCs w:val="28"/>
          <w:lang w:eastAsia="en-GB"/>
          <w14:ligatures w14:val="none"/>
        </w:rPr>
        <w:t>:</w:t>
      </w:r>
    </w:p>
    <w:p w14:paraId="3D930236" w14:textId="4BD6A7E7" w:rsidR="00F33FFB" w:rsidRPr="00F33FFB" w:rsidRDefault="00F33FFB" w:rsidP="00ED0549">
      <w:pPr>
        <w:spacing w:after="0" w:line="360" w:lineRule="auto"/>
        <w:jc w:val="both"/>
        <w:rPr>
          <w:rFonts w:ascii="Arial" w:hAnsi="Arial" w:cs="Arial"/>
        </w:rPr>
      </w:pPr>
      <w:r w:rsidRPr="00F33FFB">
        <w:rPr>
          <w:rFonts w:ascii="Arial" w:hAnsi="Arial" w:cs="Arial"/>
        </w:rPr>
        <w:t xml:space="preserve">Sustainable Development Goal 11 seeks to make cities inclusive, safe, resilient, and sustainable (United Nations, 2015). With over half of the global population living in urban areas—rising to 68% by 2050—cities are central to sustainability and health (United Nations, 2019). However, rapid urbanisation has increased exposure to overcrowding and environmental hazards (UN-Habitat, 2022). </w:t>
      </w:r>
      <w:r w:rsidR="0059610E">
        <w:rPr>
          <w:rFonts w:ascii="Arial" w:hAnsi="Arial" w:cs="Arial"/>
        </w:rPr>
        <w:t>For example, i</w:t>
      </w:r>
      <w:r w:rsidR="00E60802" w:rsidRPr="00E60802">
        <w:rPr>
          <w:rFonts w:ascii="Arial" w:hAnsi="Arial" w:cs="Arial"/>
        </w:rPr>
        <w:t xml:space="preserve">n </w:t>
      </w:r>
      <w:r w:rsidR="00E60802" w:rsidRPr="00E60802">
        <w:rPr>
          <w:rFonts w:ascii="Arial" w:hAnsi="Arial" w:cs="Arial"/>
          <w:b/>
          <w:bCs/>
        </w:rPr>
        <w:t>Bangladesh</w:t>
      </w:r>
      <w:r w:rsidR="00E60802" w:rsidRPr="00E60802">
        <w:rPr>
          <w:rFonts w:ascii="Arial" w:hAnsi="Arial" w:cs="Arial"/>
        </w:rPr>
        <w:t xml:space="preserve">, rapid urban growth in Dhaka has led to informal settlements and overcrowded housing, increasing environmental health risks (World Bank, 2022). Similarly, severe air pollution in major </w:t>
      </w:r>
      <w:r w:rsidR="00E60802" w:rsidRPr="00E60802">
        <w:rPr>
          <w:rFonts w:ascii="Arial" w:hAnsi="Arial" w:cs="Arial"/>
          <w:b/>
          <w:bCs/>
        </w:rPr>
        <w:t>Indian</w:t>
      </w:r>
      <w:r w:rsidR="00E60802" w:rsidRPr="00E60802">
        <w:rPr>
          <w:rFonts w:ascii="Arial" w:hAnsi="Arial" w:cs="Arial"/>
        </w:rPr>
        <w:t xml:space="preserve"> cities such as Delhi has been linked to rising respiratory diseases (World Health Organization, 2023).</w:t>
      </w:r>
      <w:r w:rsidR="00E60802">
        <w:t xml:space="preserve"> </w:t>
      </w:r>
      <w:r w:rsidRPr="00F33FFB">
        <w:rPr>
          <w:rFonts w:ascii="Arial" w:hAnsi="Arial" w:cs="Arial"/>
        </w:rPr>
        <w:t>Air pollution causes around 7 million premature deaths annually, showing the strong link between environment and health (World Health Organization, 2023). Cities function as complex systems where housing, transport, and governance interact to shape health outcomes</w:t>
      </w:r>
      <w:r w:rsidR="00E207A4">
        <w:rPr>
          <w:rFonts w:ascii="Arial" w:hAnsi="Arial" w:cs="Arial"/>
        </w:rPr>
        <w:t>.</w:t>
      </w:r>
    </w:p>
    <w:p w14:paraId="02B05C09" w14:textId="6E513CB6" w:rsidR="00ED0549" w:rsidRPr="00F505B2" w:rsidRDefault="00ED0549" w:rsidP="00ED0549">
      <w:pPr>
        <w:spacing w:after="0" w:line="360" w:lineRule="auto"/>
        <w:jc w:val="both"/>
        <w:rPr>
          <w:rFonts w:ascii="Arial" w:eastAsia="Times New Roman" w:hAnsi="Arial" w:cs="Arial"/>
          <w:kern w:val="0"/>
          <w:sz w:val="24"/>
          <w:szCs w:val="24"/>
          <w:lang w:eastAsia="en-GB"/>
          <w14:ligatures w14:val="none"/>
        </w:rPr>
      </w:pPr>
      <w:r w:rsidRPr="00EC3555">
        <w:rPr>
          <w:rFonts w:ascii="Arial" w:hAnsi="Arial" w:cs="Arial"/>
        </w:rPr>
        <w:t>The EPA (2023) page contains conceptual diagrams showing green roofs, permeable pavements, tree systems, constructed wetlands, and stormwater retention systems in urban settings.</w:t>
      </w:r>
    </w:p>
    <w:p w14:paraId="42C76FAE" w14:textId="77777777" w:rsidR="00ED0549" w:rsidRPr="00F505B2" w:rsidRDefault="00ED0549" w:rsidP="00ED0549">
      <w:pPr>
        <w:spacing w:after="0" w:line="360" w:lineRule="auto"/>
        <w:jc w:val="center"/>
        <w:rPr>
          <w:rFonts w:ascii="Arial" w:eastAsia="Times New Roman" w:hAnsi="Arial" w:cs="Arial"/>
          <w:kern w:val="0"/>
          <w:sz w:val="24"/>
          <w:szCs w:val="24"/>
          <w:lang w:eastAsia="en-GB"/>
          <w14:ligatures w14:val="none"/>
        </w:rPr>
      </w:pPr>
      <w:r w:rsidRPr="00F505B2">
        <w:rPr>
          <w:rFonts w:ascii="Arial" w:eastAsia="Times New Roman" w:hAnsi="Arial" w:cs="Arial"/>
          <w:noProof/>
          <w:kern w:val="0"/>
          <w:sz w:val="24"/>
          <w:szCs w:val="24"/>
          <w:lang w:eastAsia="en-GB"/>
          <w14:ligatures w14:val="none"/>
        </w:rPr>
        <w:lastRenderedPageBreak/>
        <w:drawing>
          <wp:inline distT="0" distB="0" distL="0" distR="0" wp14:anchorId="3C897640" wp14:editId="7D3D4E94">
            <wp:extent cx="5708967" cy="3438525"/>
            <wp:effectExtent l="0" t="0" r="6350" b="0"/>
            <wp:docPr id="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46825" cy="3461327"/>
                    </a:xfrm>
                    <a:prstGeom prst="rect">
                      <a:avLst/>
                    </a:prstGeom>
                    <a:noFill/>
                    <a:ln>
                      <a:noFill/>
                    </a:ln>
                  </pic:spPr>
                </pic:pic>
              </a:graphicData>
            </a:graphic>
          </wp:inline>
        </w:drawing>
      </w:r>
    </w:p>
    <w:p w14:paraId="78144434" w14:textId="77777777" w:rsidR="00ED0549" w:rsidRPr="000577F9" w:rsidRDefault="00ED0549" w:rsidP="00ED0549">
      <w:pPr>
        <w:spacing w:after="0" w:line="360" w:lineRule="auto"/>
        <w:jc w:val="both"/>
        <w:rPr>
          <w:rStyle w:val="Strong"/>
          <w:rFonts w:ascii="Arial" w:hAnsi="Arial" w:cs="Arial"/>
          <w:b w:val="0"/>
          <w:bCs w:val="0"/>
          <w:sz w:val="20"/>
          <w:szCs w:val="20"/>
        </w:rPr>
      </w:pPr>
      <w:r w:rsidRPr="000577F9">
        <w:rPr>
          <w:rStyle w:val="Strong"/>
          <w:rFonts w:ascii="Arial" w:hAnsi="Arial" w:cs="Arial"/>
          <w:b w:val="0"/>
          <w:bCs w:val="0"/>
          <w:sz w:val="20"/>
          <w:szCs w:val="20"/>
        </w:rPr>
        <w:t>Source: U.S. Environmental Protection Agency (EPA) (2023).</w:t>
      </w:r>
    </w:p>
    <w:p w14:paraId="033C37CF" w14:textId="77777777" w:rsidR="00497C2D" w:rsidRDefault="00497C2D" w:rsidP="00A658DD">
      <w:pPr>
        <w:spacing w:before="100" w:beforeAutospacing="1" w:after="100" w:afterAutospacing="1" w:line="360" w:lineRule="auto"/>
        <w:jc w:val="both"/>
        <w:outlineLvl w:val="1"/>
        <w:rPr>
          <w:rFonts w:ascii="Arial" w:eastAsia="Times New Roman" w:hAnsi="Arial" w:cs="Arial"/>
          <w:kern w:val="0"/>
          <w:lang w:eastAsia="en-GB"/>
          <w14:ligatures w14:val="none"/>
        </w:rPr>
      </w:pPr>
    </w:p>
    <w:p w14:paraId="52B1A43A" w14:textId="1F4D2E12" w:rsidR="00A658DD" w:rsidRPr="002B62E3" w:rsidRDefault="00A658DD" w:rsidP="00A658DD">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r w:rsidRPr="002B62E3">
        <w:rPr>
          <w:rFonts w:ascii="Arial" w:eastAsia="Times New Roman" w:hAnsi="Arial" w:cs="Arial"/>
          <w:b/>
          <w:bCs/>
          <w:kern w:val="0"/>
          <w:sz w:val="28"/>
          <w:szCs w:val="28"/>
          <w:lang w:eastAsia="en-GB"/>
          <w14:ligatures w14:val="none"/>
        </w:rPr>
        <w:t>2.3 National and Local Implementation of SDG 11</w:t>
      </w:r>
      <w:r w:rsidR="009969B9">
        <w:rPr>
          <w:rFonts w:ascii="Arial" w:eastAsia="Times New Roman" w:hAnsi="Arial" w:cs="Arial"/>
          <w:b/>
          <w:bCs/>
          <w:kern w:val="0"/>
          <w:sz w:val="28"/>
          <w:szCs w:val="28"/>
          <w:lang w:eastAsia="en-GB"/>
          <w14:ligatures w14:val="none"/>
        </w:rPr>
        <w:t>:</w:t>
      </w:r>
    </w:p>
    <w:p w14:paraId="687A5590" w14:textId="0D69E9B9" w:rsidR="00A658DD" w:rsidRPr="00497C2D" w:rsidRDefault="002B62E3" w:rsidP="00497C2D">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 xml:space="preserve">2.3.1 </w:t>
      </w:r>
      <w:r w:rsidR="00A658DD" w:rsidRPr="002B62E3">
        <w:rPr>
          <w:rFonts w:ascii="Arial" w:eastAsia="Times New Roman" w:hAnsi="Arial" w:cs="Arial"/>
          <w:b/>
          <w:bCs/>
          <w:kern w:val="0"/>
          <w:sz w:val="24"/>
          <w:szCs w:val="24"/>
          <w:lang w:eastAsia="en-GB"/>
          <w14:ligatures w14:val="none"/>
        </w:rPr>
        <w:t>Air Quality and Environmental Policy</w:t>
      </w:r>
      <w:r w:rsidRPr="002B62E3">
        <w:rPr>
          <w:rFonts w:ascii="Arial" w:eastAsia="Times New Roman" w:hAnsi="Arial" w:cs="Arial"/>
          <w:b/>
          <w:bCs/>
          <w:kern w:val="0"/>
          <w:sz w:val="24"/>
          <w:szCs w:val="24"/>
          <w:lang w:eastAsia="en-GB"/>
          <w14:ligatures w14:val="none"/>
        </w:rPr>
        <w:t>:</w:t>
      </w:r>
      <w:r w:rsidR="00497C2D">
        <w:rPr>
          <w:rFonts w:ascii="Arial" w:eastAsia="Times New Roman" w:hAnsi="Arial" w:cs="Arial"/>
          <w:b/>
          <w:bCs/>
          <w:kern w:val="0"/>
          <w:sz w:val="24"/>
          <w:szCs w:val="24"/>
          <w:lang w:eastAsia="en-GB"/>
          <w14:ligatures w14:val="none"/>
        </w:rPr>
        <w:t xml:space="preserve"> </w:t>
      </w:r>
      <w:r w:rsidR="00A658DD" w:rsidRPr="002B62E3">
        <w:rPr>
          <w:rFonts w:ascii="Arial" w:eastAsia="Times New Roman" w:hAnsi="Arial" w:cs="Arial"/>
          <w:kern w:val="0"/>
          <w:lang w:eastAsia="en-GB"/>
          <w14:ligatures w14:val="none"/>
        </w:rPr>
        <w:t xml:space="preserve">The UK has introduced several policy initiatives aimed at improving urban environmental conditions. Clean Air Zones implemented in cities such as </w:t>
      </w:r>
      <w:r w:rsidR="00A658DD" w:rsidRPr="00245306">
        <w:rPr>
          <w:rFonts w:ascii="Arial" w:eastAsia="Times New Roman" w:hAnsi="Arial" w:cs="Arial"/>
          <w:b/>
          <w:bCs/>
          <w:kern w:val="0"/>
          <w:lang w:eastAsia="en-GB"/>
          <w14:ligatures w14:val="none"/>
        </w:rPr>
        <w:t>London and Birmingham</w:t>
      </w:r>
      <w:r w:rsidR="00A658DD" w:rsidRPr="002B62E3">
        <w:rPr>
          <w:rFonts w:ascii="Arial" w:eastAsia="Times New Roman" w:hAnsi="Arial" w:cs="Arial"/>
          <w:kern w:val="0"/>
          <w:lang w:eastAsia="en-GB"/>
          <w14:ligatures w14:val="none"/>
        </w:rPr>
        <w:t xml:space="preserve"> have contributed to measurable reductions in nitrogen dioxide levels (WHO, 202</w:t>
      </w:r>
      <w:r w:rsidR="00772A0F">
        <w:rPr>
          <w:rFonts w:ascii="Arial" w:eastAsia="Times New Roman" w:hAnsi="Arial" w:cs="Arial"/>
          <w:kern w:val="0"/>
          <w:lang w:eastAsia="en-GB"/>
          <w14:ligatures w14:val="none"/>
        </w:rPr>
        <w:t>0</w:t>
      </w:r>
      <w:r w:rsidR="00A658DD" w:rsidRPr="002B62E3">
        <w:rPr>
          <w:rFonts w:ascii="Arial" w:eastAsia="Times New Roman" w:hAnsi="Arial" w:cs="Arial"/>
          <w:kern w:val="0"/>
          <w:lang w:eastAsia="en-GB"/>
          <w14:ligatures w14:val="none"/>
        </w:rPr>
        <w:t>). These improvements demonstrate the potential health benefits of urban environmental regulation.</w:t>
      </w:r>
      <w:r>
        <w:rPr>
          <w:rFonts w:ascii="Arial" w:eastAsia="Times New Roman" w:hAnsi="Arial" w:cs="Arial"/>
          <w:kern w:val="0"/>
          <w:lang w:eastAsia="en-GB"/>
          <w14:ligatures w14:val="none"/>
        </w:rPr>
        <w:t xml:space="preserve"> </w:t>
      </w:r>
      <w:r w:rsidR="00A658DD" w:rsidRPr="002B62E3">
        <w:rPr>
          <w:rFonts w:ascii="Arial" w:eastAsia="Times New Roman" w:hAnsi="Arial" w:cs="Arial"/>
          <w:kern w:val="0"/>
          <w:lang w:eastAsia="en-GB"/>
          <w14:ligatures w14:val="none"/>
        </w:rPr>
        <w:t>However, concerns have been raised regarding the potential social impact of these policies. Charges associated with Clean Air Zones may disproportionately affect lower-income drivers, potentially exacerbating existing inequalities (Transport Select Committee, 2023).</w:t>
      </w:r>
    </w:p>
    <w:p w14:paraId="57E14F64" w14:textId="379C78FD" w:rsidR="00A658DD" w:rsidRPr="00762141" w:rsidRDefault="002B62E3" w:rsidP="009969B9">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2B62E3">
        <w:rPr>
          <w:rFonts w:ascii="Arial" w:eastAsia="Times New Roman" w:hAnsi="Arial" w:cs="Arial"/>
          <w:b/>
          <w:bCs/>
          <w:kern w:val="0"/>
          <w:sz w:val="24"/>
          <w:szCs w:val="24"/>
          <w:lang w:eastAsia="en-GB"/>
          <w14:ligatures w14:val="none"/>
        </w:rPr>
        <w:t xml:space="preserve">2.3.2 </w:t>
      </w:r>
      <w:r w:rsidR="00A658DD" w:rsidRPr="002B62E3">
        <w:rPr>
          <w:rFonts w:ascii="Arial" w:eastAsia="Times New Roman" w:hAnsi="Arial" w:cs="Arial"/>
          <w:b/>
          <w:bCs/>
          <w:kern w:val="0"/>
          <w:sz w:val="24"/>
          <w:szCs w:val="24"/>
          <w:lang w:eastAsia="en-GB"/>
          <w14:ligatures w14:val="none"/>
        </w:rPr>
        <w:t>Housing and Urban Health</w:t>
      </w:r>
      <w:r w:rsidRPr="002B62E3">
        <w:rPr>
          <w:rFonts w:ascii="Arial" w:eastAsia="Times New Roman" w:hAnsi="Arial" w:cs="Arial"/>
          <w:b/>
          <w:bCs/>
          <w:kern w:val="0"/>
          <w:sz w:val="24"/>
          <w:szCs w:val="24"/>
          <w:lang w:eastAsia="en-GB"/>
          <w14:ligatures w14:val="none"/>
        </w:rPr>
        <w:t>:</w:t>
      </w:r>
      <w:r w:rsidR="009969B9">
        <w:rPr>
          <w:rFonts w:ascii="Arial" w:eastAsia="Times New Roman" w:hAnsi="Arial" w:cs="Arial"/>
          <w:b/>
          <w:bCs/>
          <w:kern w:val="0"/>
          <w:sz w:val="24"/>
          <w:szCs w:val="24"/>
          <w:lang w:eastAsia="en-GB"/>
          <w14:ligatures w14:val="none"/>
        </w:rPr>
        <w:t xml:space="preserve"> </w:t>
      </w:r>
      <w:r w:rsidR="00A658DD" w:rsidRPr="00E60802">
        <w:rPr>
          <w:rFonts w:ascii="Arial" w:eastAsia="Times New Roman" w:hAnsi="Arial" w:cs="Arial"/>
          <w:kern w:val="0"/>
          <w:lang w:eastAsia="en-GB"/>
          <w14:ligatures w14:val="none"/>
        </w:rPr>
        <w:t>Housing quality represents another major determinant of health. Poor housing conditions are associated with respiratory illnesses, mental distress and increased winter mortality (UK Health Security Agency, 2023). In the UK, more than 80% of the population lives in urban areas, highlighting the importance of housing policy for population health outcomes (Shelter, 2023).</w:t>
      </w:r>
      <w:r w:rsidR="00762141" w:rsidRPr="00762141">
        <w:t xml:space="preserve"> </w:t>
      </w:r>
      <w:r w:rsidR="00762141" w:rsidRPr="00762141">
        <w:rPr>
          <w:rFonts w:ascii="Arial" w:hAnsi="Arial" w:cs="Arial"/>
        </w:rPr>
        <w:t xml:space="preserve">For example, in </w:t>
      </w:r>
      <w:r w:rsidR="00762141" w:rsidRPr="00E60802">
        <w:rPr>
          <w:rFonts w:ascii="Arial" w:hAnsi="Arial" w:cs="Arial"/>
          <w:b/>
          <w:bCs/>
        </w:rPr>
        <w:t>Birmingham,</w:t>
      </w:r>
      <w:r w:rsidR="00762141" w:rsidRPr="00762141">
        <w:rPr>
          <w:rFonts w:ascii="Arial" w:hAnsi="Arial" w:cs="Arial"/>
        </w:rPr>
        <w:t xml:space="preserve"> poor housing and overcrowding remain key issues in deprived areas, contributing to urban health inequalities (Birmingham City Council, 2023). Substandard housing has also been linked to higher rates of respiratory illness and poorer mental wellbeing (Public Health England, 202</w:t>
      </w:r>
      <w:r w:rsidR="004C79DE">
        <w:rPr>
          <w:rFonts w:ascii="Arial" w:hAnsi="Arial" w:cs="Arial"/>
        </w:rPr>
        <w:t>1</w:t>
      </w:r>
      <w:r w:rsidR="00762141" w:rsidRPr="00762141">
        <w:rPr>
          <w:rFonts w:ascii="Arial" w:hAnsi="Arial" w:cs="Arial"/>
        </w:rPr>
        <w:t>).</w:t>
      </w:r>
    </w:p>
    <w:p w14:paraId="5D1FD473" w14:textId="29AF9C2E" w:rsidR="00A658DD" w:rsidRPr="009969B9" w:rsidRDefault="002B62E3" w:rsidP="009969B9">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2B62E3">
        <w:rPr>
          <w:rFonts w:ascii="Arial" w:eastAsia="Times New Roman" w:hAnsi="Arial" w:cs="Arial"/>
          <w:b/>
          <w:bCs/>
          <w:kern w:val="0"/>
          <w:sz w:val="24"/>
          <w:szCs w:val="24"/>
          <w:lang w:eastAsia="en-GB"/>
          <w14:ligatures w14:val="none"/>
        </w:rPr>
        <w:lastRenderedPageBreak/>
        <w:t xml:space="preserve">2.3.3 </w:t>
      </w:r>
      <w:r w:rsidR="00A658DD" w:rsidRPr="002B62E3">
        <w:rPr>
          <w:rFonts w:ascii="Arial" w:eastAsia="Times New Roman" w:hAnsi="Arial" w:cs="Arial"/>
          <w:b/>
          <w:bCs/>
          <w:kern w:val="0"/>
          <w:sz w:val="24"/>
          <w:szCs w:val="24"/>
          <w:lang w:eastAsia="en-GB"/>
          <w14:ligatures w14:val="none"/>
        </w:rPr>
        <w:t>Transport and Physical Activity</w:t>
      </w:r>
      <w:r w:rsidRPr="002B62E3">
        <w:rPr>
          <w:rFonts w:ascii="Arial" w:eastAsia="Times New Roman" w:hAnsi="Arial" w:cs="Arial"/>
          <w:b/>
          <w:bCs/>
          <w:kern w:val="0"/>
          <w:sz w:val="24"/>
          <w:szCs w:val="24"/>
          <w:lang w:eastAsia="en-GB"/>
          <w14:ligatures w14:val="none"/>
        </w:rPr>
        <w:t>:</w:t>
      </w:r>
      <w:r w:rsidR="009969B9">
        <w:rPr>
          <w:rFonts w:ascii="Arial" w:eastAsia="Times New Roman" w:hAnsi="Arial" w:cs="Arial"/>
          <w:b/>
          <w:bCs/>
          <w:kern w:val="0"/>
          <w:sz w:val="24"/>
          <w:szCs w:val="24"/>
          <w:lang w:eastAsia="en-GB"/>
          <w14:ligatures w14:val="none"/>
        </w:rPr>
        <w:t xml:space="preserve"> </w:t>
      </w:r>
      <w:r w:rsidR="00A658DD" w:rsidRPr="009B7728">
        <w:rPr>
          <w:rFonts w:ascii="Arial" w:eastAsia="Times New Roman" w:hAnsi="Arial" w:cs="Arial"/>
          <w:kern w:val="0"/>
          <w:sz w:val="24"/>
          <w:szCs w:val="24"/>
          <w:lang w:eastAsia="en-GB"/>
          <w14:ligatures w14:val="none"/>
        </w:rPr>
        <w:t>Urban transport policies promoting walking and cycling contribute to improved physical activity levels and reduced risk of cardiovascular disease (Sustrans, 2022). Access to urban green spaces also improves mental wellbeing and reduces mortality rates (WHO Europe, 2021). However, access to these benefits remains uneven, with deprived communities often experiencing limited access to safe transport infrastructure and green environments (IPCC, 2022).</w:t>
      </w:r>
    </w:p>
    <w:p w14:paraId="6CA4831E" w14:textId="1943E090" w:rsidR="00A658DD" w:rsidRPr="009969B9" w:rsidRDefault="002B62E3" w:rsidP="009969B9">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2B62E3">
        <w:rPr>
          <w:rFonts w:ascii="Arial" w:eastAsia="Times New Roman" w:hAnsi="Arial" w:cs="Arial"/>
          <w:b/>
          <w:bCs/>
          <w:kern w:val="0"/>
          <w:sz w:val="24"/>
          <w:szCs w:val="24"/>
          <w:lang w:eastAsia="en-GB"/>
          <w14:ligatures w14:val="none"/>
        </w:rPr>
        <w:t xml:space="preserve">2.3.4 </w:t>
      </w:r>
      <w:r w:rsidR="00A658DD" w:rsidRPr="002B62E3">
        <w:rPr>
          <w:rFonts w:ascii="Arial" w:eastAsia="Times New Roman" w:hAnsi="Arial" w:cs="Arial"/>
          <w:b/>
          <w:bCs/>
          <w:kern w:val="0"/>
          <w:sz w:val="24"/>
          <w:szCs w:val="24"/>
          <w:lang w:eastAsia="en-GB"/>
          <w14:ligatures w14:val="none"/>
        </w:rPr>
        <w:t>Governance Challenges</w:t>
      </w:r>
      <w:r w:rsidRPr="002B62E3">
        <w:rPr>
          <w:rFonts w:ascii="Arial" w:eastAsia="Times New Roman" w:hAnsi="Arial" w:cs="Arial"/>
          <w:b/>
          <w:bCs/>
          <w:kern w:val="0"/>
          <w:sz w:val="24"/>
          <w:szCs w:val="24"/>
          <w:lang w:eastAsia="en-GB"/>
          <w14:ligatures w14:val="none"/>
        </w:rPr>
        <w:t>:</w:t>
      </w:r>
      <w:r w:rsidR="009969B9">
        <w:rPr>
          <w:rFonts w:ascii="Arial" w:eastAsia="Times New Roman" w:hAnsi="Arial" w:cs="Arial"/>
          <w:b/>
          <w:bCs/>
          <w:kern w:val="0"/>
          <w:sz w:val="24"/>
          <w:szCs w:val="24"/>
          <w:lang w:eastAsia="en-GB"/>
          <w14:ligatures w14:val="none"/>
        </w:rPr>
        <w:t xml:space="preserve"> </w:t>
      </w:r>
      <w:r w:rsidR="00A658DD" w:rsidRPr="009B7728">
        <w:rPr>
          <w:rFonts w:ascii="Arial" w:eastAsia="Times New Roman" w:hAnsi="Arial" w:cs="Arial"/>
          <w:kern w:val="0"/>
          <w:sz w:val="24"/>
          <w:szCs w:val="24"/>
          <w:lang w:eastAsia="en-GB"/>
          <w14:ligatures w14:val="none"/>
        </w:rPr>
        <w:t>Despite policy initiatives, fragmented governance structures remain a significant barrier to effective implementation. Responsibilities for urban planning, environmental regulation and public health are often divided across multiple institutions with limited coordination. This fragmentation reduces the effectiveness of integrated strategies linking urban development and health.</w:t>
      </w:r>
    </w:p>
    <w:p w14:paraId="588F04A4" w14:textId="09919A40" w:rsidR="00873448" w:rsidRPr="00B40A72" w:rsidRDefault="00A23D8A" w:rsidP="00873448">
      <w:pPr>
        <w:spacing w:before="100" w:beforeAutospacing="1" w:after="100" w:afterAutospacing="1" w:line="240" w:lineRule="auto"/>
        <w:outlineLvl w:val="2"/>
        <w:rPr>
          <w:rFonts w:ascii="Arial" w:hAnsi="Arial" w:cs="Arial"/>
          <w:sz w:val="24"/>
          <w:szCs w:val="24"/>
        </w:rPr>
      </w:pPr>
      <w:r w:rsidRPr="00B40A72">
        <w:rPr>
          <w:rFonts w:ascii="Arial" w:eastAsia="Times New Roman" w:hAnsi="Arial" w:cs="Arial"/>
          <w:b/>
          <w:bCs/>
          <w:kern w:val="0"/>
          <w:sz w:val="24"/>
          <w:szCs w:val="24"/>
          <w:lang w:eastAsia="en-GB"/>
          <w14:ligatures w14:val="none"/>
        </w:rPr>
        <w:t xml:space="preserve">2.4 </w:t>
      </w:r>
      <w:r w:rsidR="00873448" w:rsidRPr="00B40A72">
        <w:rPr>
          <w:rFonts w:ascii="Arial" w:eastAsia="Times New Roman" w:hAnsi="Arial" w:cs="Arial"/>
          <w:b/>
          <w:bCs/>
          <w:kern w:val="0"/>
          <w:sz w:val="24"/>
          <w:szCs w:val="24"/>
          <w:lang w:eastAsia="en-GB"/>
          <w14:ligatures w14:val="none"/>
        </w:rPr>
        <w:t>Use of Theories Incorporated into the Evaluation</w:t>
      </w:r>
      <w:r w:rsidR="00766175" w:rsidRPr="00B40A72">
        <w:rPr>
          <w:rFonts w:ascii="Arial" w:eastAsia="Times New Roman" w:hAnsi="Arial" w:cs="Arial"/>
          <w:b/>
          <w:bCs/>
          <w:kern w:val="0"/>
          <w:sz w:val="24"/>
          <w:szCs w:val="24"/>
          <w:lang w:eastAsia="en-GB"/>
          <w14:ligatures w14:val="none"/>
        </w:rPr>
        <w:t xml:space="preserve"> (SDG11):</w:t>
      </w:r>
    </w:p>
    <w:p w14:paraId="493269A9" w14:textId="559D54F7" w:rsidR="00ED0549" w:rsidRPr="009B2FF0" w:rsidRDefault="00766175" w:rsidP="009B2FF0">
      <w:pPr>
        <w:pStyle w:val="Heading1"/>
        <w:spacing w:line="360" w:lineRule="auto"/>
        <w:jc w:val="both"/>
        <w:rPr>
          <w:rFonts w:ascii="Arial" w:hAnsi="Arial" w:cs="Arial"/>
          <w:color w:val="auto"/>
          <w:sz w:val="22"/>
          <w:szCs w:val="22"/>
        </w:rPr>
      </w:pPr>
      <w:r w:rsidRPr="00766175">
        <w:rPr>
          <w:rFonts w:ascii="Arial" w:hAnsi="Arial" w:cs="Arial"/>
          <w:color w:val="auto"/>
          <w:sz w:val="22"/>
          <w:szCs w:val="22"/>
        </w:rPr>
        <w:t xml:space="preserve">The Social Determinants of Health framework underpins evaluation of </w:t>
      </w:r>
      <w:r w:rsidRPr="00766175">
        <w:rPr>
          <w:rStyle w:val="Strong"/>
          <w:rFonts w:ascii="Arial" w:hAnsi="Arial" w:cs="Arial"/>
          <w:color w:val="auto"/>
          <w:sz w:val="22"/>
          <w:szCs w:val="22"/>
        </w:rPr>
        <w:t>SDG 11</w:t>
      </w:r>
      <w:r w:rsidRPr="00766175">
        <w:rPr>
          <w:rFonts w:ascii="Arial" w:hAnsi="Arial" w:cs="Arial"/>
          <w:color w:val="auto"/>
          <w:sz w:val="22"/>
          <w:szCs w:val="22"/>
        </w:rPr>
        <w:t>, identifying housing and environmental conditions as upstream health drivers and framing urban planning as health policy (Marmot et al., 2020). Systems theory highlights interconnected urban feedback loops while Health in All Policies promotes cross-sector integration despite fragmented UK implementation (WHO, 20</w:t>
      </w:r>
      <w:r w:rsidR="00772A0F">
        <w:rPr>
          <w:rFonts w:ascii="Arial" w:hAnsi="Arial" w:cs="Arial"/>
          <w:color w:val="auto"/>
          <w:sz w:val="22"/>
          <w:szCs w:val="22"/>
        </w:rPr>
        <w:t>20</w:t>
      </w:r>
      <w:r w:rsidRPr="00766175">
        <w:rPr>
          <w:rFonts w:ascii="Arial" w:hAnsi="Arial" w:cs="Arial"/>
          <w:color w:val="auto"/>
          <w:sz w:val="22"/>
          <w:szCs w:val="22"/>
        </w:rPr>
        <w:t>). Social Cognitive Theory informs active travel, though behavioural approaches remain limited without structural reform (Bandura, 1986).</w:t>
      </w:r>
    </w:p>
    <w:p w14:paraId="0CF23C0A" w14:textId="77777777" w:rsidR="009B2FF0" w:rsidRPr="00B40A72" w:rsidRDefault="009B2FF0" w:rsidP="009B2FF0">
      <w:pPr>
        <w:rPr>
          <w:sz w:val="24"/>
          <w:szCs w:val="24"/>
        </w:rPr>
      </w:pPr>
    </w:p>
    <w:p w14:paraId="6C374E3D" w14:textId="2F16EC70" w:rsidR="005F2690" w:rsidRPr="00B40A72" w:rsidRDefault="00B40A72" w:rsidP="009770E6">
      <w:pPr>
        <w:pStyle w:val="Heading2"/>
        <w:spacing w:line="360" w:lineRule="auto"/>
        <w:jc w:val="both"/>
        <w:rPr>
          <w:rFonts w:ascii="Arial" w:hAnsi="Arial" w:cs="Arial"/>
          <w:b/>
          <w:bCs/>
          <w:color w:val="auto"/>
          <w:sz w:val="24"/>
          <w:szCs w:val="24"/>
        </w:rPr>
      </w:pPr>
      <w:r w:rsidRPr="00B40A72">
        <w:rPr>
          <w:rFonts w:ascii="Arial" w:hAnsi="Arial" w:cs="Arial"/>
          <w:b/>
          <w:bCs/>
          <w:color w:val="auto"/>
          <w:sz w:val="24"/>
          <w:szCs w:val="24"/>
        </w:rPr>
        <w:t>2.5 Interlinking</w:t>
      </w:r>
      <w:r w:rsidR="005F2690" w:rsidRPr="00B40A72">
        <w:rPr>
          <w:rFonts w:ascii="Arial" w:hAnsi="Arial" w:cs="Arial"/>
          <w:b/>
          <w:bCs/>
          <w:color w:val="auto"/>
          <w:sz w:val="24"/>
          <w:szCs w:val="24"/>
        </w:rPr>
        <w:t xml:space="preserve"> SDG 3 and SDG 11: A Systems Perspective:</w:t>
      </w:r>
    </w:p>
    <w:p w14:paraId="15F9D52F" w14:textId="77777777" w:rsidR="00A658DD" w:rsidRPr="00A658DD" w:rsidRDefault="00A658DD" w:rsidP="00A658DD">
      <w:pPr>
        <w:pStyle w:val="NormalWeb"/>
        <w:spacing w:line="360" w:lineRule="auto"/>
        <w:jc w:val="both"/>
        <w:rPr>
          <w:rFonts w:ascii="Arial" w:hAnsi="Arial" w:cs="Arial"/>
          <w:sz w:val="22"/>
          <w:szCs w:val="22"/>
        </w:rPr>
      </w:pPr>
      <w:r w:rsidRPr="00A658DD">
        <w:rPr>
          <w:rFonts w:ascii="Arial" w:hAnsi="Arial" w:cs="Arial"/>
          <w:sz w:val="22"/>
          <w:szCs w:val="22"/>
        </w:rPr>
        <w:t>SDG 3 and SDG 11 are fundamentally interconnected because urban environments shape many determinants of health. Housing quality, transport infrastructure, environmental conditions and access to green spaces all influence physical and mental wellbeing (Jano Reiss et al., 2022). The COVID-19 pandemic further demonstrated the importance of these factors, as higher mortality rates were observed in deprived urban communities (Bambra et al., 2020).</w:t>
      </w:r>
    </w:p>
    <w:p w14:paraId="2392B6E7" w14:textId="77777777" w:rsidR="00762141" w:rsidRDefault="00A658DD" w:rsidP="00762141">
      <w:pPr>
        <w:pStyle w:val="NormalWeb"/>
        <w:spacing w:line="360" w:lineRule="auto"/>
        <w:jc w:val="both"/>
        <w:rPr>
          <w:rFonts w:ascii="Arial" w:hAnsi="Arial" w:cs="Arial"/>
          <w:sz w:val="22"/>
          <w:szCs w:val="22"/>
        </w:rPr>
      </w:pPr>
      <w:r w:rsidRPr="00A658DD">
        <w:rPr>
          <w:rFonts w:ascii="Arial" w:hAnsi="Arial" w:cs="Arial"/>
          <w:sz w:val="22"/>
          <w:szCs w:val="22"/>
        </w:rPr>
        <w:t>However, fragmented governance structures and inconsistent policy implementation continue to limit coordinated action addressing these interconnected determinants (Dahlgren and Whitehead, 1991).</w:t>
      </w:r>
    </w:p>
    <w:p w14:paraId="280B19F0" w14:textId="77777777" w:rsidR="0059610E" w:rsidRDefault="0059610E" w:rsidP="00762141">
      <w:pPr>
        <w:pStyle w:val="NormalWeb"/>
        <w:spacing w:line="360" w:lineRule="auto"/>
        <w:jc w:val="both"/>
        <w:rPr>
          <w:rFonts w:ascii="Arial" w:hAnsi="Arial" w:cs="Arial"/>
          <w:sz w:val="22"/>
          <w:szCs w:val="22"/>
        </w:rPr>
      </w:pPr>
    </w:p>
    <w:p w14:paraId="0377322B" w14:textId="77777777" w:rsidR="0059610E" w:rsidRDefault="0059610E" w:rsidP="00762141">
      <w:pPr>
        <w:pStyle w:val="NormalWeb"/>
        <w:spacing w:line="360" w:lineRule="auto"/>
        <w:jc w:val="both"/>
        <w:rPr>
          <w:rFonts w:ascii="Arial" w:hAnsi="Arial" w:cs="Arial"/>
          <w:sz w:val="22"/>
          <w:szCs w:val="22"/>
        </w:rPr>
      </w:pPr>
    </w:p>
    <w:p w14:paraId="001B5E84" w14:textId="7EF1F6B7" w:rsidR="009B2FF0" w:rsidRPr="00762141" w:rsidRDefault="00B40A72" w:rsidP="00762141">
      <w:pPr>
        <w:pStyle w:val="NormalWeb"/>
        <w:spacing w:line="360" w:lineRule="auto"/>
        <w:jc w:val="both"/>
        <w:rPr>
          <w:rFonts w:ascii="Arial" w:hAnsi="Arial" w:cs="Arial"/>
          <w:sz w:val="22"/>
          <w:szCs w:val="22"/>
        </w:rPr>
      </w:pPr>
      <w:r w:rsidRPr="00B40A72">
        <w:rPr>
          <w:rFonts w:ascii="Arial" w:hAnsi="Arial" w:cs="Arial"/>
          <w:b/>
          <w:bCs/>
        </w:rPr>
        <w:lastRenderedPageBreak/>
        <w:t xml:space="preserve">2.6 </w:t>
      </w:r>
      <w:r w:rsidR="004E2F4F" w:rsidRPr="00B40A72">
        <w:rPr>
          <w:rFonts w:ascii="Arial" w:hAnsi="Arial" w:cs="Arial"/>
          <w:b/>
          <w:bCs/>
        </w:rPr>
        <w:t>A comparative analysis SDG3 AND other SDGs:</w:t>
      </w:r>
    </w:p>
    <w:p w14:paraId="6FF92DA5" w14:textId="08342285" w:rsidR="002B62E3" w:rsidRPr="009969B9" w:rsidRDefault="004E2F4F" w:rsidP="009969B9">
      <w:pPr>
        <w:spacing w:line="360" w:lineRule="auto"/>
        <w:jc w:val="both"/>
        <w:rPr>
          <w:rFonts w:ascii="Arial" w:hAnsi="Arial" w:cs="Arial"/>
        </w:rPr>
      </w:pPr>
      <w:r w:rsidRPr="009770E6">
        <w:rPr>
          <w:rFonts w:ascii="Arial" w:hAnsi="Arial" w:cs="Arial"/>
        </w:rPr>
        <w:t>SDG 3 is closely linked with other goals addressing structural health determinants. SDG 11 (United Nations, 2015) shapes urban health through housing and air quality, while SDG 10 targets deprivation-driven life expectancy gaps (ONS, 2023b). SDG 13 addresses climate-related health risks (IPCC, 2022). SDG 8 and SDG 12 influence employment security and environmental exposure, affecting wellbeing (DEFRA, 2019).</w:t>
      </w:r>
    </w:p>
    <w:p w14:paraId="42436702" w14:textId="3037DFDF" w:rsidR="00595707" w:rsidRDefault="009969B9" w:rsidP="000B57D3">
      <w:pPr>
        <w:spacing w:before="100" w:beforeAutospacing="1" w:after="100" w:afterAutospacing="1" w:line="360" w:lineRule="auto"/>
        <w:jc w:val="both"/>
        <w:outlineLvl w:val="1"/>
        <w:rPr>
          <w:rFonts w:ascii="Arial" w:eastAsia="Times New Roman" w:hAnsi="Arial" w:cs="Arial"/>
          <w:b/>
          <w:bCs/>
          <w:kern w:val="0"/>
          <w:sz w:val="28"/>
          <w:szCs w:val="28"/>
          <w:lang w:eastAsia="en-GB"/>
          <w14:ligatures w14:val="none"/>
        </w:rPr>
      </w:pPr>
      <w:r>
        <w:rPr>
          <w:rFonts w:ascii="Arial" w:eastAsia="Times New Roman" w:hAnsi="Arial" w:cs="Arial"/>
          <w:b/>
          <w:bCs/>
          <w:kern w:val="0"/>
          <w:sz w:val="28"/>
          <w:szCs w:val="28"/>
          <w:lang w:eastAsia="en-GB"/>
          <w14:ligatures w14:val="none"/>
        </w:rPr>
        <w:t xml:space="preserve">2.7 </w:t>
      </w:r>
      <w:r w:rsidR="00BE5D7A">
        <w:rPr>
          <w:rFonts w:ascii="Arial" w:eastAsia="Times New Roman" w:hAnsi="Arial" w:cs="Arial"/>
          <w:b/>
          <w:bCs/>
          <w:kern w:val="0"/>
          <w:sz w:val="28"/>
          <w:szCs w:val="28"/>
          <w:lang w:eastAsia="en-GB"/>
          <w14:ligatures w14:val="none"/>
        </w:rPr>
        <w:t xml:space="preserve">Recommendations: </w:t>
      </w:r>
    </w:p>
    <w:p w14:paraId="74748935" w14:textId="77777777" w:rsidR="00245306" w:rsidRPr="00245306" w:rsidRDefault="002B62E3" w:rsidP="00766175">
      <w:pPr>
        <w:spacing w:before="100" w:beforeAutospacing="1" w:after="100" w:afterAutospacing="1" w:line="360" w:lineRule="auto"/>
        <w:jc w:val="both"/>
        <w:rPr>
          <w:rFonts w:ascii="Arial" w:hAnsi="Arial" w:cs="Arial"/>
        </w:rPr>
      </w:pPr>
      <w:r w:rsidRPr="00245306">
        <w:rPr>
          <w:rFonts w:ascii="Arial" w:hAnsi="Arial" w:cs="Arial"/>
          <w:b/>
          <w:bCs/>
        </w:rPr>
        <w:t>Recommendation 1:</w:t>
      </w:r>
      <w:r w:rsidRPr="00245306">
        <w:rPr>
          <w:rFonts w:ascii="Arial" w:hAnsi="Arial" w:cs="Arial"/>
        </w:rPr>
        <w:t xml:space="preserve"> Health and Equity Impact Assessments should be required for major urban developments to ensure policies such as Clean Air Zones and transport reforms deliver fair health benefits, recognising the links between housing, transport, air quality and health outcomes (DEFRA, 2023). </w:t>
      </w:r>
    </w:p>
    <w:p w14:paraId="3C2783A2" w14:textId="77777777" w:rsidR="00245306" w:rsidRPr="00245306" w:rsidRDefault="002B62E3" w:rsidP="00766175">
      <w:pPr>
        <w:spacing w:before="100" w:beforeAutospacing="1" w:after="100" w:afterAutospacing="1" w:line="360" w:lineRule="auto"/>
        <w:jc w:val="both"/>
        <w:rPr>
          <w:rFonts w:ascii="Arial" w:hAnsi="Arial" w:cs="Arial"/>
        </w:rPr>
      </w:pPr>
      <w:r w:rsidRPr="00245306">
        <w:rPr>
          <w:rFonts w:ascii="Arial" w:hAnsi="Arial" w:cs="Arial"/>
          <w:b/>
          <w:bCs/>
        </w:rPr>
        <w:t>Recommendation 2:</w:t>
      </w:r>
      <w:r w:rsidRPr="00245306">
        <w:rPr>
          <w:rFonts w:ascii="Arial" w:hAnsi="Arial" w:cs="Arial"/>
        </w:rPr>
        <w:t xml:space="preserve"> Urban investment should prioritise deprived communities to reduce environmental and social risks and ensure equitable access to green spaces and active travel infrastructure (Bates et al., 2025). </w:t>
      </w:r>
    </w:p>
    <w:p w14:paraId="393B36BB" w14:textId="6A942887" w:rsidR="00245306" w:rsidRPr="009969B9" w:rsidRDefault="002B62E3" w:rsidP="00766175">
      <w:pPr>
        <w:spacing w:before="100" w:beforeAutospacing="1" w:after="100" w:afterAutospacing="1" w:line="360" w:lineRule="auto"/>
        <w:jc w:val="both"/>
        <w:rPr>
          <w:rFonts w:ascii="Arial" w:hAnsi="Arial" w:cs="Arial"/>
        </w:rPr>
      </w:pPr>
      <w:r w:rsidRPr="00245306">
        <w:rPr>
          <w:rFonts w:ascii="Arial" w:hAnsi="Arial" w:cs="Arial"/>
          <w:b/>
          <w:bCs/>
        </w:rPr>
        <w:t>Recommendation 3:</w:t>
      </w:r>
      <w:r w:rsidRPr="00245306">
        <w:rPr>
          <w:rFonts w:ascii="Arial" w:hAnsi="Arial" w:cs="Arial"/>
        </w:rPr>
        <w:t xml:space="preserve"> Sustainability policies should include housing protections, including affordable housing targets and retrofit support, to prevent additional financial pressures on low-income households (Marmot et al., 2020).</w:t>
      </w:r>
    </w:p>
    <w:p w14:paraId="31B816D6" w14:textId="33E3AD47" w:rsidR="00B17DF7" w:rsidRPr="00FB4F77" w:rsidRDefault="00C54E18" w:rsidP="00B17DF7">
      <w:pPr>
        <w:spacing w:before="100" w:beforeAutospacing="1" w:after="100" w:afterAutospacing="1" w:line="360" w:lineRule="auto"/>
        <w:jc w:val="both"/>
        <w:outlineLvl w:val="1"/>
        <w:rPr>
          <w:rFonts w:ascii="Arial" w:eastAsia="Times New Roman" w:hAnsi="Arial" w:cs="Arial"/>
          <w:b/>
          <w:bCs/>
          <w:kern w:val="0"/>
          <w:sz w:val="36"/>
          <w:szCs w:val="36"/>
          <w:lang w:eastAsia="en-GB"/>
          <w14:ligatures w14:val="none"/>
        </w:rPr>
      </w:pPr>
      <w:r>
        <w:rPr>
          <w:rFonts w:ascii="Arial" w:eastAsia="Times New Roman" w:hAnsi="Arial" w:cs="Arial"/>
          <w:b/>
          <w:bCs/>
          <w:kern w:val="0"/>
          <w:sz w:val="36"/>
          <w:szCs w:val="36"/>
          <w:lang w:eastAsia="en-GB"/>
          <w14:ligatures w14:val="none"/>
        </w:rPr>
        <w:t xml:space="preserve">3. </w:t>
      </w:r>
      <w:r w:rsidR="00B17DF7" w:rsidRPr="00FB4F77">
        <w:rPr>
          <w:rFonts w:ascii="Arial" w:eastAsia="Times New Roman" w:hAnsi="Arial" w:cs="Arial"/>
          <w:b/>
          <w:bCs/>
          <w:kern w:val="0"/>
          <w:sz w:val="36"/>
          <w:szCs w:val="36"/>
          <w:lang w:eastAsia="en-GB"/>
          <w14:ligatures w14:val="none"/>
        </w:rPr>
        <w:t>Conclusion</w:t>
      </w:r>
      <w:r w:rsidR="00617A1A">
        <w:rPr>
          <w:rFonts w:ascii="Arial" w:eastAsia="Times New Roman" w:hAnsi="Arial" w:cs="Arial"/>
          <w:b/>
          <w:bCs/>
          <w:kern w:val="0"/>
          <w:sz w:val="36"/>
          <w:szCs w:val="36"/>
          <w:lang w:eastAsia="en-GB"/>
          <w14:ligatures w14:val="none"/>
        </w:rPr>
        <w:t>:</w:t>
      </w:r>
    </w:p>
    <w:p w14:paraId="213E05A7" w14:textId="531D0C20" w:rsidR="00B17DF7" w:rsidRPr="002B62E3" w:rsidRDefault="002B62E3" w:rsidP="002B62E3">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2B62E3">
        <w:rPr>
          <w:rFonts w:ascii="Arial" w:hAnsi="Arial" w:cs="Arial"/>
        </w:rPr>
        <w:t xml:space="preserve">This report critically evaluated </w:t>
      </w:r>
      <w:r w:rsidRPr="002B62E3">
        <w:rPr>
          <w:rStyle w:val="whitespace-normal"/>
          <w:rFonts w:ascii="Arial" w:hAnsi="Arial" w:cs="Arial"/>
        </w:rPr>
        <w:t>Sustainable Development Goal 3</w:t>
      </w:r>
      <w:r w:rsidRPr="002B62E3">
        <w:rPr>
          <w:rFonts w:ascii="Arial" w:hAnsi="Arial" w:cs="Arial"/>
        </w:rPr>
        <w:t xml:space="preserve"> and </w:t>
      </w:r>
      <w:r w:rsidRPr="002B62E3">
        <w:rPr>
          <w:rStyle w:val="whitespace-normal"/>
          <w:rFonts w:ascii="Arial" w:hAnsi="Arial" w:cs="Arial"/>
        </w:rPr>
        <w:t>Sustainable Development Goal 11</w:t>
      </w:r>
      <w:r w:rsidRPr="002B62E3">
        <w:rPr>
          <w:rFonts w:ascii="Arial" w:hAnsi="Arial" w:cs="Arial"/>
        </w:rPr>
        <w:t xml:space="preserve"> using a systems and equity perspective, demonstrating the close relationship between health and sustainable urban development. Global and UK policies promote universal health coverage, climate action and sustainable cities, yet structural challenges persist. Significant health inequalities remain, including a 9–</w:t>
      </w:r>
      <w:proofErr w:type="gramStart"/>
      <w:r w:rsidRPr="002B62E3">
        <w:rPr>
          <w:rFonts w:ascii="Arial" w:hAnsi="Arial" w:cs="Arial"/>
        </w:rPr>
        <w:t>10 year</w:t>
      </w:r>
      <w:proofErr w:type="gramEnd"/>
      <w:r w:rsidRPr="002B62E3">
        <w:rPr>
          <w:rFonts w:ascii="Arial" w:hAnsi="Arial" w:cs="Arial"/>
        </w:rPr>
        <w:t xml:space="preserve"> life expectancy gap between the most and least deprived communities (Marmot et al., 2020). Urban sustainability initiatives such as Clean Air Zones and green infrastructure have improved environmental conditions (DEFRA, 2023), but benefits are unevenly distributed. Fragmented governance, reduced public health funding in real terms (The King’s Fund, 2022), and reliance on broad indicators limit progress. Achieving SDG targets requires stronger policy integration, sustained prevention investment and equitable urban governance.</w:t>
      </w:r>
    </w:p>
    <w:p w14:paraId="4BFA02BE" w14:textId="77777777" w:rsidR="009969B9" w:rsidRDefault="009969B9" w:rsidP="00D23CB1">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9497927" w14:textId="153701C8" w:rsidR="00BA79C7" w:rsidRPr="00131542" w:rsidRDefault="00C54E18" w:rsidP="00D23CB1">
      <w:pPr>
        <w:spacing w:before="100" w:beforeAutospacing="1" w:after="100" w:afterAutospacing="1" w:line="360" w:lineRule="auto"/>
        <w:jc w:val="both"/>
        <w:rPr>
          <w:rFonts w:ascii="Arial" w:eastAsia="Times New Roman" w:hAnsi="Arial" w:cs="Arial"/>
          <w:b/>
          <w:bCs/>
          <w:kern w:val="0"/>
          <w:sz w:val="32"/>
          <w:szCs w:val="32"/>
          <w:lang w:eastAsia="en-GB"/>
          <w14:ligatures w14:val="none"/>
        </w:rPr>
      </w:pPr>
      <w:r>
        <w:rPr>
          <w:rFonts w:ascii="Arial" w:eastAsia="Times New Roman" w:hAnsi="Arial" w:cs="Arial"/>
          <w:b/>
          <w:bCs/>
          <w:kern w:val="0"/>
          <w:sz w:val="32"/>
          <w:szCs w:val="32"/>
          <w:lang w:eastAsia="en-GB"/>
          <w14:ligatures w14:val="none"/>
        </w:rPr>
        <w:lastRenderedPageBreak/>
        <w:t xml:space="preserve">4. </w:t>
      </w:r>
      <w:r w:rsidR="00BA79C7" w:rsidRPr="00131542">
        <w:rPr>
          <w:rFonts w:ascii="Arial" w:eastAsia="Times New Roman" w:hAnsi="Arial" w:cs="Arial"/>
          <w:b/>
          <w:bCs/>
          <w:kern w:val="0"/>
          <w:sz w:val="32"/>
          <w:szCs w:val="32"/>
          <w:lang w:eastAsia="en-GB"/>
          <w14:ligatures w14:val="none"/>
        </w:rPr>
        <w:t>References:</w:t>
      </w:r>
    </w:p>
    <w:p w14:paraId="5BDD47DE" w14:textId="52D90595"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Bambra, C., Riordan, R., Ford, J. and Matthews, F. (2020) ‘The COVID-19 pandemic and health inequalities’, </w:t>
      </w:r>
      <w:r w:rsidRPr="006A7861">
        <w:rPr>
          <w:rFonts w:ascii="Arial" w:eastAsia="Times New Roman" w:hAnsi="Arial" w:cs="Arial"/>
          <w:i/>
          <w:iCs/>
          <w:kern w:val="0"/>
          <w:lang w:eastAsia="en-GB"/>
          <w14:ligatures w14:val="none"/>
        </w:rPr>
        <w:t>Journal of Epidemiology and Community Health</w:t>
      </w:r>
      <w:r w:rsidRPr="006A7861">
        <w:rPr>
          <w:rFonts w:ascii="Arial" w:eastAsia="Times New Roman" w:hAnsi="Arial" w:cs="Arial"/>
          <w:kern w:val="0"/>
          <w:lang w:eastAsia="en-GB"/>
          <w14:ligatures w14:val="none"/>
        </w:rPr>
        <w:t xml:space="preserve">, 74(11), pp. 964–968. Available at: </w:t>
      </w:r>
      <w:hyperlink r:id="rId12" w:tgtFrame="_new" w:history="1">
        <w:r w:rsidRPr="006A7861">
          <w:rPr>
            <w:rFonts w:ascii="Arial" w:eastAsia="Times New Roman" w:hAnsi="Arial" w:cs="Arial"/>
            <w:kern w:val="0"/>
            <w:lang w:eastAsia="en-GB"/>
            <w14:ligatures w14:val="none"/>
          </w:rPr>
          <w:t>https://jech.bmj.com</w:t>
        </w:r>
      </w:hyperlink>
      <w:r w:rsidRPr="006A7861">
        <w:rPr>
          <w:rFonts w:ascii="Arial" w:eastAsia="Times New Roman" w:hAnsi="Arial" w:cs="Arial"/>
          <w:kern w:val="0"/>
          <w:lang w:eastAsia="en-GB"/>
          <w14:ligatures w14:val="none"/>
        </w:rPr>
        <w:t xml:space="preserve"> (Accessed: 2</w:t>
      </w:r>
      <w:r w:rsidR="00C54E18">
        <w:rPr>
          <w:rFonts w:ascii="Arial" w:eastAsia="Times New Roman" w:hAnsi="Arial" w:cs="Arial"/>
          <w:kern w:val="0"/>
          <w:lang w:eastAsia="en-GB"/>
          <w14:ligatures w14:val="none"/>
        </w:rPr>
        <w:t>1</w:t>
      </w:r>
      <w:r w:rsidRPr="006A7861">
        <w:rPr>
          <w:rFonts w:ascii="Arial" w:eastAsia="Times New Roman" w:hAnsi="Arial" w:cs="Arial"/>
          <w:kern w:val="0"/>
          <w:lang w:eastAsia="en-GB"/>
          <w14:ligatures w14:val="none"/>
        </w:rPr>
        <w:t xml:space="preserve"> February 2026).</w:t>
      </w:r>
    </w:p>
    <w:p w14:paraId="531B0117" w14:textId="77777777"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Bandura, A. (1986) </w:t>
      </w:r>
      <w:r w:rsidRPr="006A7861">
        <w:rPr>
          <w:rFonts w:ascii="Arial" w:eastAsia="Times New Roman" w:hAnsi="Arial" w:cs="Arial"/>
          <w:i/>
          <w:iCs/>
          <w:kern w:val="0"/>
          <w:lang w:eastAsia="en-GB"/>
          <w14:ligatures w14:val="none"/>
        </w:rPr>
        <w:t>Social foundations of thought and action: A social cognitive theory</w:t>
      </w:r>
      <w:r w:rsidRPr="006A7861">
        <w:rPr>
          <w:rFonts w:ascii="Arial" w:eastAsia="Times New Roman" w:hAnsi="Arial" w:cs="Arial"/>
          <w:kern w:val="0"/>
          <w:lang w:eastAsia="en-GB"/>
          <w14:ligatures w14:val="none"/>
        </w:rPr>
        <w:t>. Englewood Cliffs: Prentice-Hall.</w:t>
      </w:r>
    </w:p>
    <w:p w14:paraId="4A3E7494" w14:textId="3097B7F0" w:rsid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Bates, G., Black, D., Ayres, S. and Bondy, K. (2025) ‘Identifying intervention areas to shape healthier urban development in the United Kingdom’, </w:t>
      </w:r>
      <w:r w:rsidRPr="006A7861">
        <w:rPr>
          <w:rFonts w:ascii="Arial" w:eastAsia="Times New Roman" w:hAnsi="Arial" w:cs="Arial"/>
          <w:i/>
          <w:iCs/>
          <w:kern w:val="0"/>
          <w:lang w:eastAsia="en-GB"/>
          <w14:ligatures w14:val="none"/>
        </w:rPr>
        <w:t>PLOS Sustainability and Transformation</w:t>
      </w:r>
      <w:r w:rsidRPr="006A7861">
        <w:rPr>
          <w:rFonts w:ascii="Arial" w:eastAsia="Times New Roman" w:hAnsi="Arial" w:cs="Arial"/>
          <w:kern w:val="0"/>
          <w:lang w:eastAsia="en-GB"/>
          <w14:ligatures w14:val="none"/>
        </w:rPr>
        <w:t xml:space="preserve">. Available at: </w:t>
      </w:r>
      <w:hyperlink r:id="rId13" w:tgtFrame="_new" w:history="1">
        <w:r w:rsidRPr="006A7861">
          <w:rPr>
            <w:rFonts w:ascii="Arial" w:eastAsia="Times New Roman" w:hAnsi="Arial" w:cs="Arial"/>
            <w:kern w:val="0"/>
            <w:lang w:eastAsia="en-GB"/>
            <w14:ligatures w14:val="none"/>
          </w:rPr>
          <w:t>https://journals.plos.org</w:t>
        </w:r>
      </w:hyperlink>
      <w:r w:rsidRPr="006A7861">
        <w:rPr>
          <w:rFonts w:ascii="Arial" w:eastAsia="Times New Roman" w:hAnsi="Arial" w:cs="Arial"/>
          <w:kern w:val="0"/>
          <w:lang w:eastAsia="en-GB"/>
          <w14:ligatures w14:val="none"/>
        </w:rPr>
        <w:t xml:space="preserve"> (Accessed: 2</w:t>
      </w:r>
      <w:r w:rsidR="00C54E18">
        <w:rPr>
          <w:rFonts w:ascii="Arial" w:eastAsia="Times New Roman" w:hAnsi="Arial" w:cs="Arial"/>
          <w:kern w:val="0"/>
          <w:lang w:eastAsia="en-GB"/>
          <w14:ligatures w14:val="none"/>
        </w:rPr>
        <w:t>0</w:t>
      </w:r>
      <w:r w:rsidRPr="006A7861">
        <w:rPr>
          <w:rFonts w:ascii="Arial" w:eastAsia="Times New Roman" w:hAnsi="Arial" w:cs="Arial"/>
          <w:kern w:val="0"/>
          <w:lang w:eastAsia="en-GB"/>
          <w14:ligatures w14:val="none"/>
        </w:rPr>
        <w:t xml:space="preserve"> February 2026).</w:t>
      </w:r>
    </w:p>
    <w:p w14:paraId="341B5137" w14:textId="2E4C695C" w:rsidR="00E60802" w:rsidRPr="00E60802" w:rsidRDefault="00E60802" w:rsidP="006A7861">
      <w:pPr>
        <w:spacing w:before="100" w:beforeAutospacing="1" w:after="100" w:afterAutospacing="1" w:line="360" w:lineRule="auto"/>
        <w:jc w:val="both"/>
        <w:rPr>
          <w:rFonts w:ascii="Arial" w:eastAsia="Times New Roman" w:hAnsi="Arial" w:cs="Arial"/>
          <w:kern w:val="0"/>
          <w:lang w:eastAsia="en-GB"/>
          <w14:ligatures w14:val="none"/>
        </w:rPr>
      </w:pPr>
      <w:r w:rsidRPr="00E60802">
        <w:rPr>
          <w:rFonts w:ascii="Arial" w:hAnsi="Arial" w:cs="Arial"/>
        </w:rPr>
        <w:t xml:space="preserve">Birmingham City Council (2023) </w:t>
      </w:r>
      <w:r w:rsidRPr="00E60802">
        <w:rPr>
          <w:rFonts w:ascii="Arial" w:hAnsi="Arial" w:cs="Arial"/>
          <w:i/>
          <w:iCs/>
        </w:rPr>
        <w:t>Director of Public Health Annual Report 2022–2023: Everything’s at your fingertips.</w:t>
      </w:r>
      <w:r w:rsidRPr="00E60802">
        <w:rPr>
          <w:rFonts w:ascii="Arial" w:hAnsi="Arial" w:cs="Arial"/>
        </w:rPr>
        <w:t xml:space="preserve"> Birmingham: Birmingham City Council. Available at: </w:t>
      </w:r>
      <w:hyperlink r:id="rId14" w:tgtFrame="_new" w:history="1">
        <w:r w:rsidRPr="00E60802">
          <w:rPr>
            <w:rFonts w:ascii="Arial" w:hAnsi="Arial" w:cs="Arial"/>
          </w:rPr>
          <w:t>https://www.birmingham.gov.uk</w:t>
        </w:r>
      </w:hyperlink>
      <w:r w:rsidRPr="00E60802">
        <w:rPr>
          <w:rFonts w:ascii="Arial" w:hAnsi="Arial" w:cs="Arial"/>
        </w:rPr>
        <w:t xml:space="preserve"> (Accessed: </w:t>
      </w:r>
      <w:r>
        <w:rPr>
          <w:rFonts w:ascii="Arial" w:hAnsi="Arial" w:cs="Arial"/>
        </w:rPr>
        <w:t>0</w:t>
      </w:r>
      <w:r w:rsidRPr="00E60802">
        <w:rPr>
          <w:rFonts w:ascii="Arial" w:hAnsi="Arial" w:cs="Arial"/>
        </w:rPr>
        <w:t>6 March 2026).</w:t>
      </w:r>
    </w:p>
    <w:p w14:paraId="590B22E9" w14:textId="0BDCFD91"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Bueno, C. </w:t>
      </w:r>
      <w:r w:rsidRPr="006A7861">
        <w:rPr>
          <w:rFonts w:ascii="Arial" w:eastAsia="Times New Roman" w:hAnsi="Arial" w:cs="Arial"/>
          <w:i/>
          <w:iCs/>
          <w:kern w:val="0"/>
          <w:lang w:eastAsia="en-GB"/>
          <w14:ligatures w14:val="none"/>
        </w:rPr>
        <w:t>et al.</w:t>
      </w:r>
      <w:r w:rsidRPr="006A7861">
        <w:rPr>
          <w:rFonts w:ascii="Arial" w:eastAsia="Times New Roman" w:hAnsi="Arial" w:cs="Arial"/>
          <w:kern w:val="0"/>
          <w:lang w:eastAsia="en-GB"/>
          <w14:ligatures w14:val="none"/>
        </w:rPr>
        <w:t xml:space="preserve"> (2025) ‘Global knowledge asymmetries in health: A data-driven analysis of the Sustainable Development Goals’, </w:t>
      </w:r>
      <w:r w:rsidRPr="006A7861">
        <w:rPr>
          <w:rFonts w:ascii="Arial" w:eastAsia="Times New Roman" w:hAnsi="Arial" w:cs="Arial"/>
          <w:i/>
          <w:iCs/>
          <w:kern w:val="0"/>
          <w:lang w:eastAsia="en-GB"/>
          <w14:ligatures w14:val="none"/>
        </w:rPr>
        <w:t>Sustainability</w:t>
      </w:r>
      <w:r w:rsidRPr="006A7861">
        <w:rPr>
          <w:rFonts w:ascii="Arial" w:eastAsia="Times New Roman" w:hAnsi="Arial" w:cs="Arial"/>
          <w:kern w:val="0"/>
          <w:lang w:eastAsia="en-GB"/>
          <w14:ligatures w14:val="none"/>
        </w:rPr>
        <w:t xml:space="preserve">, 17(14), 6449. Available at: </w:t>
      </w:r>
      <w:hyperlink r:id="rId15" w:tgtFrame="_new" w:history="1">
        <w:r w:rsidRPr="006A7861">
          <w:rPr>
            <w:rFonts w:ascii="Arial" w:eastAsia="Times New Roman" w:hAnsi="Arial" w:cs="Arial"/>
            <w:kern w:val="0"/>
            <w:lang w:eastAsia="en-GB"/>
            <w14:ligatures w14:val="none"/>
          </w:rPr>
          <w:t>https://www.mdpi.com/journal/sustainability</w:t>
        </w:r>
      </w:hyperlink>
      <w:r w:rsidRPr="006A7861">
        <w:rPr>
          <w:rFonts w:ascii="Arial" w:eastAsia="Times New Roman" w:hAnsi="Arial" w:cs="Arial"/>
          <w:kern w:val="0"/>
          <w:lang w:eastAsia="en-GB"/>
          <w14:ligatures w14:val="none"/>
        </w:rPr>
        <w:t xml:space="preserve"> (Accessed: </w:t>
      </w:r>
      <w:r w:rsidR="00C54E18">
        <w:rPr>
          <w:rFonts w:ascii="Arial" w:eastAsia="Times New Roman" w:hAnsi="Arial" w:cs="Arial"/>
          <w:kern w:val="0"/>
          <w:lang w:eastAsia="en-GB"/>
          <w14:ligatures w14:val="none"/>
        </w:rPr>
        <w:t>19</w:t>
      </w:r>
      <w:r w:rsidRPr="006A7861">
        <w:rPr>
          <w:rFonts w:ascii="Arial" w:eastAsia="Times New Roman" w:hAnsi="Arial" w:cs="Arial"/>
          <w:kern w:val="0"/>
          <w:lang w:eastAsia="en-GB"/>
          <w14:ligatures w14:val="none"/>
        </w:rPr>
        <w:t xml:space="preserve"> February 2026).</w:t>
      </w:r>
    </w:p>
    <w:p w14:paraId="1B4739FC" w14:textId="1BE29F46"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Cristiano, S. and </w:t>
      </w:r>
      <w:proofErr w:type="spellStart"/>
      <w:r w:rsidRPr="006A7861">
        <w:rPr>
          <w:rFonts w:ascii="Arial" w:eastAsia="Times New Roman" w:hAnsi="Arial" w:cs="Arial"/>
          <w:kern w:val="0"/>
          <w:lang w:eastAsia="en-GB"/>
          <w14:ligatures w14:val="none"/>
        </w:rPr>
        <w:t>Zilio</w:t>
      </w:r>
      <w:proofErr w:type="spellEnd"/>
      <w:r w:rsidRPr="006A7861">
        <w:rPr>
          <w:rFonts w:ascii="Arial" w:eastAsia="Times New Roman" w:hAnsi="Arial" w:cs="Arial"/>
          <w:kern w:val="0"/>
          <w:lang w:eastAsia="en-GB"/>
          <w14:ligatures w14:val="none"/>
        </w:rPr>
        <w:t xml:space="preserve">, S. (2021) ‘Whose health in whose city? A systems thinking approach to support and evaluate plans, policies, and strategies for lasting urban health’, </w:t>
      </w:r>
      <w:r w:rsidRPr="006A7861">
        <w:rPr>
          <w:rFonts w:ascii="Arial" w:eastAsia="Times New Roman" w:hAnsi="Arial" w:cs="Arial"/>
          <w:i/>
          <w:iCs/>
          <w:kern w:val="0"/>
          <w:lang w:eastAsia="en-GB"/>
          <w14:ligatures w14:val="none"/>
        </w:rPr>
        <w:t>Sustainability</w:t>
      </w:r>
      <w:r w:rsidRPr="006A7861">
        <w:rPr>
          <w:rFonts w:ascii="Arial" w:eastAsia="Times New Roman" w:hAnsi="Arial" w:cs="Arial"/>
          <w:kern w:val="0"/>
          <w:lang w:eastAsia="en-GB"/>
          <w14:ligatures w14:val="none"/>
        </w:rPr>
        <w:t xml:space="preserve">, 13(21), 12225. Available at: </w:t>
      </w:r>
      <w:hyperlink r:id="rId16" w:tgtFrame="_new" w:history="1">
        <w:r w:rsidRPr="006A7861">
          <w:rPr>
            <w:rFonts w:ascii="Arial" w:eastAsia="Times New Roman" w:hAnsi="Arial" w:cs="Arial"/>
            <w:kern w:val="0"/>
            <w:lang w:eastAsia="en-GB"/>
            <w14:ligatures w14:val="none"/>
          </w:rPr>
          <w:t>https://www.mdpi.com/journal/sustainability</w:t>
        </w:r>
      </w:hyperlink>
      <w:r w:rsidRPr="006A7861">
        <w:rPr>
          <w:rFonts w:ascii="Arial" w:eastAsia="Times New Roman" w:hAnsi="Arial" w:cs="Arial"/>
          <w:kern w:val="0"/>
          <w:lang w:eastAsia="en-GB"/>
          <w14:ligatures w14:val="none"/>
        </w:rPr>
        <w:t xml:space="preserve"> (Accessed: </w:t>
      </w:r>
      <w:r w:rsidR="00C54E18">
        <w:rPr>
          <w:rFonts w:ascii="Arial" w:eastAsia="Times New Roman" w:hAnsi="Arial" w:cs="Arial"/>
          <w:kern w:val="0"/>
          <w:lang w:eastAsia="en-GB"/>
          <w14:ligatures w14:val="none"/>
        </w:rPr>
        <w:t>27</w:t>
      </w:r>
      <w:r w:rsidRPr="006A7861">
        <w:rPr>
          <w:rFonts w:ascii="Arial" w:eastAsia="Times New Roman" w:hAnsi="Arial" w:cs="Arial"/>
          <w:kern w:val="0"/>
          <w:lang w:eastAsia="en-GB"/>
          <w14:ligatures w14:val="none"/>
        </w:rPr>
        <w:t xml:space="preserve"> February 2026).</w:t>
      </w:r>
    </w:p>
    <w:p w14:paraId="16883D42" w14:textId="77777777"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Dahlgren, G. and Whitehead, M. (1991) </w:t>
      </w:r>
      <w:r w:rsidRPr="006A7861">
        <w:rPr>
          <w:rFonts w:ascii="Arial" w:eastAsia="Times New Roman" w:hAnsi="Arial" w:cs="Arial"/>
          <w:i/>
          <w:iCs/>
          <w:kern w:val="0"/>
          <w:lang w:eastAsia="en-GB"/>
          <w14:ligatures w14:val="none"/>
        </w:rPr>
        <w:t>Policies and strategies to promote social equity in health</w:t>
      </w:r>
      <w:r w:rsidRPr="006A7861">
        <w:rPr>
          <w:rFonts w:ascii="Arial" w:eastAsia="Times New Roman" w:hAnsi="Arial" w:cs="Arial"/>
          <w:kern w:val="0"/>
          <w:lang w:eastAsia="en-GB"/>
          <w14:ligatures w14:val="none"/>
        </w:rPr>
        <w:t>. Stockholm: Institute for Futures Studies.</w:t>
      </w:r>
    </w:p>
    <w:p w14:paraId="18FCAE71" w14:textId="77777777"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Department for Environment, Food &amp; Rural Affairs (DEFRA) (2019) </w:t>
      </w:r>
      <w:r w:rsidRPr="006A7861">
        <w:rPr>
          <w:rFonts w:ascii="Arial" w:eastAsia="Times New Roman" w:hAnsi="Arial" w:cs="Arial"/>
          <w:i/>
          <w:iCs/>
          <w:kern w:val="0"/>
          <w:lang w:eastAsia="en-GB"/>
          <w14:ligatures w14:val="none"/>
        </w:rPr>
        <w:t>Clean Air Strategy 2019</w:t>
      </w:r>
      <w:r w:rsidRPr="006A7861">
        <w:rPr>
          <w:rFonts w:ascii="Arial" w:eastAsia="Times New Roman" w:hAnsi="Arial" w:cs="Arial"/>
          <w:kern w:val="0"/>
          <w:lang w:eastAsia="en-GB"/>
          <w14:ligatures w14:val="none"/>
        </w:rPr>
        <w:t xml:space="preserve">. London: HM Government. Available at: </w:t>
      </w:r>
      <w:hyperlink r:id="rId17" w:tgtFrame="_new" w:history="1">
        <w:r w:rsidRPr="006A7861">
          <w:rPr>
            <w:rFonts w:ascii="Arial" w:eastAsia="Times New Roman" w:hAnsi="Arial" w:cs="Arial"/>
            <w:kern w:val="0"/>
            <w:lang w:eastAsia="en-GB"/>
            <w14:ligatures w14:val="none"/>
          </w:rPr>
          <w:t>https://www.gov.uk/government/publications/clean-air-strategy-2019</w:t>
        </w:r>
      </w:hyperlink>
      <w:r w:rsidRPr="006A7861">
        <w:rPr>
          <w:rFonts w:ascii="Arial" w:eastAsia="Times New Roman" w:hAnsi="Arial" w:cs="Arial"/>
          <w:kern w:val="0"/>
          <w:lang w:eastAsia="en-GB"/>
          <w14:ligatures w14:val="none"/>
        </w:rPr>
        <w:t xml:space="preserve"> (Accessed: 24 February 2026).</w:t>
      </w:r>
    </w:p>
    <w:p w14:paraId="30BCD65B" w14:textId="0E89F8FE"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Department for Environment, Food &amp; Rural Affairs (DEFRA) (2023) </w:t>
      </w:r>
      <w:r w:rsidRPr="006A7861">
        <w:rPr>
          <w:rFonts w:ascii="Arial" w:eastAsia="Times New Roman" w:hAnsi="Arial" w:cs="Arial"/>
          <w:i/>
          <w:iCs/>
          <w:kern w:val="0"/>
          <w:lang w:eastAsia="en-GB"/>
          <w14:ligatures w14:val="none"/>
        </w:rPr>
        <w:t>Air quality statistics in the UK, 1987 to 2022</w:t>
      </w:r>
      <w:r w:rsidRPr="006A7861">
        <w:rPr>
          <w:rFonts w:ascii="Arial" w:eastAsia="Times New Roman" w:hAnsi="Arial" w:cs="Arial"/>
          <w:kern w:val="0"/>
          <w:lang w:eastAsia="en-GB"/>
          <w14:ligatures w14:val="none"/>
        </w:rPr>
        <w:t xml:space="preserve">. London: DEFRA. Available at: </w:t>
      </w:r>
      <w:hyperlink r:id="rId18" w:tgtFrame="_new" w:history="1">
        <w:r w:rsidRPr="006A7861">
          <w:rPr>
            <w:rFonts w:ascii="Arial" w:eastAsia="Times New Roman" w:hAnsi="Arial" w:cs="Arial"/>
            <w:kern w:val="0"/>
            <w:lang w:eastAsia="en-GB"/>
            <w14:ligatures w14:val="none"/>
          </w:rPr>
          <w:t>https://www.gov.uk/government/statistics/air-quality-statistics</w:t>
        </w:r>
      </w:hyperlink>
      <w:r w:rsidRPr="006A7861">
        <w:rPr>
          <w:rFonts w:ascii="Arial" w:eastAsia="Times New Roman" w:hAnsi="Arial" w:cs="Arial"/>
          <w:kern w:val="0"/>
          <w:lang w:eastAsia="en-GB"/>
          <w14:ligatures w14:val="none"/>
        </w:rPr>
        <w:t xml:space="preserve"> (Accessed: 4 </w:t>
      </w:r>
      <w:r w:rsidR="00C54E18">
        <w:rPr>
          <w:rFonts w:ascii="Arial" w:eastAsia="Times New Roman" w:hAnsi="Arial" w:cs="Arial"/>
          <w:kern w:val="0"/>
          <w:lang w:eastAsia="en-GB"/>
          <w14:ligatures w14:val="none"/>
        </w:rPr>
        <w:t>March</w:t>
      </w:r>
      <w:r w:rsidRPr="006A7861">
        <w:rPr>
          <w:rFonts w:ascii="Arial" w:eastAsia="Times New Roman" w:hAnsi="Arial" w:cs="Arial"/>
          <w:kern w:val="0"/>
          <w:lang w:eastAsia="en-GB"/>
          <w14:ligatures w14:val="none"/>
        </w:rPr>
        <w:t xml:space="preserve"> 2026).</w:t>
      </w:r>
    </w:p>
    <w:p w14:paraId="21C70037" w14:textId="77777777"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6A7861">
        <w:rPr>
          <w:rFonts w:ascii="Arial" w:eastAsia="Times New Roman" w:hAnsi="Arial" w:cs="Arial"/>
          <w:kern w:val="0"/>
          <w:lang w:eastAsia="en-GB"/>
          <w14:ligatures w14:val="none"/>
        </w:rPr>
        <w:t>Fet</w:t>
      </w:r>
      <w:proofErr w:type="spellEnd"/>
      <w:r w:rsidRPr="006A7861">
        <w:rPr>
          <w:rFonts w:ascii="Arial" w:eastAsia="Times New Roman" w:hAnsi="Arial" w:cs="Arial"/>
          <w:kern w:val="0"/>
          <w:lang w:eastAsia="en-GB"/>
          <w14:ligatures w14:val="none"/>
        </w:rPr>
        <w:t xml:space="preserve">, A.M. (2024) </w:t>
      </w:r>
      <w:r w:rsidRPr="006A7861">
        <w:rPr>
          <w:rFonts w:ascii="Arial" w:eastAsia="Times New Roman" w:hAnsi="Arial" w:cs="Arial"/>
          <w:i/>
          <w:iCs/>
          <w:kern w:val="0"/>
          <w:lang w:eastAsia="en-GB"/>
          <w14:ligatures w14:val="none"/>
        </w:rPr>
        <w:t>Linking sustainable good health and well-being to the SDGs</w:t>
      </w:r>
      <w:r w:rsidRPr="006A7861">
        <w:rPr>
          <w:rFonts w:ascii="Arial" w:eastAsia="Times New Roman" w:hAnsi="Arial" w:cs="Arial"/>
          <w:kern w:val="0"/>
          <w:lang w:eastAsia="en-GB"/>
          <w14:ligatures w14:val="none"/>
        </w:rPr>
        <w:t>. Cham: Springer.</w:t>
      </w:r>
    </w:p>
    <w:p w14:paraId="6A5FF9B2" w14:textId="7B06725F"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lastRenderedPageBreak/>
        <w:t xml:space="preserve">Freitas, Â., Rodrigues, T.C. and Santana, P. (2020) ‘Assessing urban health inequities’, </w:t>
      </w:r>
      <w:r w:rsidRPr="006A7861">
        <w:rPr>
          <w:rFonts w:ascii="Arial" w:eastAsia="Times New Roman" w:hAnsi="Arial" w:cs="Arial"/>
          <w:i/>
          <w:iCs/>
          <w:kern w:val="0"/>
          <w:lang w:eastAsia="en-GB"/>
          <w14:ligatures w14:val="none"/>
        </w:rPr>
        <w:t>Journal of Urban Health</w:t>
      </w:r>
      <w:r w:rsidRPr="006A7861">
        <w:rPr>
          <w:rFonts w:ascii="Arial" w:eastAsia="Times New Roman" w:hAnsi="Arial" w:cs="Arial"/>
          <w:kern w:val="0"/>
          <w:lang w:eastAsia="en-GB"/>
          <w14:ligatures w14:val="none"/>
        </w:rPr>
        <w:t xml:space="preserve">, 97, pp. 834–846. Available at: </w:t>
      </w:r>
      <w:hyperlink r:id="rId19" w:tgtFrame="_new" w:history="1">
        <w:r w:rsidRPr="006A7861">
          <w:rPr>
            <w:rFonts w:ascii="Arial" w:eastAsia="Times New Roman" w:hAnsi="Arial" w:cs="Arial"/>
            <w:kern w:val="0"/>
            <w:lang w:eastAsia="en-GB"/>
            <w14:ligatures w14:val="none"/>
          </w:rPr>
          <w:t>https://link.springer.com/journal/11524</w:t>
        </w:r>
      </w:hyperlink>
      <w:r w:rsidRPr="006A7861">
        <w:rPr>
          <w:rFonts w:ascii="Arial" w:eastAsia="Times New Roman" w:hAnsi="Arial" w:cs="Arial"/>
          <w:kern w:val="0"/>
          <w:lang w:eastAsia="en-GB"/>
          <w14:ligatures w14:val="none"/>
        </w:rPr>
        <w:t xml:space="preserve"> (Accessed: </w:t>
      </w:r>
      <w:r w:rsidR="00C54E18">
        <w:rPr>
          <w:rFonts w:ascii="Arial" w:eastAsia="Times New Roman" w:hAnsi="Arial" w:cs="Arial"/>
          <w:kern w:val="0"/>
          <w:lang w:eastAsia="en-GB"/>
          <w14:ligatures w14:val="none"/>
        </w:rPr>
        <w:t>10 March</w:t>
      </w:r>
      <w:r w:rsidRPr="006A7861">
        <w:rPr>
          <w:rFonts w:ascii="Arial" w:eastAsia="Times New Roman" w:hAnsi="Arial" w:cs="Arial"/>
          <w:kern w:val="0"/>
          <w:lang w:eastAsia="en-GB"/>
          <w14:ligatures w14:val="none"/>
        </w:rPr>
        <w:t xml:space="preserve"> 2026).</w:t>
      </w:r>
    </w:p>
    <w:p w14:paraId="4D0DECAE" w14:textId="65159D29"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Institute of Health Equity (2023) </w:t>
      </w:r>
      <w:r w:rsidRPr="006A7861">
        <w:rPr>
          <w:rFonts w:ascii="Arial" w:eastAsia="Times New Roman" w:hAnsi="Arial" w:cs="Arial"/>
          <w:i/>
          <w:iCs/>
          <w:kern w:val="0"/>
          <w:lang w:eastAsia="en-GB"/>
          <w14:ligatures w14:val="none"/>
        </w:rPr>
        <w:t>Health inequalities in England: Update report</w:t>
      </w:r>
      <w:r w:rsidRPr="006A7861">
        <w:rPr>
          <w:rFonts w:ascii="Arial" w:eastAsia="Times New Roman" w:hAnsi="Arial" w:cs="Arial"/>
          <w:kern w:val="0"/>
          <w:lang w:eastAsia="en-GB"/>
          <w14:ligatures w14:val="none"/>
        </w:rPr>
        <w:t xml:space="preserve">. London: IHE. Available at: </w:t>
      </w:r>
      <w:hyperlink r:id="rId20" w:tgtFrame="_new" w:history="1">
        <w:r w:rsidRPr="006A7861">
          <w:rPr>
            <w:rFonts w:ascii="Arial" w:eastAsia="Times New Roman" w:hAnsi="Arial" w:cs="Arial"/>
            <w:kern w:val="0"/>
            <w:lang w:eastAsia="en-GB"/>
            <w14:ligatures w14:val="none"/>
          </w:rPr>
          <w:t>https://www.instituteofhealthequity.org</w:t>
        </w:r>
      </w:hyperlink>
      <w:r w:rsidRPr="006A7861">
        <w:rPr>
          <w:rFonts w:ascii="Arial" w:eastAsia="Times New Roman" w:hAnsi="Arial" w:cs="Arial"/>
          <w:kern w:val="0"/>
          <w:lang w:eastAsia="en-GB"/>
          <w14:ligatures w14:val="none"/>
        </w:rPr>
        <w:t xml:space="preserve"> (Accessed: </w:t>
      </w:r>
      <w:r w:rsidR="00C54E18">
        <w:rPr>
          <w:rFonts w:ascii="Arial" w:eastAsia="Times New Roman" w:hAnsi="Arial" w:cs="Arial"/>
          <w:kern w:val="0"/>
          <w:lang w:eastAsia="en-GB"/>
          <w14:ligatures w14:val="none"/>
        </w:rPr>
        <w:t>12</w:t>
      </w:r>
      <w:r w:rsidRPr="006A7861">
        <w:rPr>
          <w:rFonts w:ascii="Arial" w:eastAsia="Times New Roman" w:hAnsi="Arial" w:cs="Arial"/>
          <w:kern w:val="0"/>
          <w:lang w:eastAsia="en-GB"/>
          <w14:ligatures w14:val="none"/>
        </w:rPr>
        <w:t xml:space="preserve"> </w:t>
      </w:r>
      <w:r w:rsidR="00C54E18">
        <w:rPr>
          <w:rFonts w:ascii="Arial" w:eastAsia="Times New Roman" w:hAnsi="Arial" w:cs="Arial"/>
          <w:kern w:val="0"/>
          <w:lang w:eastAsia="en-GB"/>
          <w14:ligatures w14:val="none"/>
        </w:rPr>
        <w:t>March</w:t>
      </w:r>
      <w:r w:rsidRPr="006A7861">
        <w:rPr>
          <w:rFonts w:ascii="Arial" w:eastAsia="Times New Roman" w:hAnsi="Arial" w:cs="Arial"/>
          <w:kern w:val="0"/>
          <w:lang w:eastAsia="en-GB"/>
          <w14:ligatures w14:val="none"/>
        </w:rPr>
        <w:t xml:space="preserve"> 2026).</w:t>
      </w:r>
    </w:p>
    <w:p w14:paraId="2A3DAAED" w14:textId="77777777"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Intergovernmental Panel on Climate Change (IPCC) (2022) </w:t>
      </w:r>
      <w:r w:rsidRPr="006A7861">
        <w:rPr>
          <w:rFonts w:ascii="Arial" w:eastAsia="Times New Roman" w:hAnsi="Arial" w:cs="Arial"/>
          <w:i/>
          <w:iCs/>
          <w:kern w:val="0"/>
          <w:lang w:eastAsia="en-GB"/>
          <w14:ligatures w14:val="none"/>
        </w:rPr>
        <w:t>Climate Change 2022: Impacts, Adaptation and Vulnerability</w:t>
      </w:r>
      <w:r w:rsidRPr="006A7861">
        <w:rPr>
          <w:rFonts w:ascii="Arial" w:eastAsia="Times New Roman" w:hAnsi="Arial" w:cs="Arial"/>
          <w:kern w:val="0"/>
          <w:lang w:eastAsia="en-GB"/>
          <w14:ligatures w14:val="none"/>
        </w:rPr>
        <w:t xml:space="preserve">. Geneva: IPCC. Available at: </w:t>
      </w:r>
      <w:hyperlink r:id="rId21" w:tgtFrame="_new" w:history="1">
        <w:r w:rsidRPr="006A7861">
          <w:rPr>
            <w:rFonts w:ascii="Arial" w:eastAsia="Times New Roman" w:hAnsi="Arial" w:cs="Arial"/>
            <w:kern w:val="0"/>
            <w:lang w:eastAsia="en-GB"/>
            <w14:ligatures w14:val="none"/>
          </w:rPr>
          <w:t>https://www.ipcc.ch/report/ar6/wg2/</w:t>
        </w:r>
      </w:hyperlink>
      <w:r w:rsidRPr="006A7861">
        <w:rPr>
          <w:rFonts w:ascii="Arial" w:eastAsia="Times New Roman" w:hAnsi="Arial" w:cs="Arial"/>
          <w:kern w:val="0"/>
          <w:lang w:eastAsia="en-GB"/>
          <w14:ligatures w14:val="none"/>
        </w:rPr>
        <w:t xml:space="preserve"> (Accessed: 24 February 2026).</w:t>
      </w:r>
    </w:p>
    <w:p w14:paraId="1AD3062A" w14:textId="1DDD7081"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Jano Reiss, M. </w:t>
      </w:r>
      <w:r w:rsidRPr="006A7861">
        <w:rPr>
          <w:rFonts w:ascii="Arial" w:eastAsia="Times New Roman" w:hAnsi="Arial" w:cs="Arial"/>
          <w:i/>
          <w:iCs/>
          <w:kern w:val="0"/>
          <w:lang w:eastAsia="en-GB"/>
          <w14:ligatures w14:val="none"/>
        </w:rPr>
        <w:t>et al.</w:t>
      </w:r>
      <w:r w:rsidRPr="006A7861">
        <w:rPr>
          <w:rFonts w:ascii="Arial" w:eastAsia="Times New Roman" w:hAnsi="Arial" w:cs="Arial"/>
          <w:kern w:val="0"/>
          <w:lang w:eastAsia="en-GB"/>
          <w14:ligatures w14:val="none"/>
        </w:rPr>
        <w:t xml:space="preserve"> (2022) ‘Health and wellbeing (SDG 3) in urban design and spatial planning’, </w:t>
      </w:r>
      <w:r w:rsidRPr="006A7861">
        <w:rPr>
          <w:rFonts w:ascii="Arial" w:eastAsia="Times New Roman" w:hAnsi="Arial" w:cs="Arial"/>
          <w:i/>
          <w:iCs/>
          <w:kern w:val="0"/>
          <w:lang w:eastAsia="en-GB"/>
          <w14:ligatures w14:val="none"/>
        </w:rPr>
        <w:t>Cities &amp; Health</w:t>
      </w:r>
      <w:r w:rsidRPr="006A7861">
        <w:rPr>
          <w:rFonts w:ascii="Arial" w:eastAsia="Times New Roman" w:hAnsi="Arial" w:cs="Arial"/>
          <w:kern w:val="0"/>
          <w:lang w:eastAsia="en-GB"/>
          <w14:ligatures w14:val="none"/>
        </w:rPr>
        <w:t xml:space="preserve">. Available at: </w:t>
      </w:r>
      <w:hyperlink r:id="rId22" w:tgtFrame="_new" w:history="1">
        <w:r w:rsidRPr="006A7861">
          <w:rPr>
            <w:rFonts w:ascii="Arial" w:eastAsia="Times New Roman" w:hAnsi="Arial" w:cs="Arial"/>
            <w:kern w:val="0"/>
            <w:lang w:eastAsia="en-GB"/>
            <w14:ligatures w14:val="none"/>
          </w:rPr>
          <w:t>https://www.tandfonline.com/journals/rcah20</w:t>
        </w:r>
      </w:hyperlink>
      <w:r w:rsidRPr="006A7861">
        <w:rPr>
          <w:rFonts w:ascii="Arial" w:eastAsia="Times New Roman" w:hAnsi="Arial" w:cs="Arial"/>
          <w:kern w:val="0"/>
          <w:lang w:eastAsia="en-GB"/>
          <w14:ligatures w14:val="none"/>
        </w:rPr>
        <w:t xml:space="preserve"> (Accessed: </w:t>
      </w:r>
      <w:r w:rsidR="00C54E18">
        <w:rPr>
          <w:rFonts w:ascii="Arial" w:eastAsia="Times New Roman" w:hAnsi="Arial" w:cs="Arial"/>
          <w:kern w:val="0"/>
          <w:lang w:eastAsia="en-GB"/>
          <w14:ligatures w14:val="none"/>
        </w:rPr>
        <w:t>3</w:t>
      </w:r>
      <w:r w:rsidRPr="006A7861">
        <w:rPr>
          <w:rFonts w:ascii="Arial" w:eastAsia="Times New Roman" w:hAnsi="Arial" w:cs="Arial"/>
          <w:kern w:val="0"/>
          <w:lang w:eastAsia="en-GB"/>
          <w14:ligatures w14:val="none"/>
        </w:rPr>
        <w:t xml:space="preserve"> </w:t>
      </w:r>
      <w:r w:rsidR="00C54E18">
        <w:rPr>
          <w:rFonts w:ascii="Arial" w:eastAsia="Times New Roman" w:hAnsi="Arial" w:cs="Arial"/>
          <w:kern w:val="0"/>
          <w:lang w:eastAsia="en-GB"/>
          <w14:ligatures w14:val="none"/>
        </w:rPr>
        <w:t>March</w:t>
      </w:r>
      <w:r w:rsidRPr="006A7861">
        <w:rPr>
          <w:rFonts w:ascii="Arial" w:eastAsia="Times New Roman" w:hAnsi="Arial" w:cs="Arial"/>
          <w:kern w:val="0"/>
          <w:lang w:eastAsia="en-GB"/>
          <w14:ligatures w14:val="none"/>
        </w:rPr>
        <w:t xml:space="preserve"> 2026).</w:t>
      </w:r>
    </w:p>
    <w:p w14:paraId="71849589" w14:textId="77777777"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Marmot, M., Allen, J., Boyce, T., Goldblatt, P. and Morrison, J. (2020) </w:t>
      </w:r>
      <w:r w:rsidRPr="006A7861">
        <w:rPr>
          <w:rFonts w:ascii="Arial" w:eastAsia="Times New Roman" w:hAnsi="Arial" w:cs="Arial"/>
          <w:i/>
          <w:iCs/>
          <w:kern w:val="0"/>
          <w:lang w:eastAsia="en-GB"/>
          <w14:ligatures w14:val="none"/>
        </w:rPr>
        <w:t>Health equity in England: The Marmot Review 10 years on</w:t>
      </w:r>
      <w:r w:rsidRPr="006A7861">
        <w:rPr>
          <w:rFonts w:ascii="Arial" w:eastAsia="Times New Roman" w:hAnsi="Arial" w:cs="Arial"/>
          <w:kern w:val="0"/>
          <w:lang w:eastAsia="en-GB"/>
          <w14:ligatures w14:val="none"/>
        </w:rPr>
        <w:t xml:space="preserve">. London: Institute of Health Equity. Available at: </w:t>
      </w:r>
      <w:hyperlink r:id="rId23" w:tgtFrame="_new" w:history="1">
        <w:r w:rsidRPr="006A7861">
          <w:rPr>
            <w:rFonts w:ascii="Arial" w:eastAsia="Times New Roman" w:hAnsi="Arial" w:cs="Arial"/>
            <w:kern w:val="0"/>
            <w:lang w:eastAsia="en-GB"/>
            <w14:ligatures w14:val="none"/>
          </w:rPr>
          <w:t>https://www.instituteofhealthequity.org</w:t>
        </w:r>
      </w:hyperlink>
      <w:r w:rsidRPr="006A7861">
        <w:rPr>
          <w:rFonts w:ascii="Arial" w:eastAsia="Times New Roman" w:hAnsi="Arial" w:cs="Arial"/>
          <w:kern w:val="0"/>
          <w:lang w:eastAsia="en-GB"/>
          <w14:ligatures w14:val="none"/>
        </w:rPr>
        <w:t xml:space="preserve"> (Accessed: 24 February 2026).</w:t>
      </w:r>
    </w:p>
    <w:p w14:paraId="06698AB4" w14:textId="77777777"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McHugh, N. and Macintyre, A. (2024) </w:t>
      </w:r>
      <w:r w:rsidRPr="006A7861">
        <w:rPr>
          <w:rFonts w:ascii="Arial" w:eastAsia="Times New Roman" w:hAnsi="Arial" w:cs="Arial"/>
          <w:i/>
          <w:iCs/>
          <w:kern w:val="0"/>
          <w:lang w:eastAsia="en-GB"/>
          <w14:ligatures w14:val="none"/>
        </w:rPr>
        <w:t>Social policy, social innovation and health</w:t>
      </w:r>
      <w:r w:rsidRPr="006A7861">
        <w:rPr>
          <w:rFonts w:ascii="Arial" w:eastAsia="Times New Roman" w:hAnsi="Arial" w:cs="Arial"/>
          <w:kern w:val="0"/>
          <w:lang w:eastAsia="en-GB"/>
          <w14:ligatures w14:val="none"/>
        </w:rPr>
        <w:t>. Cheltenham: Edward Elgar.</w:t>
      </w:r>
    </w:p>
    <w:p w14:paraId="19FADE74" w14:textId="77777777"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Monaco, S. (2024) </w:t>
      </w:r>
      <w:r w:rsidRPr="006A7861">
        <w:rPr>
          <w:rFonts w:ascii="Arial" w:eastAsia="Times New Roman" w:hAnsi="Arial" w:cs="Arial"/>
          <w:i/>
          <w:iCs/>
          <w:kern w:val="0"/>
          <w:lang w:eastAsia="en-GB"/>
          <w14:ligatures w14:val="none"/>
        </w:rPr>
        <w:t>SDG 3: Ensure healthy lives and promote well-being for all at all ages</w:t>
      </w:r>
      <w:r w:rsidRPr="006A7861">
        <w:rPr>
          <w:rFonts w:ascii="Arial" w:eastAsia="Times New Roman" w:hAnsi="Arial" w:cs="Arial"/>
          <w:kern w:val="0"/>
          <w:lang w:eastAsia="en-GB"/>
          <w14:ligatures w14:val="none"/>
        </w:rPr>
        <w:t>. Bingley: Emerald Publishing.</w:t>
      </w:r>
    </w:p>
    <w:p w14:paraId="4834D16C" w14:textId="6E1BC306"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National Audit Office (2023) </w:t>
      </w:r>
      <w:r w:rsidRPr="006A7861">
        <w:rPr>
          <w:rFonts w:ascii="Arial" w:eastAsia="Times New Roman" w:hAnsi="Arial" w:cs="Arial"/>
          <w:i/>
          <w:iCs/>
          <w:kern w:val="0"/>
          <w:lang w:eastAsia="en-GB"/>
          <w14:ligatures w14:val="none"/>
        </w:rPr>
        <w:t>Public health funding in England</w:t>
      </w:r>
      <w:r w:rsidRPr="006A7861">
        <w:rPr>
          <w:rFonts w:ascii="Arial" w:eastAsia="Times New Roman" w:hAnsi="Arial" w:cs="Arial"/>
          <w:kern w:val="0"/>
          <w:lang w:eastAsia="en-GB"/>
          <w14:ligatures w14:val="none"/>
        </w:rPr>
        <w:t xml:space="preserve">. London: NAO. Available at: </w:t>
      </w:r>
      <w:hyperlink r:id="rId24" w:tgtFrame="_new" w:history="1">
        <w:r w:rsidRPr="006A7861">
          <w:rPr>
            <w:rFonts w:ascii="Arial" w:eastAsia="Times New Roman" w:hAnsi="Arial" w:cs="Arial"/>
            <w:kern w:val="0"/>
            <w:lang w:eastAsia="en-GB"/>
            <w14:ligatures w14:val="none"/>
          </w:rPr>
          <w:t>https://www.nao.org.uk</w:t>
        </w:r>
      </w:hyperlink>
      <w:r w:rsidRPr="006A7861">
        <w:rPr>
          <w:rFonts w:ascii="Arial" w:eastAsia="Times New Roman" w:hAnsi="Arial" w:cs="Arial"/>
          <w:kern w:val="0"/>
          <w:lang w:eastAsia="en-GB"/>
          <w14:ligatures w14:val="none"/>
        </w:rPr>
        <w:t xml:space="preserve"> (Accessed: </w:t>
      </w:r>
      <w:r w:rsidR="00C54E18">
        <w:rPr>
          <w:rFonts w:ascii="Arial" w:eastAsia="Times New Roman" w:hAnsi="Arial" w:cs="Arial"/>
          <w:kern w:val="0"/>
          <w:lang w:eastAsia="en-GB"/>
          <w14:ligatures w14:val="none"/>
        </w:rPr>
        <w:t>11</w:t>
      </w:r>
      <w:r w:rsidRPr="006A7861">
        <w:rPr>
          <w:rFonts w:ascii="Arial" w:eastAsia="Times New Roman" w:hAnsi="Arial" w:cs="Arial"/>
          <w:kern w:val="0"/>
          <w:lang w:eastAsia="en-GB"/>
          <w14:ligatures w14:val="none"/>
        </w:rPr>
        <w:t xml:space="preserve"> </w:t>
      </w:r>
      <w:r w:rsidR="00C54E18">
        <w:rPr>
          <w:rFonts w:ascii="Arial" w:eastAsia="Times New Roman" w:hAnsi="Arial" w:cs="Arial"/>
          <w:kern w:val="0"/>
          <w:lang w:eastAsia="en-GB"/>
          <w14:ligatures w14:val="none"/>
        </w:rPr>
        <w:t>March</w:t>
      </w:r>
      <w:r w:rsidRPr="006A7861">
        <w:rPr>
          <w:rFonts w:ascii="Arial" w:eastAsia="Times New Roman" w:hAnsi="Arial" w:cs="Arial"/>
          <w:kern w:val="0"/>
          <w:lang w:eastAsia="en-GB"/>
          <w14:ligatures w14:val="none"/>
        </w:rPr>
        <w:t xml:space="preserve"> 2026).</w:t>
      </w:r>
    </w:p>
    <w:p w14:paraId="2D52E870" w14:textId="1D65740B"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NHS Digital (2023) </w:t>
      </w:r>
      <w:r w:rsidRPr="006A7861">
        <w:rPr>
          <w:rFonts w:ascii="Arial" w:eastAsia="Times New Roman" w:hAnsi="Arial" w:cs="Arial"/>
          <w:i/>
          <w:iCs/>
          <w:kern w:val="0"/>
          <w:lang w:eastAsia="en-GB"/>
          <w14:ligatures w14:val="none"/>
        </w:rPr>
        <w:t>Psychological therapies annual report 2022–23</w:t>
      </w:r>
      <w:r w:rsidRPr="006A7861">
        <w:rPr>
          <w:rFonts w:ascii="Arial" w:eastAsia="Times New Roman" w:hAnsi="Arial" w:cs="Arial"/>
          <w:kern w:val="0"/>
          <w:lang w:eastAsia="en-GB"/>
          <w14:ligatures w14:val="none"/>
        </w:rPr>
        <w:t xml:space="preserve">. Leeds: NHS Digital. Available at: </w:t>
      </w:r>
      <w:hyperlink r:id="rId25" w:tgtFrame="_new" w:history="1">
        <w:r w:rsidRPr="006A7861">
          <w:rPr>
            <w:rFonts w:ascii="Arial" w:eastAsia="Times New Roman" w:hAnsi="Arial" w:cs="Arial"/>
            <w:kern w:val="0"/>
            <w:lang w:eastAsia="en-GB"/>
            <w14:ligatures w14:val="none"/>
          </w:rPr>
          <w:t>https://digital.nhs.uk</w:t>
        </w:r>
      </w:hyperlink>
      <w:r w:rsidRPr="006A7861">
        <w:rPr>
          <w:rFonts w:ascii="Arial" w:eastAsia="Times New Roman" w:hAnsi="Arial" w:cs="Arial"/>
          <w:kern w:val="0"/>
          <w:lang w:eastAsia="en-GB"/>
          <w14:ligatures w14:val="none"/>
        </w:rPr>
        <w:t xml:space="preserve"> (Accessed: </w:t>
      </w:r>
      <w:r w:rsidR="00C54E18">
        <w:rPr>
          <w:rFonts w:ascii="Arial" w:eastAsia="Times New Roman" w:hAnsi="Arial" w:cs="Arial"/>
          <w:kern w:val="0"/>
          <w:lang w:eastAsia="en-GB"/>
          <w14:ligatures w14:val="none"/>
        </w:rPr>
        <w:t>2</w:t>
      </w:r>
      <w:r w:rsidRPr="006A7861">
        <w:rPr>
          <w:rFonts w:ascii="Arial" w:eastAsia="Times New Roman" w:hAnsi="Arial" w:cs="Arial"/>
          <w:kern w:val="0"/>
          <w:lang w:eastAsia="en-GB"/>
          <w14:ligatures w14:val="none"/>
        </w:rPr>
        <w:t xml:space="preserve"> </w:t>
      </w:r>
      <w:r w:rsidR="00C54E18">
        <w:rPr>
          <w:rFonts w:ascii="Arial" w:eastAsia="Times New Roman" w:hAnsi="Arial" w:cs="Arial"/>
          <w:kern w:val="0"/>
          <w:lang w:eastAsia="en-GB"/>
          <w14:ligatures w14:val="none"/>
        </w:rPr>
        <w:t>March</w:t>
      </w:r>
      <w:r w:rsidRPr="006A7861">
        <w:rPr>
          <w:rFonts w:ascii="Arial" w:eastAsia="Times New Roman" w:hAnsi="Arial" w:cs="Arial"/>
          <w:kern w:val="0"/>
          <w:lang w:eastAsia="en-GB"/>
          <w14:ligatures w14:val="none"/>
        </w:rPr>
        <w:t xml:space="preserve"> 2026).</w:t>
      </w:r>
    </w:p>
    <w:p w14:paraId="60ABE01C" w14:textId="77777777"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NHS England (2019) </w:t>
      </w:r>
      <w:r w:rsidRPr="006A7861">
        <w:rPr>
          <w:rFonts w:ascii="Arial" w:eastAsia="Times New Roman" w:hAnsi="Arial" w:cs="Arial"/>
          <w:i/>
          <w:iCs/>
          <w:kern w:val="0"/>
          <w:lang w:eastAsia="en-GB"/>
          <w14:ligatures w14:val="none"/>
        </w:rPr>
        <w:t>The NHS Long Term Plan</w:t>
      </w:r>
      <w:r w:rsidRPr="006A7861">
        <w:rPr>
          <w:rFonts w:ascii="Arial" w:eastAsia="Times New Roman" w:hAnsi="Arial" w:cs="Arial"/>
          <w:kern w:val="0"/>
          <w:lang w:eastAsia="en-GB"/>
          <w14:ligatures w14:val="none"/>
        </w:rPr>
        <w:t xml:space="preserve">. London: NHS England. Available at: </w:t>
      </w:r>
      <w:hyperlink r:id="rId26" w:tgtFrame="_new" w:history="1">
        <w:r w:rsidRPr="006A7861">
          <w:rPr>
            <w:rFonts w:ascii="Arial" w:eastAsia="Times New Roman" w:hAnsi="Arial" w:cs="Arial"/>
            <w:kern w:val="0"/>
            <w:lang w:eastAsia="en-GB"/>
            <w14:ligatures w14:val="none"/>
          </w:rPr>
          <w:t>https://www.england.nhs.uk/long-term-plan/</w:t>
        </w:r>
      </w:hyperlink>
      <w:r w:rsidRPr="006A7861">
        <w:rPr>
          <w:rFonts w:ascii="Arial" w:eastAsia="Times New Roman" w:hAnsi="Arial" w:cs="Arial"/>
          <w:kern w:val="0"/>
          <w:lang w:eastAsia="en-GB"/>
          <w14:ligatures w14:val="none"/>
        </w:rPr>
        <w:t xml:space="preserve"> (Accessed: 24 February 2026).</w:t>
      </w:r>
    </w:p>
    <w:p w14:paraId="3CC180B1" w14:textId="489FFC5B"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Office for National Statistics (ONS) (2023</w:t>
      </w:r>
      <w:r w:rsidR="00441B18">
        <w:rPr>
          <w:rFonts w:ascii="Arial" w:eastAsia="Times New Roman" w:hAnsi="Arial" w:cs="Arial"/>
          <w:kern w:val="0"/>
          <w:lang w:eastAsia="en-GB"/>
          <w14:ligatures w14:val="none"/>
        </w:rPr>
        <w:t>b</w:t>
      </w:r>
      <w:r w:rsidRPr="006A7861">
        <w:rPr>
          <w:rFonts w:ascii="Arial" w:eastAsia="Times New Roman" w:hAnsi="Arial" w:cs="Arial"/>
          <w:kern w:val="0"/>
          <w:lang w:eastAsia="en-GB"/>
          <w14:ligatures w14:val="none"/>
        </w:rPr>
        <w:t xml:space="preserve">) </w:t>
      </w:r>
      <w:r w:rsidRPr="006A7861">
        <w:rPr>
          <w:rFonts w:ascii="Arial" w:eastAsia="Times New Roman" w:hAnsi="Arial" w:cs="Arial"/>
          <w:i/>
          <w:iCs/>
          <w:kern w:val="0"/>
          <w:lang w:eastAsia="en-GB"/>
          <w14:ligatures w14:val="none"/>
        </w:rPr>
        <w:t>Health state life expectancies by deprivation deciles</w:t>
      </w:r>
      <w:r w:rsidRPr="006A7861">
        <w:rPr>
          <w:rFonts w:ascii="Arial" w:eastAsia="Times New Roman" w:hAnsi="Arial" w:cs="Arial"/>
          <w:kern w:val="0"/>
          <w:lang w:eastAsia="en-GB"/>
          <w14:ligatures w14:val="none"/>
        </w:rPr>
        <w:t xml:space="preserve">. London: ONS. Available at: </w:t>
      </w:r>
      <w:hyperlink r:id="rId27" w:tgtFrame="_new" w:history="1">
        <w:r w:rsidRPr="006A7861">
          <w:rPr>
            <w:rFonts w:ascii="Arial" w:eastAsia="Times New Roman" w:hAnsi="Arial" w:cs="Arial"/>
            <w:kern w:val="0"/>
            <w:lang w:eastAsia="en-GB"/>
            <w14:ligatures w14:val="none"/>
          </w:rPr>
          <w:t>https://www.ons.gov.uk</w:t>
        </w:r>
      </w:hyperlink>
      <w:r w:rsidRPr="006A7861">
        <w:rPr>
          <w:rFonts w:ascii="Arial" w:eastAsia="Times New Roman" w:hAnsi="Arial" w:cs="Arial"/>
          <w:kern w:val="0"/>
          <w:lang w:eastAsia="en-GB"/>
          <w14:ligatures w14:val="none"/>
        </w:rPr>
        <w:t xml:space="preserve"> (Accessed: </w:t>
      </w:r>
      <w:r w:rsidR="00C54E18">
        <w:rPr>
          <w:rFonts w:ascii="Arial" w:eastAsia="Times New Roman" w:hAnsi="Arial" w:cs="Arial"/>
          <w:kern w:val="0"/>
          <w:lang w:eastAsia="en-GB"/>
          <w14:ligatures w14:val="none"/>
        </w:rPr>
        <w:t>5 March</w:t>
      </w:r>
      <w:r w:rsidR="00C54E18" w:rsidRPr="006A7861">
        <w:rPr>
          <w:rFonts w:ascii="Arial" w:eastAsia="Times New Roman" w:hAnsi="Arial" w:cs="Arial"/>
          <w:kern w:val="0"/>
          <w:lang w:eastAsia="en-GB"/>
          <w14:ligatures w14:val="none"/>
        </w:rPr>
        <w:t xml:space="preserve"> </w:t>
      </w:r>
      <w:r w:rsidRPr="006A7861">
        <w:rPr>
          <w:rFonts w:ascii="Arial" w:eastAsia="Times New Roman" w:hAnsi="Arial" w:cs="Arial"/>
          <w:kern w:val="0"/>
          <w:lang w:eastAsia="en-GB"/>
          <w14:ligatures w14:val="none"/>
        </w:rPr>
        <w:t>2026).</w:t>
      </w:r>
    </w:p>
    <w:p w14:paraId="5B16279F" w14:textId="6BE5242D" w:rsid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Public Health England (2021) </w:t>
      </w:r>
      <w:r w:rsidRPr="006A7861">
        <w:rPr>
          <w:rFonts w:ascii="Arial" w:eastAsia="Times New Roman" w:hAnsi="Arial" w:cs="Arial"/>
          <w:i/>
          <w:iCs/>
          <w:kern w:val="0"/>
          <w:lang w:eastAsia="en-GB"/>
          <w14:ligatures w14:val="none"/>
        </w:rPr>
        <w:t>COVID-19 disparities review</w:t>
      </w:r>
      <w:r w:rsidRPr="006A7861">
        <w:rPr>
          <w:rFonts w:ascii="Arial" w:eastAsia="Times New Roman" w:hAnsi="Arial" w:cs="Arial"/>
          <w:kern w:val="0"/>
          <w:lang w:eastAsia="en-GB"/>
          <w14:ligatures w14:val="none"/>
        </w:rPr>
        <w:t xml:space="preserve">. London: PHE. Available at: </w:t>
      </w:r>
      <w:hyperlink r:id="rId28" w:tgtFrame="_new" w:history="1">
        <w:r w:rsidRPr="006A7861">
          <w:rPr>
            <w:rFonts w:ascii="Arial" w:eastAsia="Times New Roman" w:hAnsi="Arial" w:cs="Arial"/>
            <w:kern w:val="0"/>
            <w:lang w:eastAsia="en-GB"/>
            <w14:ligatures w14:val="none"/>
          </w:rPr>
          <w:t>https://www.gov.uk</w:t>
        </w:r>
      </w:hyperlink>
      <w:r w:rsidRPr="006A7861">
        <w:rPr>
          <w:rFonts w:ascii="Arial" w:eastAsia="Times New Roman" w:hAnsi="Arial" w:cs="Arial"/>
          <w:kern w:val="0"/>
          <w:lang w:eastAsia="en-GB"/>
          <w14:ligatures w14:val="none"/>
        </w:rPr>
        <w:t xml:space="preserve"> (Accessed: </w:t>
      </w:r>
      <w:r w:rsidR="00C54E18">
        <w:rPr>
          <w:rFonts w:ascii="Arial" w:eastAsia="Times New Roman" w:hAnsi="Arial" w:cs="Arial"/>
          <w:kern w:val="0"/>
          <w:lang w:eastAsia="en-GB"/>
          <w14:ligatures w14:val="none"/>
        </w:rPr>
        <w:t>03</w:t>
      </w:r>
      <w:r w:rsidRPr="006A7861">
        <w:rPr>
          <w:rFonts w:ascii="Arial" w:eastAsia="Times New Roman" w:hAnsi="Arial" w:cs="Arial"/>
          <w:kern w:val="0"/>
          <w:lang w:eastAsia="en-GB"/>
          <w14:ligatures w14:val="none"/>
        </w:rPr>
        <w:t xml:space="preserve"> </w:t>
      </w:r>
      <w:r w:rsidR="00C54E18">
        <w:rPr>
          <w:rFonts w:ascii="Arial" w:eastAsia="Times New Roman" w:hAnsi="Arial" w:cs="Arial"/>
          <w:kern w:val="0"/>
          <w:lang w:eastAsia="en-GB"/>
          <w14:ligatures w14:val="none"/>
        </w:rPr>
        <w:t>March</w:t>
      </w:r>
      <w:r w:rsidRPr="006A7861">
        <w:rPr>
          <w:rFonts w:ascii="Arial" w:eastAsia="Times New Roman" w:hAnsi="Arial" w:cs="Arial"/>
          <w:kern w:val="0"/>
          <w:lang w:eastAsia="en-GB"/>
          <w14:ligatures w14:val="none"/>
        </w:rPr>
        <w:t xml:space="preserve"> 2026).</w:t>
      </w:r>
    </w:p>
    <w:p w14:paraId="26748D75" w14:textId="52345510" w:rsidR="004C79DE" w:rsidRPr="004C79DE" w:rsidRDefault="004C79DE" w:rsidP="006A7861">
      <w:pPr>
        <w:spacing w:before="100" w:beforeAutospacing="1" w:after="100" w:afterAutospacing="1" w:line="360" w:lineRule="auto"/>
        <w:jc w:val="both"/>
        <w:rPr>
          <w:rFonts w:ascii="Arial" w:eastAsia="Times New Roman" w:hAnsi="Arial" w:cs="Arial"/>
          <w:kern w:val="0"/>
          <w:lang w:eastAsia="en-GB"/>
          <w14:ligatures w14:val="none"/>
        </w:rPr>
      </w:pPr>
      <w:r w:rsidRPr="004C79DE">
        <w:rPr>
          <w:rFonts w:ascii="Arial" w:hAnsi="Arial" w:cs="Arial"/>
        </w:rPr>
        <w:lastRenderedPageBreak/>
        <w:t xml:space="preserve">Rutter, H., Savona, N., Glonti, K., Bibby, J., Cummins, S., Finegood, D., Greaves, F., Harper, L., Hawe, P., Moore, L., Petticrew, M., </w:t>
      </w:r>
      <w:proofErr w:type="spellStart"/>
      <w:r w:rsidRPr="004C79DE">
        <w:rPr>
          <w:rFonts w:ascii="Arial" w:hAnsi="Arial" w:cs="Arial"/>
        </w:rPr>
        <w:t>Rehfuess</w:t>
      </w:r>
      <w:proofErr w:type="spellEnd"/>
      <w:r w:rsidRPr="004C79DE">
        <w:rPr>
          <w:rFonts w:ascii="Arial" w:hAnsi="Arial" w:cs="Arial"/>
        </w:rPr>
        <w:t xml:space="preserve">, E., Shiell, A., Thomas, J. and White, M. (2017) ‘The need for a complex systems model of evidence for public health’, </w:t>
      </w:r>
      <w:r w:rsidRPr="004C79DE">
        <w:rPr>
          <w:rFonts w:ascii="Arial" w:hAnsi="Arial" w:cs="Arial"/>
          <w:i/>
          <w:iCs/>
        </w:rPr>
        <w:t>The Lancet</w:t>
      </w:r>
      <w:r w:rsidRPr="004C79DE">
        <w:rPr>
          <w:rFonts w:ascii="Arial" w:hAnsi="Arial" w:cs="Arial"/>
        </w:rPr>
        <w:t xml:space="preserve">, 390(10112), pp. 2602–2604. Available at: </w:t>
      </w:r>
      <w:hyperlink r:id="rId29" w:tgtFrame="_new" w:history="1">
        <w:r w:rsidRPr="004C79DE">
          <w:rPr>
            <w:rFonts w:ascii="Arial" w:hAnsi="Arial" w:cs="Arial"/>
          </w:rPr>
          <w:t>https://www.thelancet.com</w:t>
        </w:r>
      </w:hyperlink>
      <w:r w:rsidRPr="004C79DE">
        <w:rPr>
          <w:rFonts w:ascii="Arial" w:hAnsi="Arial" w:cs="Arial"/>
        </w:rPr>
        <w:t xml:space="preserve"> (Accessed: </w:t>
      </w:r>
      <w:r>
        <w:rPr>
          <w:rFonts w:ascii="Arial" w:hAnsi="Arial" w:cs="Arial"/>
        </w:rPr>
        <w:t>0</w:t>
      </w:r>
      <w:r w:rsidRPr="004C79DE">
        <w:rPr>
          <w:rFonts w:ascii="Arial" w:hAnsi="Arial" w:cs="Arial"/>
        </w:rPr>
        <w:t>6 March 2026).</w:t>
      </w:r>
    </w:p>
    <w:p w14:paraId="079A6D2A" w14:textId="038DA8BA" w:rsidR="004C79DE" w:rsidRPr="004C79DE" w:rsidRDefault="004C79DE" w:rsidP="006A7861">
      <w:pPr>
        <w:spacing w:before="100" w:beforeAutospacing="1" w:after="100" w:afterAutospacing="1" w:line="360" w:lineRule="auto"/>
        <w:jc w:val="both"/>
        <w:rPr>
          <w:rFonts w:ascii="Arial" w:eastAsia="Times New Roman" w:hAnsi="Arial" w:cs="Arial"/>
          <w:kern w:val="0"/>
          <w:lang w:eastAsia="en-GB"/>
          <w14:ligatures w14:val="none"/>
        </w:rPr>
      </w:pPr>
      <w:r w:rsidRPr="004C79DE">
        <w:rPr>
          <w:rStyle w:val="Strong"/>
          <w:rFonts w:ascii="Arial" w:hAnsi="Arial" w:cs="Arial"/>
          <w:b w:val="0"/>
          <w:bCs w:val="0"/>
        </w:rPr>
        <w:t>Shelter (2023)</w:t>
      </w:r>
      <w:r w:rsidRPr="004C79DE">
        <w:rPr>
          <w:rFonts w:ascii="Arial" w:hAnsi="Arial" w:cs="Arial"/>
        </w:rPr>
        <w:t xml:space="preserve"> </w:t>
      </w:r>
      <w:r w:rsidRPr="004C79DE">
        <w:rPr>
          <w:rStyle w:val="Emphasis"/>
          <w:rFonts w:ascii="Arial" w:hAnsi="Arial" w:cs="Arial"/>
        </w:rPr>
        <w:t>Housing and health.</w:t>
      </w:r>
      <w:r w:rsidRPr="004C79DE">
        <w:rPr>
          <w:rFonts w:ascii="Arial" w:hAnsi="Arial" w:cs="Arial"/>
        </w:rPr>
        <w:t xml:space="preserve"> London: Shelter. Available at: https://england.shelter.org.uk/professional_resources/policy_and_research/policy_library/housing_and_health (Accessed: </w:t>
      </w:r>
      <w:r>
        <w:rPr>
          <w:rFonts w:ascii="Arial" w:hAnsi="Arial" w:cs="Arial"/>
        </w:rPr>
        <w:t>05</w:t>
      </w:r>
      <w:r w:rsidRPr="004C79DE">
        <w:rPr>
          <w:rFonts w:ascii="Arial" w:hAnsi="Arial" w:cs="Arial"/>
        </w:rPr>
        <w:t xml:space="preserve"> March 2026).</w:t>
      </w:r>
    </w:p>
    <w:p w14:paraId="6191CE71" w14:textId="3BC11C2A"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Sustrans (2022) </w:t>
      </w:r>
      <w:r w:rsidRPr="006A7861">
        <w:rPr>
          <w:rFonts w:ascii="Arial" w:eastAsia="Times New Roman" w:hAnsi="Arial" w:cs="Arial"/>
          <w:i/>
          <w:iCs/>
          <w:kern w:val="0"/>
          <w:lang w:eastAsia="en-GB"/>
          <w14:ligatures w14:val="none"/>
        </w:rPr>
        <w:t>Walking and cycling index 2022</w:t>
      </w:r>
      <w:r w:rsidRPr="006A7861">
        <w:rPr>
          <w:rFonts w:ascii="Arial" w:eastAsia="Times New Roman" w:hAnsi="Arial" w:cs="Arial"/>
          <w:kern w:val="0"/>
          <w:lang w:eastAsia="en-GB"/>
          <w14:ligatures w14:val="none"/>
        </w:rPr>
        <w:t xml:space="preserve">. Bristol: Sustrans. Available at: </w:t>
      </w:r>
      <w:hyperlink r:id="rId30" w:tgtFrame="_new" w:history="1">
        <w:r w:rsidRPr="006A7861">
          <w:rPr>
            <w:rFonts w:ascii="Arial" w:eastAsia="Times New Roman" w:hAnsi="Arial" w:cs="Arial"/>
            <w:kern w:val="0"/>
            <w:lang w:eastAsia="en-GB"/>
            <w14:ligatures w14:val="none"/>
          </w:rPr>
          <w:t>https://www.sustrans.org.uk</w:t>
        </w:r>
      </w:hyperlink>
      <w:r w:rsidRPr="006A7861">
        <w:rPr>
          <w:rFonts w:ascii="Arial" w:eastAsia="Times New Roman" w:hAnsi="Arial" w:cs="Arial"/>
          <w:kern w:val="0"/>
          <w:lang w:eastAsia="en-GB"/>
          <w14:ligatures w14:val="none"/>
        </w:rPr>
        <w:t xml:space="preserve"> (Accessed: </w:t>
      </w:r>
      <w:r w:rsidR="00C54E18">
        <w:rPr>
          <w:rFonts w:ascii="Arial" w:eastAsia="Times New Roman" w:hAnsi="Arial" w:cs="Arial"/>
          <w:kern w:val="0"/>
          <w:lang w:eastAsia="en-GB"/>
          <w14:ligatures w14:val="none"/>
        </w:rPr>
        <w:t>12</w:t>
      </w:r>
      <w:r w:rsidRPr="006A7861">
        <w:rPr>
          <w:rFonts w:ascii="Arial" w:eastAsia="Times New Roman" w:hAnsi="Arial" w:cs="Arial"/>
          <w:kern w:val="0"/>
          <w:lang w:eastAsia="en-GB"/>
          <w14:ligatures w14:val="none"/>
        </w:rPr>
        <w:t xml:space="preserve"> </w:t>
      </w:r>
      <w:r w:rsidR="00C54E18">
        <w:rPr>
          <w:rFonts w:ascii="Arial" w:eastAsia="Times New Roman" w:hAnsi="Arial" w:cs="Arial"/>
          <w:kern w:val="0"/>
          <w:lang w:eastAsia="en-GB"/>
          <w14:ligatures w14:val="none"/>
        </w:rPr>
        <w:t>March</w:t>
      </w:r>
      <w:r w:rsidR="00C54E18" w:rsidRPr="006A7861">
        <w:rPr>
          <w:rFonts w:ascii="Arial" w:eastAsia="Times New Roman" w:hAnsi="Arial" w:cs="Arial"/>
          <w:kern w:val="0"/>
          <w:lang w:eastAsia="en-GB"/>
          <w14:ligatures w14:val="none"/>
        </w:rPr>
        <w:t xml:space="preserve"> </w:t>
      </w:r>
      <w:r w:rsidRPr="006A7861">
        <w:rPr>
          <w:rFonts w:ascii="Arial" w:eastAsia="Times New Roman" w:hAnsi="Arial" w:cs="Arial"/>
          <w:kern w:val="0"/>
          <w:lang w:eastAsia="en-GB"/>
          <w14:ligatures w14:val="none"/>
        </w:rPr>
        <w:t>2026).</w:t>
      </w:r>
    </w:p>
    <w:p w14:paraId="5574C927" w14:textId="1A68BB46"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The King’s Fund (2022) </w:t>
      </w:r>
      <w:r w:rsidRPr="006A7861">
        <w:rPr>
          <w:rFonts w:ascii="Arial" w:eastAsia="Times New Roman" w:hAnsi="Arial" w:cs="Arial"/>
          <w:i/>
          <w:iCs/>
          <w:kern w:val="0"/>
          <w:lang w:eastAsia="en-GB"/>
          <w14:ligatures w14:val="none"/>
        </w:rPr>
        <w:t>Public health funding in England</w:t>
      </w:r>
      <w:r w:rsidRPr="006A7861">
        <w:rPr>
          <w:rFonts w:ascii="Arial" w:eastAsia="Times New Roman" w:hAnsi="Arial" w:cs="Arial"/>
          <w:kern w:val="0"/>
          <w:lang w:eastAsia="en-GB"/>
          <w14:ligatures w14:val="none"/>
        </w:rPr>
        <w:t xml:space="preserve">. London: The King’s Fund. Available at: </w:t>
      </w:r>
      <w:hyperlink r:id="rId31" w:tgtFrame="_new" w:history="1">
        <w:r w:rsidRPr="006A7861">
          <w:rPr>
            <w:rFonts w:ascii="Arial" w:eastAsia="Times New Roman" w:hAnsi="Arial" w:cs="Arial"/>
            <w:kern w:val="0"/>
            <w:lang w:eastAsia="en-GB"/>
            <w14:ligatures w14:val="none"/>
          </w:rPr>
          <w:t>https://www.kingsfund.org.uk</w:t>
        </w:r>
      </w:hyperlink>
      <w:r w:rsidRPr="006A7861">
        <w:rPr>
          <w:rFonts w:ascii="Arial" w:eastAsia="Times New Roman" w:hAnsi="Arial" w:cs="Arial"/>
          <w:kern w:val="0"/>
          <w:lang w:eastAsia="en-GB"/>
          <w14:ligatures w14:val="none"/>
        </w:rPr>
        <w:t xml:space="preserve"> (Accessed: </w:t>
      </w:r>
      <w:r w:rsidR="00C54E18">
        <w:rPr>
          <w:rFonts w:ascii="Arial" w:eastAsia="Times New Roman" w:hAnsi="Arial" w:cs="Arial"/>
          <w:kern w:val="0"/>
          <w:lang w:eastAsia="en-GB"/>
          <w14:ligatures w14:val="none"/>
        </w:rPr>
        <w:t>04 March</w:t>
      </w:r>
      <w:r w:rsidR="00C54E18" w:rsidRPr="006A7861">
        <w:rPr>
          <w:rFonts w:ascii="Arial" w:eastAsia="Times New Roman" w:hAnsi="Arial" w:cs="Arial"/>
          <w:kern w:val="0"/>
          <w:lang w:eastAsia="en-GB"/>
          <w14:ligatures w14:val="none"/>
        </w:rPr>
        <w:t xml:space="preserve"> </w:t>
      </w:r>
      <w:r w:rsidRPr="006A7861">
        <w:rPr>
          <w:rFonts w:ascii="Arial" w:eastAsia="Times New Roman" w:hAnsi="Arial" w:cs="Arial"/>
          <w:kern w:val="0"/>
          <w:lang w:eastAsia="en-GB"/>
          <w14:ligatures w14:val="none"/>
        </w:rPr>
        <w:t>2026).</w:t>
      </w:r>
    </w:p>
    <w:p w14:paraId="7C55B475" w14:textId="733B67B8"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Transport Select Committee (2023) </w:t>
      </w:r>
      <w:r w:rsidRPr="006A7861">
        <w:rPr>
          <w:rFonts w:ascii="Arial" w:eastAsia="Times New Roman" w:hAnsi="Arial" w:cs="Arial"/>
          <w:i/>
          <w:iCs/>
          <w:kern w:val="0"/>
          <w:lang w:eastAsia="en-GB"/>
          <w14:ligatures w14:val="none"/>
        </w:rPr>
        <w:t>Clean air zones and transport equity report</w:t>
      </w:r>
      <w:r w:rsidRPr="006A7861">
        <w:rPr>
          <w:rFonts w:ascii="Arial" w:eastAsia="Times New Roman" w:hAnsi="Arial" w:cs="Arial"/>
          <w:kern w:val="0"/>
          <w:lang w:eastAsia="en-GB"/>
          <w14:ligatures w14:val="none"/>
        </w:rPr>
        <w:t xml:space="preserve">. London: UK Parliament. Available at: </w:t>
      </w:r>
      <w:hyperlink r:id="rId32" w:tgtFrame="_new" w:history="1">
        <w:r w:rsidRPr="006A7861">
          <w:rPr>
            <w:rFonts w:ascii="Arial" w:eastAsia="Times New Roman" w:hAnsi="Arial" w:cs="Arial"/>
            <w:kern w:val="0"/>
            <w:lang w:eastAsia="en-GB"/>
            <w14:ligatures w14:val="none"/>
          </w:rPr>
          <w:t>https://committees.parliament.uk</w:t>
        </w:r>
      </w:hyperlink>
      <w:r w:rsidRPr="006A7861">
        <w:rPr>
          <w:rFonts w:ascii="Arial" w:eastAsia="Times New Roman" w:hAnsi="Arial" w:cs="Arial"/>
          <w:kern w:val="0"/>
          <w:lang w:eastAsia="en-GB"/>
          <w14:ligatures w14:val="none"/>
        </w:rPr>
        <w:t xml:space="preserve"> (Accessed: </w:t>
      </w:r>
      <w:r w:rsidR="00C54E18">
        <w:rPr>
          <w:rFonts w:ascii="Arial" w:eastAsia="Times New Roman" w:hAnsi="Arial" w:cs="Arial"/>
          <w:kern w:val="0"/>
          <w:lang w:eastAsia="en-GB"/>
          <w14:ligatures w14:val="none"/>
        </w:rPr>
        <w:t>06 March</w:t>
      </w:r>
      <w:r w:rsidR="00C54E18" w:rsidRPr="006A7861">
        <w:rPr>
          <w:rFonts w:ascii="Arial" w:eastAsia="Times New Roman" w:hAnsi="Arial" w:cs="Arial"/>
          <w:kern w:val="0"/>
          <w:lang w:eastAsia="en-GB"/>
          <w14:ligatures w14:val="none"/>
        </w:rPr>
        <w:t xml:space="preserve"> </w:t>
      </w:r>
      <w:r w:rsidRPr="006A7861">
        <w:rPr>
          <w:rFonts w:ascii="Arial" w:eastAsia="Times New Roman" w:hAnsi="Arial" w:cs="Arial"/>
          <w:kern w:val="0"/>
          <w:lang w:eastAsia="en-GB"/>
          <w14:ligatures w14:val="none"/>
        </w:rPr>
        <w:t>2026).</w:t>
      </w:r>
    </w:p>
    <w:p w14:paraId="2C61A72A" w14:textId="1613C77D"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UK Health Security Agency (2023) </w:t>
      </w:r>
      <w:r w:rsidRPr="006A7861">
        <w:rPr>
          <w:rFonts w:ascii="Arial" w:eastAsia="Times New Roman" w:hAnsi="Arial" w:cs="Arial"/>
          <w:i/>
          <w:iCs/>
          <w:kern w:val="0"/>
          <w:lang w:eastAsia="en-GB"/>
          <w14:ligatures w14:val="none"/>
        </w:rPr>
        <w:t>Health effects of air pollution in the UK</w:t>
      </w:r>
      <w:r w:rsidRPr="006A7861">
        <w:rPr>
          <w:rFonts w:ascii="Arial" w:eastAsia="Times New Roman" w:hAnsi="Arial" w:cs="Arial"/>
          <w:kern w:val="0"/>
          <w:lang w:eastAsia="en-GB"/>
          <w14:ligatures w14:val="none"/>
        </w:rPr>
        <w:t xml:space="preserve">. London: UKHSA. Available at: </w:t>
      </w:r>
      <w:hyperlink r:id="rId33" w:tgtFrame="_new" w:history="1">
        <w:r w:rsidRPr="006A7861">
          <w:rPr>
            <w:rFonts w:ascii="Arial" w:eastAsia="Times New Roman" w:hAnsi="Arial" w:cs="Arial"/>
            <w:kern w:val="0"/>
            <w:lang w:eastAsia="en-GB"/>
            <w14:ligatures w14:val="none"/>
          </w:rPr>
          <w:t>https://www.gov.uk</w:t>
        </w:r>
      </w:hyperlink>
      <w:r w:rsidRPr="006A7861">
        <w:rPr>
          <w:rFonts w:ascii="Arial" w:eastAsia="Times New Roman" w:hAnsi="Arial" w:cs="Arial"/>
          <w:kern w:val="0"/>
          <w:lang w:eastAsia="en-GB"/>
          <w14:ligatures w14:val="none"/>
        </w:rPr>
        <w:t xml:space="preserve"> (Accessed: </w:t>
      </w:r>
      <w:r w:rsidR="00762141">
        <w:rPr>
          <w:rFonts w:ascii="Arial" w:eastAsia="Times New Roman" w:hAnsi="Arial" w:cs="Arial"/>
          <w:kern w:val="0"/>
          <w:lang w:eastAsia="en-GB"/>
          <w14:ligatures w14:val="none"/>
        </w:rPr>
        <w:t>19</w:t>
      </w:r>
      <w:r w:rsidRPr="006A7861">
        <w:rPr>
          <w:rFonts w:ascii="Arial" w:eastAsia="Times New Roman" w:hAnsi="Arial" w:cs="Arial"/>
          <w:kern w:val="0"/>
          <w:lang w:eastAsia="en-GB"/>
          <w14:ligatures w14:val="none"/>
        </w:rPr>
        <w:t xml:space="preserve"> February 2026).</w:t>
      </w:r>
    </w:p>
    <w:p w14:paraId="3956B7D2" w14:textId="0B962627"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UN-Habitat (2022) </w:t>
      </w:r>
      <w:r w:rsidRPr="006A7861">
        <w:rPr>
          <w:rFonts w:ascii="Arial" w:eastAsia="Times New Roman" w:hAnsi="Arial" w:cs="Arial"/>
          <w:i/>
          <w:iCs/>
          <w:kern w:val="0"/>
          <w:lang w:eastAsia="en-GB"/>
          <w14:ligatures w14:val="none"/>
        </w:rPr>
        <w:t>World Cities Report 2022</w:t>
      </w:r>
      <w:r w:rsidRPr="006A7861">
        <w:rPr>
          <w:rFonts w:ascii="Arial" w:eastAsia="Times New Roman" w:hAnsi="Arial" w:cs="Arial"/>
          <w:kern w:val="0"/>
          <w:lang w:eastAsia="en-GB"/>
          <w14:ligatures w14:val="none"/>
        </w:rPr>
        <w:t xml:space="preserve">. Nairobi: UN-Habitat. Available at: </w:t>
      </w:r>
      <w:hyperlink r:id="rId34" w:tgtFrame="_new" w:history="1">
        <w:r w:rsidRPr="006A7861">
          <w:rPr>
            <w:rFonts w:ascii="Arial" w:eastAsia="Times New Roman" w:hAnsi="Arial" w:cs="Arial"/>
            <w:kern w:val="0"/>
            <w:lang w:eastAsia="en-GB"/>
            <w14:ligatures w14:val="none"/>
          </w:rPr>
          <w:t>https://unhabitat.org</w:t>
        </w:r>
      </w:hyperlink>
      <w:r w:rsidRPr="006A7861">
        <w:rPr>
          <w:rFonts w:ascii="Arial" w:eastAsia="Times New Roman" w:hAnsi="Arial" w:cs="Arial"/>
          <w:kern w:val="0"/>
          <w:lang w:eastAsia="en-GB"/>
          <w14:ligatures w14:val="none"/>
        </w:rPr>
        <w:t xml:space="preserve"> (Accessed: 2</w:t>
      </w:r>
      <w:r w:rsidR="00762141">
        <w:rPr>
          <w:rFonts w:ascii="Arial" w:eastAsia="Times New Roman" w:hAnsi="Arial" w:cs="Arial"/>
          <w:kern w:val="0"/>
          <w:lang w:eastAsia="en-GB"/>
          <w14:ligatures w14:val="none"/>
        </w:rPr>
        <w:t>1</w:t>
      </w:r>
      <w:r w:rsidRPr="006A7861">
        <w:rPr>
          <w:rFonts w:ascii="Arial" w:eastAsia="Times New Roman" w:hAnsi="Arial" w:cs="Arial"/>
          <w:kern w:val="0"/>
          <w:lang w:eastAsia="en-GB"/>
          <w14:ligatures w14:val="none"/>
        </w:rPr>
        <w:t xml:space="preserve"> February 2026).</w:t>
      </w:r>
    </w:p>
    <w:p w14:paraId="4ED6CAA8" w14:textId="0F0B7F7A"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United Nations (2015) </w:t>
      </w:r>
      <w:r w:rsidRPr="006A7861">
        <w:rPr>
          <w:rFonts w:ascii="Arial" w:eastAsia="Times New Roman" w:hAnsi="Arial" w:cs="Arial"/>
          <w:i/>
          <w:iCs/>
          <w:kern w:val="0"/>
          <w:lang w:eastAsia="en-GB"/>
          <w14:ligatures w14:val="none"/>
        </w:rPr>
        <w:t>Transforming our world: The 2030 Agenda for Sustainable Development</w:t>
      </w:r>
      <w:r w:rsidRPr="006A7861">
        <w:rPr>
          <w:rFonts w:ascii="Arial" w:eastAsia="Times New Roman" w:hAnsi="Arial" w:cs="Arial"/>
          <w:kern w:val="0"/>
          <w:lang w:eastAsia="en-GB"/>
          <w14:ligatures w14:val="none"/>
        </w:rPr>
        <w:t xml:space="preserve">. New York: United Nations. Available at: </w:t>
      </w:r>
      <w:hyperlink r:id="rId35" w:tgtFrame="_new" w:history="1">
        <w:r w:rsidRPr="006A7861">
          <w:rPr>
            <w:rFonts w:ascii="Arial" w:eastAsia="Times New Roman" w:hAnsi="Arial" w:cs="Arial"/>
            <w:kern w:val="0"/>
            <w:lang w:eastAsia="en-GB"/>
            <w14:ligatures w14:val="none"/>
          </w:rPr>
          <w:t>https://sdgs.un.org/2030agenda</w:t>
        </w:r>
      </w:hyperlink>
      <w:r w:rsidRPr="006A7861">
        <w:rPr>
          <w:rFonts w:ascii="Arial" w:eastAsia="Times New Roman" w:hAnsi="Arial" w:cs="Arial"/>
          <w:kern w:val="0"/>
          <w:lang w:eastAsia="en-GB"/>
          <w14:ligatures w14:val="none"/>
        </w:rPr>
        <w:t xml:space="preserve"> (Accessed: 2</w:t>
      </w:r>
      <w:r w:rsidR="00762141">
        <w:rPr>
          <w:rFonts w:ascii="Arial" w:eastAsia="Times New Roman" w:hAnsi="Arial" w:cs="Arial"/>
          <w:kern w:val="0"/>
          <w:lang w:eastAsia="en-GB"/>
          <w14:ligatures w14:val="none"/>
        </w:rPr>
        <w:t>6</w:t>
      </w:r>
      <w:r w:rsidRPr="006A7861">
        <w:rPr>
          <w:rFonts w:ascii="Arial" w:eastAsia="Times New Roman" w:hAnsi="Arial" w:cs="Arial"/>
          <w:kern w:val="0"/>
          <w:lang w:eastAsia="en-GB"/>
          <w14:ligatures w14:val="none"/>
        </w:rPr>
        <w:t xml:space="preserve"> February 2026).</w:t>
      </w:r>
    </w:p>
    <w:p w14:paraId="212960EE" w14:textId="0271DF51"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United Nations (2019) </w:t>
      </w:r>
      <w:r w:rsidRPr="006A7861">
        <w:rPr>
          <w:rFonts w:ascii="Arial" w:eastAsia="Times New Roman" w:hAnsi="Arial" w:cs="Arial"/>
          <w:i/>
          <w:iCs/>
          <w:kern w:val="0"/>
          <w:lang w:eastAsia="en-GB"/>
          <w14:ligatures w14:val="none"/>
        </w:rPr>
        <w:t>World Urbanization Prospects 2018 revision</w:t>
      </w:r>
      <w:r w:rsidRPr="006A7861">
        <w:rPr>
          <w:rFonts w:ascii="Arial" w:eastAsia="Times New Roman" w:hAnsi="Arial" w:cs="Arial"/>
          <w:kern w:val="0"/>
          <w:lang w:eastAsia="en-GB"/>
          <w14:ligatures w14:val="none"/>
        </w:rPr>
        <w:t xml:space="preserve">. New York: United Nations. Available at: </w:t>
      </w:r>
      <w:hyperlink r:id="rId36" w:tgtFrame="_new" w:history="1">
        <w:r w:rsidRPr="006A7861">
          <w:rPr>
            <w:rFonts w:ascii="Arial" w:eastAsia="Times New Roman" w:hAnsi="Arial" w:cs="Arial"/>
            <w:kern w:val="0"/>
            <w:lang w:eastAsia="en-GB"/>
            <w14:ligatures w14:val="none"/>
          </w:rPr>
          <w:t>https://population.un.org/wup/</w:t>
        </w:r>
      </w:hyperlink>
      <w:r w:rsidRPr="006A7861">
        <w:rPr>
          <w:rFonts w:ascii="Arial" w:eastAsia="Times New Roman" w:hAnsi="Arial" w:cs="Arial"/>
          <w:kern w:val="0"/>
          <w:lang w:eastAsia="en-GB"/>
          <w14:ligatures w14:val="none"/>
        </w:rPr>
        <w:t xml:space="preserve"> (Accessed: </w:t>
      </w:r>
      <w:r w:rsidR="00762141">
        <w:rPr>
          <w:rFonts w:ascii="Arial" w:eastAsia="Times New Roman" w:hAnsi="Arial" w:cs="Arial"/>
          <w:kern w:val="0"/>
          <w:lang w:eastAsia="en-GB"/>
          <w14:ligatures w14:val="none"/>
        </w:rPr>
        <w:t>12 March</w:t>
      </w:r>
      <w:r w:rsidR="00762141" w:rsidRPr="006A7861">
        <w:rPr>
          <w:rFonts w:ascii="Arial" w:eastAsia="Times New Roman" w:hAnsi="Arial" w:cs="Arial"/>
          <w:kern w:val="0"/>
          <w:lang w:eastAsia="en-GB"/>
          <w14:ligatures w14:val="none"/>
        </w:rPr>
        <w:t xml:space="preserve"> </w:t>
      </w:r>
      <w:r w:rsidRPr="006A7861">
        <w:rPr>
          <w:rFonts w:ascii="Arial" w:eastAsia="Times New Roman" w:hAnsi="Arial" w:cs="Arial"/>
          <w:kern w:val="0"/>
          <w:lang w:eastAsia="en-GB"/>
          <w14:ligatures w14:val="none"/>
        </w:rPr>
        <w:t>2026).</w:t>
      </w:r>
    </w:p>
    <w:p w14:paraId="4B785264" w14:textId="50779DAE" w:rsid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U.S. Environmental Protection Agency (EPA) (2023) </w:t>
      </w:r>
      <w:r w:rsidRPr="006A7861">
        <w:rPr>
          <w:rFonts w:ascii="Arial" w:eastAsia="Times New Roman" w:hAnsi="Arial" w:cs="Arial"/>
          <w:i/>
          <w:iCs/>
          <w:kern w:val="0"/>
          <w:lang w:eastAsia="en-GB"/>
          <w14:ligatures w14:val="none"/>
        </w:rPr>
        <w:t>What is green infrastructure?</w:t>
      </w:r>
      <w:r w:rsidRPr="006A7861">
        <w:rPr>
          <w:rFonts w:ascii="Arial" w:eastAsia="Times New Roman" w:hAnsi="Arial" w:cs="Arial"/>
          <w:kern w:val="0"/>
          <w:lang w:eastAsia="en-GB"/>
          <w14:ligatures w14:val="none"/>
        </w:rPr>
        <w:t xml:space="preserve"> Washington, DC: EPA. Available at: </w:t>
      </w:r>
      <w:hyperlink r:id="rId37" w:tgtFrame="_new" w:history="1">
        <w:r w:rsidRPr="006A7861">
          <w:rPr>
            <w:rFonts w:ascii="Arial" w:eastAsia="Times New Roman" w:hAnsi="Arial" w:cs="Arial"/>
            <w:kern w:val="0"/>
            <w:lang w:eastAsia="en-GB"/>
            <w14:ligatures w14:val="none"/>
          </w:rPr>
          <w:t>https://www.epa.gov/green-infrastructure</w:t>
        </w:r>
      </w:hyperlink>
      <w:r w:rsidRPr="006A7861">
        <w:rPr>
          <w:rFonts w:ascii="Arial" w:eastAsia="Times New Roman" w:hAnsi="Arial" w:cs="Arial"/>
          <w:kern w:val="0"/>
          <w:lang w:eastAsia="en-GB"/>
          <w14:ligatures w14:val="none"/>
        </w:rPr>
        <w:t xml:space="preserve"> (Accessed: </w:t>
      </w:r>
      <w:r w:rsidR="00762141">
        <w:rPr>
          <w:rFonts w:ascii="Arial" w:eastAsia="Times New Roman" w:hAnsi="Arial" w:cs="Arial"/>
          <w:kern w:val="0"/>
          <w:lang w:eastAsia="en-GB"/>
          <w14:ligatures w14:val="none"/>
        </w:rPr>
        <w:t>07 March</w:t>
      </w:r>
      <w:r w:rsidR="00762141" w:rsidRPr="006A7861">
        <w:rPr>
          <w:rFonts w:ascii="Arial" w:eastAsia="Times New Roman" w:hAnsi="Arial" w:cs="Arial"/>
          <w:kern w:val="0"/>
          <w:lang w:eastAsia="en-GB"/>
          <w14:ligatures w14:val="none"/>
        </w:rPr>
        <w:t xml:space="preserve"> </w:t>
      </w:r>
      <w:r w:rsidRPr="006A7861">
        <w:rPr>
          <w:rFonts w:ascii="Arial" w:eastAsia="Times New Roman" w:hAnsi="Arial" w:cs="Arial"/>
          <w:kern w:val="0"/>
          <w:lang w:eastAsia="en-GB"/>
          <w14:ligatures w14:val="none"/>
        </w:rPr>
        <w:t>2026).</w:t>
      </w:r>
    </w:p>
    <w:p w14:paraId="0D3ACDAD" w14:textId="04F2C9E7" w:rsidR="0059610E" w:rsidRPr="0059610E" w:rsidRDefault="0059610E" w:rsidP="0059610E">
      <w:pPr>
        <w:spacing w:before="100" w:beforeAutospacing="1" w:after="100" w:afterAutospacing="1" w:line="360" w:lineRule="auto"/>
        <w:jc w:val="both"/>
        <w:rPr>
          <w:rFonts w:ascii="Arial" w:eastAsia="Times New Roman" w:hAnsi="Arial" w:cs="Arial"/>
          <w:kern w:val="0"/>
          <w:lang w:eastAsia="en-GB"/>
          <w14:ligatures w14:val="none"/>
        </w:rPr>
      </w:pPr>
      <w:r w:rsidRPr="0059610E">
        <w:rPr>
          <w:rStyle w:val="Strong"/>
          <w:rFonts w:ascii="Arial" w:hAnsi="Arial" w:cs="Arial"/>
          <w:b w:val="0"/>
          <w:bCs w:val="0"/>
        </w:rPr>
        <w:t>World Bank (2022)</w:t>
      </w:r>
      <w:r w:rsidRPr="0059610E">
        <w:rPr>
          <w:rFonts w:ascii="Arial" w:hAnsi="Arial" w:cs="Arial"/>
        </w:rPr>
        <w:t xml:space="preserve"> </w:t>
      </w:r>
      <w:r w:rsidRPr="0059610E">
        <w:rPr>
          <w:rStyle w:val="Emphasis"/>
          <w:rFonts w:ascii="Arial" w:hAnsi="Arial" w:cs="Arial"/>
        </w:rPr>
        <w:t>Bangladesh Urbanisation Review: Leveraging Urbanisation for Growth and Inclusion.</w:t>
      </w:r>
      <w:r w:rsidRPr="0059610E">
        <w:rPr>
          <w:rFonts w:ascii="Arial" w:hAnsi="Arial" w:cs="Arial"/>
        </w:rPr>
        <w:t xml:space="preserve"> Washington, DC: World Bank. Available at: </w:t>
      </w:r>
      <w:r w:rsidRPr="0059610E">
        <w:rPr>
          <w:rFonts w:ascii="Arial" w:hAnsi="Arial" w:cs="Arial"/>
        </w:rPr>
        <w:lastRenderedPageBreak/>
        <w:t>https://www.worldbank.org/en/country/bangladesh/publication/bangladesh-urbanisation-review (Accessed: 1</w:t>
      </w:r>
      <w:r>
        <w:rPr>
          <w:rFonts w:ascii="Arial" w:hAnsi="Arial" w:cs="Arial"/>
        </w:rPr>
        <w:t>2</w:t>
      </w:r>
      <w:r w:rsidRPr="0059610E">
        <w:rPr>
          <w:rFonts w:ascii="Arial" w:hAnsi="Arial" w:cs="Arial"/>
        </w:rPr>
        <w:t xml:space="preserve"> March 2026).</w:t>
      </w:r>
    </w:p>
    <w:p w14:paraId="65F01B5F" w14:textId="7B77586D" w:rsidR="006A7861" w:rsidRPr="006A7861" w:rsidRDefault="006A7861" w:rsidP="00772A0F">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World Health Organization (2020) </w:t>
      </w:r>
      <w:r w:rsidRPr="006A7861">
        <w:rPr>
          <w:rFonts w:ascii="Arial" w:eastAsia="Times New Roman" w:hAnsi="Arial" w:cs="Arial"/>
          <w:i/>
          <w:iCs/>
          <w:kern w:val="0"/>
          <w:lang w:eastAsia="en-GB"/>
          <w14:ligatures w14:val="none"/>
        </w:rPr>
        <w:t>Health and well-being in voluntary national reviews</w:t>
      </w:r>
      <w:r w:rsidRPr="006A7861">
        <w:rPr>
          <w:rFonts w:ascii="Arial" w:eastAsia="Times New Roman" w:hAnsi="Arial" w:cs="Arial"/>
          <w:kern w:val="0"/>
          <w:lang w:eastAsia="en-GB"/>
          <w14:ligatures w14:val="none"/>
        </w:rPr>
        <w:t xml:space="preserve">. Copenhagen: WHO Europe. Available at: </w:t>
      </w:r>
      <w:hyperlink r:id="rId38" w:tgtFrame="_new" w:history="1">
        <w:r w:rsidRPr="006A7861">
          <w:rPr>
            <w:rFonts w:ascii="Arial" w:eastAsia="Times New Roman" w:hAnsi="Arial" w:cs="Arial"/>
            <w:kern w:val="0"/>
            <w:lang w:eastAsia="en-GB"/>
            <w14:ligatures w14:val="none"/>
          </w:rPr>
          <w:t>https://www.who.int/europe</w:t>
        </w:r>
      </w:hyperlink>
      <w:r w:rsidRPr="006A7861">
        <w:rPr>
          <w:rFonts w:ascii="Arial" w:eastAsia="Times New Roman" w:hAnsi="Arial" w:cs="Arial"/>
          <w:kern w:val="0"/>
          <w:lang w:eastAsia="en-GB"/>
          <w14:ligatures w14:val="none"/>
        </w:rPr>
        <w:t xml:space="preserve"> (Accessed: 24 February 2026).</w:t>
      </w:r>
    </w:p>
    <w:p w14:paraId="4756E5A6" w14:textId="5B3A95CA"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World Health Organization (2023) </w:t>
      </w:r>
      <w:r w:rsidRPr="006A7861">
        <w:rPr>
          <w:rFonts w:ascii="Arial" w:eastAsia="Times New Roman" w:hAnsi="Arial" w:cs="Arial"/>
          <w:i/>
          <w:iCs/>
          <w:kern w:val="0"/>
          <w:lang w:eastAsia="en-GB"/>
          <w14:ligatures w14:val="none"/>
        </w:rPr>
        <w:t>World health statistics 2023</w:t>
      </w:r>
      <w:r w:rsidRPr="006A7861">
        <w:rPr>
          <w:rFonts w:ascii="Arial" w:eastAsia="Times New Roman" w:hAnsi="Arial" w:cs="Arial"/>
          <w:kern w:val="0"/>
          <w:lang w:eastAsia="en-GB"/>
          <w14:ligatures w14:val="none"/>
        </w:rPr>
        <w:t xml:space="preserve">. Geneva: WHO. Available at: </w:t>
      </w:r>
      <w:hyperlink r:id="rId39" w:tgtFrame="_new" w:history="1">
        <w:r w:rsidRPr="006A7861">
          <w:rPr>
            <w:rFonts w:ascii="Arial" w:eastAsia="Times New Roman" w:hAnsi="Arial" w:cs="Arial"/>
            <w:kern w:val="0"/>
            <w:lang w:eastAsia="en-GB"/>
            <w14:ligatures w14:val="none"/>
          </w:rPr>
          <w:t>https://www.who.int/data/gho</w:t>
        </w:r>
      </w:hyperlink>
      <w:r w:rsidRPr="006A7861">
        <w:rPr>
          <w:rFonts w:ascii="Arial" w:eastAsia="Times New Roman" w:hAnsi="Arial" w:cs="Arial"/>
          <w:kern w:val="0"/>
          <w:lang w:eastAsia="en-GB"/>
          <w14:ligatures w14:val="none"/>
        </w:rPr>
        <w:t xml:space="preserve"> (Accessed: </w:t>
      </w:r>
      <w:r w:rsidR="00762141">
        <w:rPr>
          <w:rFonts w:ascii="Arial" w:eastAsia="Times New Roman" w:hAnsi="Arial" w:cs="Arial"/>
          <w:kern w:val="0"/>
          <w:lang w:eastAsia="en-GB"/>
          <w14:ligatures w14:val="none"/>
        </w:rPr>
        <w:t>07 March</w:t>
      </w:r>
      <w:r w:rsidR="00762141" w:rsidRPr="006A7861">
        <w:rPr>
          <w:rFonts w:ascii="Arial" w:eastAsia="Times New Roman" w:hAnsi="Arial" w:cs="Arial"/>
          <w:kern w:val="0"/>
          <w:lang w:eastAsia="en-GB"/>
          <w14:ligatures w14:val="none"/>
        </w:rPr>
        <w:t xml:space="preserve"> </w:t>
      </w:r>
      <w:r w:rsidRPr="006A7861">
        <w:rPr>
          <w:rFonts w:ascii="Arial" w:eastAsia="Times New Roman" w:hAnsi="Arial" w:cs="Arial"/>
          <w:kern w:val="0"/>
          <w:lang w:eastAsia="en-GB"/>
          <w14:ligatures w14:val="none"/>
        </w:rPr>
        <w:t>2026).</w:t>
      </w:r>
    </w:p>
    <w:p w14:paraId="6BB4FED9" w14:textId="1D20E94B"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World Health Organization (2024a) </w:t>
      </w:r>
      <w:r w:rsidRPr="006A7861">
        <w:rPr>
          <w:rFonts w:ascii="Arial" w:eastAsia="Times New Roman" w:hAnsi="Arial" w:cs="Arial"/>
          <w:i/>
          <w:iCs/>
          <w:kern w:val="0"/>
          <w:lang w:eastAsia="en-GB"/>
          <w14:ligatures w14:val="none"/>
        </w:rPr>
        <w:t>Measuring progress of the UN Decade of Healthy Ageing</w:t>
      </w:r>
      <w:r w:rsidRPr="006A7861">
        <w:rPr>
          <w:rFonts w:ascii="Arial" w:eastAsia="Times New Roman" w:hAnsi="Arial" w:cs="Arial"/>
          <w:kern w:val="0"/>
          <w:lang w:eastAsia="en-GB"/>
          <w14:ligatures w14:val="none"/>
        </w:rPr>
        <w:t xml:space="preserve">. Geneva: WHO. Available at: </w:t>
      </w:r>
      <w:hyperlink r:id="rId40" w:tgtFrame="_new" w:history="1">
        <w:r w:rsidRPr="006A7861">
          <w:rPr>
            <w:rFonts w:ascii="Arial" w:eastAsia="Times New Roman" w:hAnsi="Arial" w:cs="Arial"/>
            <w:kern w:val="0"/>
            <w:lang w:eastAsia="en-GB"/>
            <w14:ligatures w14:val="none"/>
          </w:rPr>
          <w:t>https://www.who.int</w:t>
        </w:r>
      </w:hyperlink>
      <w:r w:rsidRPr="006A7861">
        <w:rPr>
          <w:rFonts w:ascii="Arial" w:eastAsia="Times New Roman" w:hAnsi="Arial" w:cs="Arial"/>
          <w:kern w:val="0"/>
          <w:lang w:eastAsia="en-GB"/>
          <w14:ligatures w14:val="none"/>
        </w:rPr>
        <w:t xml:space="preserve"> (Accessed: </w:t>
      </w:r>
      <w:r w:rsidR="00762141">
        <w:rPr>
          <w:rFonts w:ascii="Arial" w:eastAsia="Times New Roman" w:hAnsi="Arial" w:cs="Arial"/>
          <w:kern w:val="0"/>
          <w:lang w:eastAsia="en-GB"/>
          <w14:ligatures w14:val="none"/>
        </w:rPr>
        <w:t>11 March</w:t>
      </w:r>
      <w:r w:rsidR="00762141" w:rsidRPr="006A7861">
        <w:rPr>
          <w:rFonts w:ascii="Arial" w:eastAsia="Times New Roman" w:hAnsi="Arial" w:cs="Arial"/>
          <w:kern w:val="0"/>
          <w:lang w:eastAsia="en-GB"/>
          <w14:ligatures w14:val="none"/>
        </w:rPr>
        <w:t xml:space="preserve"> </w:t>
      </w:r>
      <w:r w:rsidRPr="006A7861">
        <w:rPr>
          <w:rFonts w:ascii="Arial" w:eastAsia="Times New Roman" w:hAnsi="Arial" w:cs="Arial"/>
          <w:kern w:val="0"/>
          <w:lang w:eastAsia="en-GB"/>
          <w14:ligatures w14:val="none"/>
        </w:rPr>
        <w:t>2026).</w:t>
      </w:r>
    </w:p>
    <w:p w14:paraId="6C6D473E" w14:textId="5599E006" w:rsidR="006A7861" w:rsidRPr="006A7861" w:rsidRDefault="006A7861" w:rsidP="006A7861">
      <w:pPr>
        <w:spacing w:before="100" w:beforeAutospacing="1" w:after="100" w:afterAutospacing="1" w:line="360" w:lineRule="auto"/>
        <w:jc w:val="both"/>
        <w:rPr>
          <w:rFonts w:ascii="Arial" w:eastAsia="Times New Roman" w:hAnsi="Arial" w:cs="Arial"/>
          <w:kern w:val="0"/>
          <w:lang w:eastAsia="en-GB"/>
          <w14:ligatures w14:val="none"/>
        </w:rPr>
      </w:pPr>
      <w:r w:rsidRPr="006A7861">
        <w:rPr>
          <w:rFonts w:ascii="Arial" w:eastAsia="Times New Roman" w:hAnsi="Arial" w:cs="Arial"/>
          <w:kern w:val="0"/>
          <w:lang w:eastAsia="en-GB"/>
          <w14:ligatures w14:val="none"/>
        </w:rPr>
        <w:t xml:space="preserve">World Health Organization Europe (2021) </w:t>
      </w:r>
      <w:r w:rsidRPr="006A7861">
        <w:rPr>
          <w:rFonts w:ascii="Arial" w:eastAsia="Times New Roman" w:hAnsi="Arial" w:cs="Arial"/>
          <w:i/>
          <w:iCs/>
          <w:kern w:val="0"/>
          <w:lang w:eastAsia="en-GB"/>
          <w14:ligatures w14:val="none"/>
        </w:rPr>
        <w:t>Urban green spaces and health</w:t>
      </w:r>
      <w:r w:rsidRPr="006A7861">
        <w:rPr>
          <w:rFonts w:ascii="Arial" w:eastAsia="Times New Roman" w:hAnsi="Arial" w:cs="Arial"/>
          <w:kern w:val="0"/>
          <w:lang w:eastAsia="en-GB"/>
          <w14:ligatures w14:val="none"/>
        </w:rPr>
        <w:t xml:space="preserve">. Copenhagen: WHO Europe. Available at: </w:t>
      </w:r>
      <w:hyperlink r:id="rId41" w:tgtFrame="_new" w:history="1">
        <w:r w:rsidRPr="006A7861">
          <w:rPr>
            <w:rFonts w:ascii="Arial" w:eastAsia="Times New Roman" w:hAnsi="Arial" w:cs="Arial"/>
            <w:kern w:val="0"/>
            <w:lang w:eastAsia="en-GB"/>
            <w14:ligatures w14:val="none"/>
          </w:rPr>
          <w:t>https://www.who.int/europe</w:t>
        </w:r>
      </w:hyperlink>
      <w:r w:rsidRPr="006A7861">
        <w:rPr>
          <w:rFonts w:ascii="Arial" w:eastAsia="Times New Roman" w:hAnsi="Arial" w:cs="Arial"/>
          <w:kern w:val="0"/>
          <w:lang w:eastAsia="en-GB"/>
          <w14:ligatures w14:val="none"/>
        </w:rPr>
        <w:t xml:space="preserve"> (Accessed: </w:t>
      </w:r>
      <w:r w:rsidR="00762141">
        <w:rPr>
          <w:rFonts w:ascii="Arial" w:eastAsia="Times New Roman" w:hAnsi="Arial" w:cs="Arial"/>
          <w:kern w:val="0"/>
          <w:lang w:eastAsia="en-GB"/>
          <w14:ligatures w14:val="none"/>
        </w:rPr>
        <w:t>12 March</w:t>
      </w:r>
      <w:r w:rsidR="00762141" w:rsidRPr="006A7861">
        <w:rPr>
          <w:rFonts w:ascii="Arial" w:eastAsia="Times New Roman" w:hAnsi="Arial" w:cs="Arial"/>
          <w:kern w:val="0"/>
          <w:lang w:eastAsia="en-GB"/>
          <w14:ligatures w14:val="none"/>
        </w:rPr>
        <w:t xml:space="preserve"> </w:t>
      </w:r>
      <w:r w:rsidRPr="006A7861">
        <w:rPr>
          <w:rFonts w:ascii="Arial" w:eastAsia="Times New Roman" w:hAnsi="Arial" w:cs="Arial"/>
          <w:kern w:val="0"/>
          <w:lang w:eastAsia="en-GB"/>
          <w14:ligatures w14:val="none"/>
        </w:rPr>
        <w:t>2026).</w:t>
      </w:r>
    </w:p>
    <w:p w14:paraId="64D2F622" w14:textId="77777777" w:rsidR="00131542" w:rsidRDefault="00131542" w:rsidP="00D23CB1">
      <w:pPr>
        <w:spacing w:before="100" w:beforeAutospacing="1" w:after="100" w:afterAutospacing="1" w:line="360" w:lineRule="auto"/>
        <w:jc w:val="both"/>
        <w:rPr>
          <w:rFonts w:ascii="Arial" w:eastAsia="Times New Roman" w:hAnsi="Arial" w:cs="Arial"/>
          <w:kern w:val="0"/>
          <w:lang w:eastAsia="en-GB"/>
          <w14:ligatures w14:val="none"/>
        </w:rPr>
      </w:pPr>
    </w:p>
    <w:p w14:paraId="0EAF0F00" w14:textId="77777777" w:rsidR="00131542" w:rsidRDefault="00131542" w:rsidP="00D23CB1">
      <w:pPr>
        <w:spacing w:before="100" w:beforeAutospacing="1" w:after="100" w:afterAutospacing="1" w:line="360" w:lineRule="auto"/>
        <w:jc w:val="both"/>
        <w:rPr>
          <w:rFonts w:ascii="Arial" w:eastAsia="Times New Roman" w:hAnsi="Arial" w:cs="Arial"/>
          <w:kern w:val="0"/>
          <w:lang w:eastAsia="en-GB"/>
          <w14:ligatures w14:val="none"/>
        </w:rPr>
      </w:pPr>
    </w:p>
    <w:p w14:paraId="497A74FB" w14:textId="77777777" w:rsidR="00131542" w:rsidRDefault="00131542" w:rsidP="00D23CB1">
      <w:pPr>
        <w:spacing w:before="100" w:beforeAutospacing="1" w:after="100" w:afterAutospacing="1" w:line="360" w:lineRule="auto"/>
        <w:jc w:val="both"/>
        <w:rPr>
          <w:rFonts w:ascii="Arial" w:eastAsia="Times New Roman" w:hAnsi="Arial" w:cs="Arial"/>
          <w:kern w:val="0"/>
          <w:lang w:eastAsia="en-GB"/>
          <w14:ligatures w14:val="none"/>
        </w:rPr>
      </w:pPr>
    </w:p>
    <w:p w14:paraId="1FFB39AA" w14:textId="77777777" w:rsidR="00131542" w:rsidRDefault="00131542" w:rsidP="00D23CB1">
      <w:pPr>
        <w:spacing w:before="100" w:beforeAutospacing="1" w:after="100" w:afterAutospacing="1" w:line="360" w:lineRule="auto"/>
        <w:jc w:val="both"/>
        <w:rPr>
          <w:rFonts w:ascii="Arial" w:eastAsia="Times New Roman" w:hAnsi="Arial" w:cs="Arial"/>
          <w:kern w:val="0"/>
          <w:lang w:eastAsia="en-GB"/>
          <w14:ligatures w14:val="none"/>
        </w:rPr>
      </w:pPr>
    </w:p>
    <w:p w14:paraId="1ECF510B" w14:textId="77777777" w:rsidR="00960C40" w:rsidRPr="00960C40" w:rsidRDefault="00960C40">
      <w:pPr>
        <w:rPr>
          <w:sz w:val="52"/>
          <w:szCs w:val="52"/>
        </w:rPr>
      </w:pPr>
    </w:p>
    <w:sectPr w:rsidR="00960C40" w:rsidRPr="00960C40">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E8D75" w14:textId="77777777" w:rsidR="00127FFA" w:rsidRDefault="00127FFA" w:rsidP="00EC3555">
      <w:pPr>
        <w:spacing w:after="0" w:line="240" w:lineRule="auto"/>
      </w:pPr>
      <w:r>
        <w:separator/>
      </w:r>
    </w:p>
  </w:endnote>
  <w:endnote w:type="continuationSeparator" w:id="0">
    <w:p w14:paraId="6BF152A7" w14:textId="77777777" w:rsidR="00127FFA" w:rsidRDefault="00127FFA" w:rsidP="00EC3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6903979"/>
      <w:docPartObj>
        <w:docPartGallery w:val="Page Numbers (Bottom of Page)"/>
        <w:docPartUnique/>
      </w:docPartObj>
    </w:sdtPr>
    <w:sdtEndPr>
      <w:rPr>
        <w:noProof/>
      </w:rPr>
    </w:sdtEndPr>
    <w:sdtContent>
      <w:p w14:paraId="3B1FA529" w14:textId="1E397C86" w:rsidR="00456505" w:rsidRDefault="004565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36BD41" w14:textId="77777777" w:rsidR="00456505" w:rsidRDefault="00456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A5F2D4" w14:textId="77777777" w:rsidR="00127FFA" w:rsidRDefault="00127FFA" w:rsidP="00EC3555">
      <w:pPr>
        <w:spacing w:after="0" w:line="240" w:lineRule="auto"/>
      </w:pPr>
      <w:r>
        <w:separator/>
      </w:r>
    </w:p>
  </w:footnote>
  <w:footnote w:type="continuationSeparator" w:id="0">
    <w:p w14:paraId="31C5F48C" w14:textId="77777777" w:rsidR="00127FFA" w:rsidRDefault="00127FFA" w:rsidP="00EC35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17D54"/>
    <w:multiLevelType w:val="multilevel"/>
    <w:tmpl w:val="A0520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11F12"/>
    <w:multiLevelType w:val="multilevel"/>
    <w:tmpl w:val="6BA89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152495"/>
    <w:multiLevelType w:val="multilevel"/>
    <w:tmpl w:val="47FC0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4A1285"/>
    <w:multiLevelType w:val="multilevel"/>
    <w:tmpl w:val="51B02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BD693B"/>
    <w:multiLevelType w:val="multilevel"/>
    <w:tmpl w:val="92C04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093F3D"/>
    <w:multiLevelType w:val="multilevel"/>
    <w:tmpl w:val="B0FE7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3B118D"/>
    <w:multiLevelType w:val="multilevel"/>
    <w:tmpl w:val="E93EB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251686B"/>
    <w:multiLevelType w:val="multilevel"/>
    <w:tmpl w:val="1B5618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930D56"/>
    <w:multiLevelType w:val="multilevel"/>
    <w:tmpl w:val="C12A0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5B14C6"/>
    <w:multiLevelType w:val="multilevel"/>
    <w:tmpl w:val="46E4E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66554D"/>
    <w:multiLevelType w:val="multilevel"/>
    <w:tmpl w:val="5CAA6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4D3FC6"/>
    <w:multiLevelType w:val="multilevel"/>
    <w:tmpl w:val="B31A7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E83F0A"/>
    <w:multiLevelType w:val="multilevel"/>
    <w:tmpl w:val="423C7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E27919"/>
    <w:multiLevelType w:val="multilevel"/>
    <w:tmpl w:val="14704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500741"/>
    <w:multiLevelType w:val="multilevel"/>
    <w:tmpl w:val="F97A6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1356D5"/>
    <w:multiLevelType w:val="multilevel"/>
    <w:tmpl w:val="C4C0A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60569D"/>
    <w:multiLevelType w:val="multilevel"/>
    <w:tmpl w:val="F7E84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7C6CCF"/>
    <w:multiLevelType w:val="multilevel"/>
    <w:tmpl w:val="31FC1C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4B7F38"/>
    <w:multiLevelType w:val="multilevel"/>
    <w:tmpl w:val="D6B2F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B351D5"/>
    <w:multiLevelType w:val="multilevel"/>
    <w:tmpl w:val="5B789E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C6A33AA"/>
    <w:multiLevelType w:val="multilevel"/>
    <w:tmpl w:val="A20C1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C02FA1"/>
    <w:multiLevelType w:val="multilevel"/>
    <w:tmpl w:val="FED24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FA3BFB"/>
    <w:multiLevelType w:val="multilevel"/>
    <w:tmpl w:val="B3D46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8A48DD"/>
    <w:multiLevelType w:val="multilevel"/>
    <w:tmpl w:val="263AD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DC7589"/>
    <w:multiLevelType w:val="multilevel"/>
    <w:tmpl w:val="B99AF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7D3C41"/>
    <w:multiLevelType w:val="multilevel"/>
    <w:tmpl w:val="9A868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FE0BD6"/>
    <w:multiLevelType w:val="multilevel"/>
    <w:tmpl w:val="68167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5E290B"/>
    <w:multiLevelType w:val="multilevel"/>
    <w:tmpl w:val="A872C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A66BF2"/>
    <w:multiLevelType w:val="multilevel"/>
    <w:tmpl w:val="BD782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A66176"/>
    <w:multiLevelType w:val="multilevel"/>
    <w:tmpl w:val="5356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333A05"/>
    <w:multiLevelType w:val="multilevel"/>
    <w:tmpl w:val="31748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C89546C"/>
    <w:multiLevelType w:val="multilevel"/>
    <w:tmpl w:val="F01E3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20902812">
    <w:abstractNumId w:val="6"/>
  </w:num>
  <w:num w:numId="2" w16cid:durableId="302196525">
    <w:abstractNumId w:val="25"/>
  </w:num>
  <w:num w:numId="3" w16cid:durableId="752093520">
    <w:abstractNumId w:val="13"/>
  </w:num>
  <w:num w:numId="4" w16cid:durableId="1422877647">
    <w:abstractNumId w:val="26"/>
  </w:num>
  <w:num w:numId="5" w16cid:durableId="1393188278">
    <w:abstractNumId w:val="19"/>
  </w:num>
  <w:num w:numId="6" w16cid:durableId="262568501">
    <w:abstractNumId w:val="20"/>
  </w:num>
  <w:num w:numId="7" w16cid:durableId="1777289217">
    <w:abstractNumId w:val="11"/>
  </w:num>
  <w:num w:numId="8" w16cid:durableId="1276324455">
    <w:abstractNumId w:val="10"/>
  </w:num>
  <w:num w:numId="9" w16cid:durableId="1745832187">
    <w:abstractNumId w:val="27"/>
  </w:num>
  <w:num w:numId="10" w16cid:durableId="839463988">
    <w:abstractNumId w:val="3"/>
  </w:num>
  <w:num w:numId="11" w16cid:durableId="913927534">
    <w:abstractNumId w:val="29"/>
  </w:num>
  <w:num w:numId="12" w16cid:durableId="1223174224">
    <w:abstractNumId w:val="24"/>
  </w:num>
  <w:num w:numId="13" w16cid:durableId="2123332012">
    <w:abstractNumId w:val="18"/>
  </w:num>
  <w:num w:numId="14" w16cid:durableId="1841384887">
    <w:abstractNumId w:val="8"/>
  </w:num>
  <w:num w:numId="15" w16cid:durableId="309481814">
    <w:abstractNumId w:val="9"/>
  </w:num>
  <w:num w:numId="16" w16cid:durableId="1497958107">
    <w:abstractNumId w:val="2"/>
  </w:num>
  <w:num w:numId="17" w16cid:durableId="1864513025">
    <w:abstractNumId w:val="12"/>
  </w:num>
  <w:num w:numId="18" w16cid:durableId="1607926193">
    <w:abstractNumId w:val="30"/>
  </w:num>
  <w:num w:numId="19" w16cid:durableId="231501812">
    <w:abstractNumId w:val="16"/>
  </w:num>
  <w:num w:numId="20" w16cid:durableId="535704902">
    <w:abstractNumId w:val="14"/>
  </w:num>
  <w:num w:numId="21" w16cid:durableId="1979600822">
    <w:abstractNumId w:val="31"/>
  </w:num>
  <w:num w:numId="22" w16cid:durableId="1578903277">
    <w:abstractNumId w:val="0"/>
  </w:num>
  <w:num w:numId="23" w16cid:durableId="1135441306">
    <w:abstractNumId w:val="1"/>
  </w:num>
  <w:num w:numId="24" w16cid:durableId="277184257">
    <w:abstractNumId w:val="28"/>
  </w:num>
  <w:num w:numId="25" w16cid:durableId="1042368175">
    <w:abstractNumId w:val="7"/>
  </w:num>
  <w:num w:numId="26" w16cid:durableId="205603752">
    <w:abstractNumId w:val="4"/>
  </w:num>
  <w:num w:numId="27" w16cid:durableId="1006787408">
    <w:abstractNumId w:val="23"/>
  </w:num>
  <w:num w:numId="28" w16cid:durableId="1433473635">
    <w:abstractNumId w:val="22"/>
  </w:num>
  <w:num w:numId="29" w16cid:durableId="1853176635">
    <w:abstractNumId w:val="5"/>
  </w:num>
  <w:num w:numId="30" w16cid:durableId="834955683">
    <w:abstractNumId w:val="15"/>
  </w:num>
  <w:num w:numId="31" w16cid:durableId="1228297676">
    <w:abstractNumId w:val="21"/>
  </w:num>
  <w:num w:numId="32" w16cid:durableId="17488047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5B7"/>
    <w:rsid w:val="00044E1E"/>
    <w:rsid w:val="00046E38"/>
    <w:rsid w:val="000577F9"/>
    <w:rsid w:val="000728D6"/>
    <w:rsid w:val="000B57D3"/>
    <w:rsid w:val="000C0027"/>
    <w:rsid w:val="000F2462"/>
    <w:rsid w:val="000F5819"/>
    <w:rsid w:val="001160AA"/>
    <w:rsid w:val="00122E7E"/>
    <w:rsid w:val="00127FFA"/>
    <w:rsid w:val="00131542"/>
    <w:rsid w:val="001353A0"/>
    <w:rsid w:val="001444B5"/>
    <w:rsid w:val="001E57B4"/>
    <w:rsid w:val="0024085A"/>
    <w:rsid w:val="00245306"/>
    <w:rsid w:val="00264875"/>
    <w:rsid w:val="00267FBA"/>
    <w:rsid w:val="00284059"/>
    <w:rsid w:val="002906B1"/>
    <w:rsid w:val="002A2398"/>
    <w:rsid w:val="002A314E"/>
    <w:rsid w:val="002A6F59"/>
    <w:rsid w:val="002B62E3"/>
    <w:rsid w:val="00332D2B"/>
    <w:rsid w:val="00353A77"/>
    <w:rsid w:val="003612AC"/>
    <w:rsid w:val="00380653"/>
    <w:rsid w:val="00393B5F"/>
    <w:rsid w:val="00397FF8"/>
    <w:rsid w:val="003B032A"/>
    <w:rsid w:val="003F01B0"/>
    <w:rsid w:val="004026A4"/>
    <w:rsid w:val="00441B18"/>
    <w:rsid w:val="0045236C"/>
    <w:rsid w:val="00456505"/>
    <w:rsid w:val="00487F92"/>
    <w:rsid w:val="00497C2D"/>
    <w:rsid w:val="004B6F02"/>
    <w:rsid w:val="004C79DE"/>
    <w:rsid w:val="004D76ED"/>
    <w:rsid w:val="004E2F4F"/>
    <w:rsid w:val="00506513"/>
    <w:rsid w:val="00521814"/>
    <w:rsid w:val="00524767"/>
    <w:rsid w:val="00525741"/>
    <w:rsid w:val="00526E27"/>
    <w:rsid w:val="005921B0"/>
    <w:rsid w:val="00595707"/>
    <w:rsid w:val="0059610E"/>
    <w:rsid w:val="005A25B7"/>
    <w:rsid w:val="005A7E19"/>
    <w:rsid w:val="005E6090"/>
    <w:rsid w:val="005F2690"/>
    <w:rsid w:val="006039C5"/>
    <w:rsid w:val="00615B8A"/>
    <w:rsid w:val="00617A1A"/>
    <w:rsid w:val="006220D7"/>
    <w:rsid w:val="00633E0C"/>
    <w:rsid w:val="00683339"/>
    <w:rsid w:val="006A7861"/>
    <w:rsid w:val="006C6BC2"/>
    <w:rsid w:val="006D3A7C"/>
    <w:rsid w:val="006E5207"/>
    <w:rsid w:val="0072404C"/>
    <w:rsid w:val="00745137"/>
    <w:rsid w:val="00762141"/>
    <w:rsid w:val="00766175"/>
    <w:rsid w:val="00772A0F"/>
    <w:rsid w:val="00774E2C"/>
    <w:rsid w:val="00777701"/>
    <w:rsid w:val="007841A8"/>
    <w:rsid w:val="0078738F"/>
    <w:rsid w:val="00791A3B"/>
    <w:rsid w:val="007B0005"/>
    <w:rsid w:val="00800E90"/>
    <w:rsid w:val="00804555"/>
    <w:rsid w:val="00815653"/>
    <w:rsid w:val="00823297"/>
    <w:rsid w:val="00873448"/>
    <w:rsid w:val="00874109"/>
    <w:rsid w:val="00875387"/>
    <w:rsid w:val="008A095D"/>
    <w:rsid w:val="008C2C20"/>
    <w:rsid w:val="008E3EF4"/>
    <w:rsid w:val="008F20C9"/>
    <w:rsid w:val="00910EEA"/>
    <w:rsid w:val="00911859"/>
    <w:rsid w:val="0091575E"/>
    <w:rsid w:val="00960C40"/>
    <w:rsid w:val="009640C4"/>
    <w:rsid w:val="00974534"/>
    <w:rsid w:val="009770E6"/>
    <w:rsid w:val="00993E1B"/>
    <w:rsid w:val="009969B9"/>
    <w:rsid w:val="009A6325"/>
    <w:rsid w:val="009B2FF0"/>
    <w:rsid w:val="009B5FD3"/>
    <w:rsid w:val="009D0750"/>
    <w:rsid w:val="009F36AC"/>
    <w:rsid w:val="00A166BA"/>
    <w:rsid w:val="00A23D8A"/>
    <w:rsid w:val="00A2460C"/>
    <w:rsid w:val="00A602A9"/>
    <w:rsid w:val="00A658DD"/>
    <w:rsid w:val="00A84E98"/>
    <w:rsid w:val="00A93286"/>
    <w:rsid w:val="00AD4345"/>
    <w:rsid w:val="00AD5C82"/>
    <w:rsid w:val="00AF6B7B"/>
    <w:rsid w:val="00B17DF7"/>
    <w:rsid w:val="00B40A72"/>
    <w:rsid w:val="00B42ABE"/>
    <w:rsid w:val="00B77CEF"/>
    <w:rsid w:val="00B8107E"/>
    <w:rsid w:val="00BA79C7"/>
    <w:rsid w:val="00BB7517"/>
    <w:rsid w:val="00BB7DAF"/>
    <w:rsid w:val="00BE26BD"/>
    <w:rsid w:val="00BE5D7A"/>
    <w:rsid w:val="00C53F79"/>
    <w:rsid w:val="00C54346"/>
    <w:rsid w:val="00C54E18"/>
    <w:rsid w:val="00C56DEE"/>
    <w:rsid w:val="00C702D2"/>
    <w:rsid w:val="00C93CDB"/>
    <w:rsid w:val="00CD32BB"/>
    <w:rsid w:val="00CD7FE9"/>
    <w:rsid w:val="00CE1706"/>
    <w:rsid w:val="00CF74AE"/>
    <w:rsid w:val="00D23CB1"/>
    <w:rsid w:val="00D26D61"/>
    <w:rsid w:val="00D579A6"/>
    <w:rsid w:val="00E10503"/>
    <w:rsid w:val="00E207A4"/>
    <w:rsid w:val="00E60802"/>
    <w:rsid w:val="00E64BBC"/>
    <w:rsid w:val="00EC3555"/>
    <w:rsid w:val="00ED0549"/>
    <w:rsid w:val="00ED281D"/>
    <w:rsid w:val="00EE27EB"/>
    <w:rsid w:val="00F06837"/>
    <w:rsid w:val="00F26EAA"/>
    <w:rsid w:val="00F27CC2"/>
    <w:rsid w:val="00F33FFB"/>
    <w:rsid w:val="00F4519C"/>
    <w:rsid w:val="00F77EB8"/>
    <w:rsid w:val="00FA2289"/>
    <w:rsid w:val="00FC4AEA"/>
    <w:rsid w:val="00FE7EDA"/>
    <w:rsid w:val="00FF7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59ACD"/>
  <w15:chartTrackingRefBased/>
  <w15:docId w15:val="{FB76D045-CF1E-4A72-A8B8-02339680F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25B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A25B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A25B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A25B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A25B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A25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25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25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25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5B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A25B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A25B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A25B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A25B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A25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25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25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25B7"/>
    <w:rPr>
      <w:rFonts w:eastAsiaTheme="majorEastAsia" w:cstheme="majorBidi"/>
      <w:color w:val="272727" w:themeColor="text1" w:themeTint="D8"/>
    </w:rPr>
  </w:style>
  <w:style w:type="paragraph" w:styleId="Title">
    <w:name w:val="Title"/>
    <w:basedOn w:val="Normal"/>
    <w:next w:val="Normal"/>
    <w:link w:val="TitleChar"/>
    <w:uiPriority w:val="10"/>
    <w:qFormat/>
    <w:rsid w:val="005A25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25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25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25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25B7"/>
    <w:pPr>
      <w:spacing w:before="160"/>
      <w:jc w:val="center"/>
    </w:pPr>
    <w:rPr>
      <w:i/>
      <w:iCs/>
      <w:color w:val="404040" w:themeColor="text1" w:themeTint="BF"/>
    </w:rPr>
  </w:style>
  <w:style w:type="character" w:customStyle="1" w:styleId="QuoteChar">
    <w:name w:val="Quote Char"/>
    <w:basedOn w:val="DefaultParagraphFont"/>
    <w:link w:val="Quote"/>
    <w:uiPriority w:val="29"/>
    <w:rsid w:val="005A25B7"/>
    <w:rPr>
      <w:i/>
      <w:iCs/>
      <w:color w:val="404040" w:themeColor="text1" w:themeTint="BF"/>
    </w:rPr>
  </w:style>
  <w:style w:type="paragraph" w:styleId="ListParagraph">
    <w:name w:val="List Paragraph"/>
    <w:basedOn w:val="Normal"/>
    <w:uiPriority w:val="34"/>
    <w:qFormat/>
    <w:rsid w:val="005A25B7"/>
    <w:pPr>
      <w:ind w:left="720"/>
      <w:contextualSpacing/>
    </w:pPr>
  </w:style>
  <w:style w:type="character" w:styleId="IntenseEmphasis">
    <w:name w:val="Intense Emphasis"/>
    <w:basedOn w:val="DefaultParagraphFont"/>
    <w:uiPriority w:val="21"/>
    <w:qFormat/>
    <w:rsid w:val="005A25B7"/>
    <w:rPr>
      <w:i/>
      <w:iCs/>
      <w:color w:val="2F5496" w:themeColor="accent1" w:themeShade="BF"/>
    </w:rPr>
  </w:style>
  <w:style w:type="paragraph" w:styleId="IntenseQuote">
    <w:name w:val="Intense Quote"/>
    <w:basedOn w:val="Normal"/>
    <w:next w:val="Normal"/>
    <w:link w:val="IntenseQuoteChar"/>
    <w:uiPriority w:val="30"/>
    <w:qFormat/>
    <w:rsid w:val="005A25B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A25B7"/>
    <w:rPr>
      <w:i/>
      <w:iCs/>
      <w:color w:val="2F5496" w:themeColor="accent1" w:themeShade="BF"/>
    </w:rPr>
  </w:style>
  <w:style w:type="character" w:styleId="IntenseReference">
    <w:name w:val="Intense Reference"/>
    <w:basedOn w:val="DefaultParagraphFont"/>
    <w:uiPriority w:val="32"/>
    <w:qFormat/>
    <w:rsid w:val="005A25B7"/>
    <w:rPr>
      <w:b/>
      <w:bCs/>
      <w:smallCaps/>
      <w:color w:val="2F5496" w:themeColor="accent1" w:themeShade="BF"/>
      <w:spacing w:val="5"/>
    </w:rPr>
  </w:style>
  <w:style w:type="character" w:styleId="Strong">
    <w:name w:val="Strong"/>
    <w:basedOn w:val="DefaultParagraphFont"/>
    <w:uiPriority w:val="22"/>
    <w:qFormat/>
    <w:rsid w:val="00AD4345"/>
    <w:rPr>
      <w:b/>
      <w:bCs/>
    </w:rPr>
  </w:style>
  <w:style w:type="character" w:styleId="Emphasis">
    <w:name w:val="Emphasis"/>
    <w:basedOn w:val="DefaultParagraphFont"/>
    <w:uiPriority w:val="20"/>
    <w:qFormat/>
    <w:rsid w:val="00AD4345"/>
    <w:rPr>
      <w:i/>
      <w:iCs/>
    </w:rPr>
  </w:style>
  <w:style w:type="character" w:styleId="Hyperlink">
    <w:name w:val="Hyperlink"/>
    <w:basedOn w:val="DefaultParagraphFont"/>
    <w:uiPriority w:val="99"/>
    <w:semiHidden/>
    <w:unhideWhenUsed/>
    <w:rsid w:val="00AD4345"/>
    <w:rPr>
      <w:color w:val="0000FF"/>
      <w:u w:val="single"/>
    </w:rPr>
  </w:style>
  <w:style w:type="paragraph" w:styleId="Header">
    <w:name w:val="header"/>
    <w:basedOn w:val="Normal"/>
    <w:link w:val="HeaderChar"/>
    <w:uiPriority w:val="99"/>
    <w:unhideWhenUsed/>
    <w:rsid w:val="00EC3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555"/>
  </w:style>
  <w:style w:type="paragraph" w:styleId="Footer">
    <w:name w:val="footer"/>
    <w:basedOn w:val="Normal"/>
    <w:link w:val="FooterChar"/>
    <w:uiPriority w:val="99"/>
    <w:unhideWhenUsed/>
    <w:rsid w:val="00EC3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555"/>
  </w:style>
  <w:style w:type="paragraph" w:styleId="NormalWeb">
    <w:name w:val="Normal (Web)"/>
    <w:basedOn w:val="Normal"/>
    <w:uiPriority w:val="99"/>
    <w:unhideWhenUsed/>
    <w:rsid w:val="007451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59"/>
    <w:rsid w:val="00C702D2"/>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B8107E"/>
    <w:pPr>
      <w:spacing w:after="0" w:line="240" w:lineRule="auto"/>
    </w:pPr>
    <w:rPr>
      <w:rFonts w:ascii="Cambria" w:eastAsia="MS Mincho" w:hAnsi="Cambria" w:cs="Times New Roman"/>
      <w:kern w:val="0"/>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normal">
    <w:name w:val="whitespace-normal"/>
    <w:basedOn w:val="DefaultParagraphFont"/>
    <w:rsid w:val="002A23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plos.org" TargetMode="External"/><Relationship Id="rId18" Type="http://schemas.openxmlformats.org/officeDocument/2006/relationships/hyperlink" Target="https://www.gov.uk/government/statistics/air-quality-statistics" TargetMode="External"/><Relationship Id="rId26" Type="http://schemas.openxmlformats.org/officeDocument/2006/relationships/hyperlink" Target="https://www.england.nhs.uk/long-term-plan/" TargetMode="External"/><Relationship Id="rId39" Type="http://schemas.openxmlformats.org/officeDocument/2006/relationships/hyperlink" Target="https://www.who.int/data/gho" TargetMode="External"/><Relationship Id="rId21" Type="http://schemas.openxmlformats.org/officeDocument/2006/relationships/hyperlink" Target="https://www.ipcc.ch/report/ar6/wg2/" TargetMode="External"/><Relationship Id="rId34" Type="http://schemas.openxmlformats.org/officeDocument/2006/relationships/hyperlink" Target="https://unhabitat.org"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dpi.com/journal/sustainability" TargetMode="External"/><Relationship Id="rId20" Type="http://schemas.openxmlformats.org/officeDocument/2006/relationships/hyperlink" Target="https://www.instituteofhealthequity.org" TargetMode="External"/><Relationship Id="rId29" Type="http://schemas.openxmlformats.org/officeDocument/2006/relationships/hyperlink" Target="https://www.thelancet.com" TargetMode="External"/><Relationship Id="rId41" Type="http://schemas.openxmlformats.org/officeDocument/2006/relationships/hyperlink" Target="https://www.who.int/europ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nao.org.uk" TargetMode="External"/><Relationship Id="rId32" Type="http://schemas.openxmlformats.org/officeDocument/2006/relationships/hyperlink" Target="https://committees.parliament.uk" TargetMode="External"/><Relationship Id="rId37" Type="http://schemas.openxmlformats.org/officeDocument/2006/relationships/hyperlink" Target="https://www.epa.gov/green-infrastructure" TargetMode="External"/><Relationship Id="rId40"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hyperlink" Target="https://www.mdpi.com/journal/sustainability" TargetMode="External"/><Relationship Id="rId23" Type="http://schemas.openxmlformats.org/officeDocument/2006/relationships/hyperlink" Target="https://www.instituteofhealthequity.org" TargetMode="External"/><Relationship Id="rId28" Type="http://schemas.openxmlformats.org/officeDocument/2006/relationships/hyperlink" Target="https://www.gov.uk" TargetMode="External"/><Relationship Id="rId36" Type="http://schemas.openxmlformats.org/officeDocument/2006/relationships/hyperlink" Target="https://population.un.org/wup/" TargetMode="External"/><Relationship Id="rId10" Type="http://schemas.openxmlformats.org/officeDocument/2006/relationships/image" Target="media/image3.png"/><Relationship Id="rId19" Type="http://schemas.openxmlformats.org/officeDocument/2006/relationships/hyperlink" Target="https://link.springer.com/journal/11524" TargetMode="External"/><Relationship Id="rId31" Type="http://schemas.openxmlformats.org/officeDocument/2006/relationships/hyperlink" Target="https://www.kingsfund.org.uk"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irmingham.gov.uk" TargetMode="External"/><Relationship Id="rId22" Type="http://schemas.openxmlformats.org/officeDocument/2006/relationships/hyperlink" Target="https://www.tandfonline.com/journals/rcah20" TargetMode="External"/><Relationship Id="rId27" Type="http://schemas.openxmlformats.org/officeDocument/2006/relationships/hyperlink" Target="https://www.ons.gov.uk" TargetMode="External"/><Relationship Id="rId30" Type="http://schemas.openxmlformats.org/officeDocument/2006/relationships/hyperlink" Target="https://www.sustrans.org.uk" TargetMode="External"/><Relationship Id="rId35" Type="http://schemas.openxmlformats.org/officeDocument/2006/relationships/hyperlink" Target="https://sdgs.un.org/2030agenda"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jech.bmj.com" TargetMode="External"/><Relationship Id="rId17" Type="http://schemas.openxmlformats.org/officeDocument/2006/relationships/hyperlink" Target="https://www.gov.uk/government/publications/clean-air-strategy-2019" TargetMode="External"/><Relationship Id="rId25" Type="http://schemas.openxmlformats.org/officeDocument/2006/relationships/hyperlink" Target="https://digital.nhs.uk" TargetMode="External"/><Relationship Id="rId33" Type="http://schemas.openxmlformats.org/officeDocument/2006/relationships/hyperlink" Target="https://www.gov.uk" TargetMode="External"/><Relationship Id="rId38" Type="http://schemas.openxmlformats.org/officeDocument/2006/relationships/hyperlink" Target="https://www.who.int/euro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628FA5-D5FB-4614-9BC9-2008E6BF1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888</TotalTime>
  <Pages>14</Pages>
  <Words>3742</Words>
  <Characters>21333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ARIF ULLAH</dc:creator>
  <cp:keywords/>
  <dc:description/>
  <cp:lastModifiedBy>MD ARIF ULLAH</cp:lastModifiedBy>
  <cp:revision>30</cp:revision>
  <dcterms:created xsi:type="dcterms:W3CDTF">2026-02-19T01:56:00Z</dcterms:created>
  <dcterms:modified xsi:type="dcterms:W3CDTF">2026-03-20T17:51:00Z</dcterms:modified>
</cp:coreProperties>
</file>