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5DF0B" w14:textId="77777777" w:rsidR="006229CB" w:rsidRPr="006229CB" w:rsidRDefault="00000000" w:rsidP="006229CB">
      <w:pPr>
        <w:jc w:val="center"/>
        <w:rPr>
          <w:rFonts w:ascii="Arial" w:hAnsi="Arial" w:cs="Arial"/>
          <w:b/>
          <w:bCs/>
          <w:color w:val="000000"/>
          <w:kern w:val="0"/>
          <w:sz w:val="22"/>
          <w:szCs w:val="22"/>
        </w:rPr>
      </w:pPr>
      <w:r w:rsidRPr="006229CB">
        <w:rPr>
          <w:rFonts w:ascii="Arial" w:hAnsi="Arial" w:cs="Arial"/>
          <w:noProof/>
        </w:rPr>
        <w:drawing>
          <wp:anchor distT="0" distB="0" distL="114300" distR="114300" simplePos="0" relativeHeight="251658240" behindDoc="0" locked="0" layoutInCell="1" allowOverlap="1" wp14:anchorId="446CA4EB" wp14:editId="16FF951A">
            <wp:simplePos x="0" y="0"/>
            <wp:positionH relativeFrom="column">
              <wp:posOffset>1328180</wp:posOffset>
            </wp:positionH>
            <wp:positionV relativeFrom="paragraph">
              <wp:posOffset>94615</wp:posOffset>
            </wp:positionV>
            <wp:extent cx="3009900" cy="1676400"/>
            <wp:effectExtent l="0" t="0" r="0" b="0"/>
            <wp:wrapTopAndBottom/>
            <wp:docPr id="1526424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24829" name=""/>
                    <pic:cNvPicPr/>
                  </pic:nvPicPr>
                  <pic:blipFill>
                    <a:blip r:embed="rId7"/>
                    <a:stretch>
                      <a:fillRect/>
                    </a:stretch>
                  </pic:blipFill>
                  <pic:spPr>
                    <a:xfrm>
                      <a:off x="0" y="0"/>
                      <a:ext cx="3009900" cy="1676400"/>
                    </a:xfrm>
                    <a:prstGeom prst="rect">
                      <a:avLst/>
                    </a:prstGeom>
                  </pic:spPr>
                </pic:pic>
              </a:graphicData>
            </a:graphic>
          </wp:anchor>
        </w:drawing>
      </w:r>
    </w:p>
    <w:p w14:paraId="0C2A5402" w14:textId="77777777" w:rsidR="006229CB" w:rsidRPr="006229CB" w:rsidRDefault="00000000" w:rsidP="006229CB">
      <w:pPr>
        <w:jc w:val="center"/>
        <w:rPr>
          <w:rFonts w:ascii="Arial" w:hAnsi="Arial" w:cs="Arial"/>
          <w:b/>
          <w:bCs/>
          <w:color w:val="000000"/>
          <w:kern w:val="0"/>
          <w:sz w:val="36"/>
          <w:szCs w:val="36"/>
        </w:rPr>
      </w:pPr>
      <w:r w:rsidRPr="006229CB">
        <w:rPr>
          <w:rFonts w:ascii="Arial" w:hAnsi="Arial" w:cs="Arial"/>
          <w:b/>
          <w:bCs/>
          <w:color w:val="000000"/>
          <w:kern w:val="0"/>
          <w:sz w:val="36"/>
          <w:szCs w:val="36"/>
        </w:rPr>
        <w:t>BA (Hons) International Hotel Management</w:t>
      </w:r>
    </w:p>
    <w:p w14:paraId="4EE58E3E" w14:textId="77777777" w:rsidR="006229CB" w:rsidRPr="006229CB" w:rsidRDefault="00000000" w:rsidP="006229CB">
      <w:pPr>
        <w:jc w:val="center"/>
        <w:rPr>
          <w:rFonts w:ascii="Arial" w:hAnsi="Arial" w:cs="Arial"/>
          <w:b/>
          <w:bCs/>
          <w:color w:val="000000"/>
          <w:kern w:val="0"/>
          <w:sz w:val="36"/>
          <w:szCs w:val="36"/>
        </w:rPr>
      </w:pPr>
      <w:r w:rsidRPr="006229CB">
        <w:rPr>
          <w:rFonts w:ascii="Arial" w:hAnsi="Arial" w:cs="Arial"/>
          <w:b/>
          <w:bCs/>
          <w:color w:val="000000"/>
          <w:kern w:val="0"/>
          <w:sz w:val="36"/>
          <w:szCs w:val="36"/>
        </w:rPr>
        <w:t>Sustainable Hospitality and Tourism Management</w:t>
      </w:r>
    </w:p>
    <w:p w14:paraId="578EBF3B" w14:textId="77777777" w:rsidR="006229CB" w:rsidRPr="006229CB" w:rsidRDefault="00000000" w:rsidP="006229CB">
      <w:pPr>
        <w:jc w:val="center"/>
        <w:rPr>
          <w:rFonts w:ascii="Arial" w:hAnsi="Arial" w:cs="Arial"/>
          <w:b/>
          <w:bCs/>
          <w:color w:val="000000"/>
          <w:kern w:val="0"/>
          <w:sz w:val="36"/>
          <w:szCs w:val="36"/>
        </w:rPr>
      </w:pPr>
      <w:r w:rsidRPr="006229CB">
        <w:rPr>
          <w:rFonts w:ascii="Arial" w:hAnsi="Arial" w:cs="Arial"/>
          <w:b/>
          <w:bCs/>
          <w:color w:val="000000"/>
          <w:kern w:val="0"/>
          <w:sz w:val="36"/>
          <w:szCs w:val="36"/>
        </w:rPr>
        <w:t>BMIH5006</w:t>
      </w:r>
    </w:p>
    <w:p w14:paraId="1A4B2B0E" w14:textId="77777777" w:rsidR="006229CB" w:rsidRPr="006229CB" w:rsidRDefault="00000000" w:rsidP="006229CB">
      <w:pPr>
        <w:jc w:val="center"/>
        <w:rPr>
          <w:rFonts w:ascii="Arial" w:hAnsi="Arial" w:cs="Arial"/>
          <w:b/>
          <w:bCs/>
          <w:color w:val="000000"/>
          <w:kern w:val="0"/>
          <w:sz w:val="36"/>
          <w:szCs w:val="36"/>
        </w:rPr>
      </w:pPr>
      <w:r w:rsidRPr="006229CB">
        <w:rPr>
          <w:rFonts w:ascii="Arial" w:hAnsi="Arial" w:cs="Arial"/>
          <w:b/>
          <w:bCs/>
          <w:color w:val="000000"/>
          <w:kern w:val="0"/>
          <w:sz w:val="36"/>
          <w:szCs w:val="36"/>
        </w:rPr>
        <w:t>Essay</w:t>
      </w:r>
    </w:p>
    <w:p w14:paraId="50BF6BC9" w14:textId="77777777" w:rsidR="006229CB" w:rsidRPr="006229CB" w:rsidRDefault="006229CB" w:rsidP="006229CB">
      <w:pPr>
        <w:jc w:val="center"/>
        <w:rPr>
          <w:rFonts w:ascii="Arial" w:hAnsi="Arial" w:cs="Arial"/>
          <w:b/>
          <w:bCs/>
          <w:color w:val="000000"/>
          <w:kern w:val="0"/>
          <w:sz w:val="36"/>
          <w:szCs w:val="36"/>
        </w:rPr>
      </w:pPr>
    </w:p>
    <w:p w14:paraId="5A96E498" w14:textId="77777777" w:rsidR="006229CB" w:rsidRPr="006229CB" w:rsidRDefault="006229CB" w:rsidP="006229CB">
      <w:pPr>
        <w:jc w:val="center"/>
        <w:rPr>
          <w:rFonts w:ascii="Arial" w:hAnsi="Arial" w:cs="Arial"/>
          <w:b/>
          <w:bCs/>
          <w:color w:val="000000"/>
          <w:kern w:val="0"/>
          <w:sz w:val="36"/>
          <w:szCs w:val="36"/>
        </w:rPr>
      </w:pPr>
    </w:p>
    <w:p w14:paraId="69CC8E9B" w14:textId="77777777" w:rsidR="006229CB" w:rsidRPr="006229CB" w:rsidRDefault="006229CB" w:rsidP="006229CB">
      <w:pPr>
        <w:jc w:val="center"/>
        <w:rPr>
          <w:rFonts w:ascii="Arial" w:hAnsi="Arial" w:cs="Arial"/>
          <w:b/>
          <w:bCs/>
          <w:color w:val="000000"/>
          <w:kern w:val="0"/>
          <w:sz w:val="36"/>
          <w:szCs w:val="36"/>
        </w:rPr>
      </w:pPr>
    </w:p>
    <w:p w14:paraId="6787C605" w14:textId="77777777" w:rsidR="006229CB" w:rsidRPr="006229CB" w:rsidRDefault="006229CB" w:rsidP="006229CB">
      <w:pPr>
        <w:jc w:val="center"/>
        <w:rPr>
          <w:rFonts w:ascii="Arial" w:hAnsi="Arial" w:cs="Arial"/>
          <w:b/>
          <w:bCs/>
          <w:color w:val="000000"/>
          <w:kern w:val="0"/>
          <w:sz w:val="36"/>
          <w:szCs w:val="36"/>
        </w:rPr>
      </w:pPr>
    </w:p>
    <w:p w14:paraId="5EC4955E" w14:textId="77777777" w:rsidR="006229CB" w:rsidRPr="006229CB" w:rsidRDefault="006229CB" w:rsidP="006229CB">
      <w:pPr>
        <w:jc w:val="center"/>
        <w:rPr>
          <w:rFonts w:ascii="Arial" w:hAnsi="Arial" w:cs="Arial"/>
          <w:b/>
          <w:bCs/>
          <w:color w:val="000000"/>
          <w:kern w:val="0"/>
          <w:sz w:val="36"/>
          <w:szCs w:val="36"/>
        </w:rPr>
      </w:pPr>
    </w:p>
    <w:p w14:paraId="36A3120A" w14:textId="77777777" w:rsidR="006229CB" w:rsidRPr="006229CB" w:rsidRDefault="006229CB" w:rsidP="006229CB">
      <w:pPr>
        <w:jc w:val="center"/>
        <w:rPr>
          <w:rFonts w:ascii="Arial" w:hAnsi="Arial" w:cs="Arial"/>
          <w:color w:val="000000"/>
          <w:kern w:val="0"/>
          <w:szCs w:val="24"/>
        </w:rPr>
      </w:pPr>
    </w:p>
    <w:p w14:paraId="28F7C9C6" w14:textId="77777777" w:rsidR="006229CB" w:rsidRPr="006229CB" w:rsidRDefault="00000000" w:rsidP="006229CB">
      <w:pPr>
        <w:jc w:val="center"/>
        <w:rPr>
          <w:rFonts w:ascii="Arial" w:hAnsi="Arial" w:cs="Arial"/>
          <w:color w:val="000000"/>
          <w:kern w:val="0"/>
          <w:szCs w:val="24"/>
        </w:rPr>
      </w:pPr>
      <w:r w:rsidRPr="006229CB">
        <w:rPr>
          <w:rFonts w:ascii="Arial" w:hAnsi="Arial" w:cs="Arial"/>
          <w:color w:val="000000"/>
          <w:kern w:val="0"/>
          <w:szCs w:val="24"/>
        </w:rPr>
        <w:t>Student Name: Siddi arachchige Lalani de silva</w:t>
      </w:r>
    </w:p>
    <w:p w14:paraId="450476FD" w14:textId="1FB17F67" w:rsidR="006229CB" w:rsidRPr="006229CB" w:rsidRDefault="00000000" w:rsidP="006229CB">
      <w:pPr>
        <w:jc w:val="center"/>
        <w:rPr>
          <w:rFonts w:ascii="Arial" w:eastAsiaTheme="majorEastAsia" w:hAnsi="Arial" w:cs="Arial"/>
          <w:b/>
          <w:color w:val="2F5496" w:themeColor="accent1" w:themeShade="BF"/>
          <w:sz w:val="32"/>
          <w:szCs w:val="40"/>
        </w:rPr>
      </w:pPr>
      <w:r w:rsidRPr="006229CB">
        <w:rPr>
          <w:rFonts w:ascii="Arial" w:hAnsi="Arial" w:cs="Arial"/>
          <w:color w:val="000000"/>
          <w:kern w:val="0"/>
          <w:szCs w:val="24"/>
        </w:rPr>
        <w:t>ID:</w:t>
      </w:r>
      <w:r w:rsidR="00BD0C82">
        <w:rPr>
          <w:rFonts w:ascii="Arial" w:hAnsi="Arial" w:cs="Arial"/>
          <w:color w:val="000000"/>
          <w:kern w:val="0"/>
          <w:szCs w:val="24"/>
        </w:rPr>
        <w:t xml:space="preserve"> 2230713</w:t>
      </w:r>
      <w:r w:rsidRPr="006229CB">
        <w:rPr>
          <w:rFonts w:ascii="Arial" w:hAnsi="Arial" w:cs="Arial"/>
        </w:rPr>
        <w:br w:type="page"/>
      </w:r>
    </w:p>
    <w:p w14:paraId="57559B61" w14:textId="77777777" w:rsidR="006229CB" w:rsidRPr="006229CB" w:rsidRDefault="00000000" w:rsidP="006229CB">
      <w:pPr>
        <w:jc w:val="center"/>
        <w:rPr>
          <w:rFonts w:ascii="Arial" w:hAnsi="Arial" w:cs="Arial"/>
          <w:b/>
          <w:bCs/>
          <w:sz w:val="36"/>
          <w:szCs w:val="40"/>
        </w:rPr>
      </w:pPr>
      <w:r w:rsidRPr="006229CB">
        <w:rPr>
          <w:rFonts w:ascii="Arial" w:hAnsi="Arial" w:cs="Arial"/>
          <w:b/>
          <w:bCs/>
          <w:sz w:val="36"/>
          <w:szCs w:val="40"/>
        </w:rPr>
        <w:lastRenderedPageBreak/>
        <w:t>The Role of Corporate Social Responsibility (CSR) in Promoting Sustainability in the Hospitality Industry: A Case Study of Holiday Inn</w:t>
      </w:r>
    </w:p>
    <w:p w14:paraId="0A36BF6B" w14:textId="77777777" w:rsidR="006229CB" w:rsidRPr="006229CB" w:rsidRDefault="00000000" w:rsidP="006229CB">
      <w:pPr>
        <w:pStyle w:val="Heading1"/>
        <w:rPr>
          <w:rFonts w:ascii="Arial" w:hAnsi="Arial" w:cs="Arial"/>
        </w:rPr>
      </w:pPr>
      <w:r w:rsidRPr="006229CB">
        <w:rPr>
          <w:rFonts w:ascii="Arial" w:hAnsi="Arial" w:cs="Arial"/>
        </w:rPr>
        <w:t>Introduction:</w:t>
      </w:r>
    </w:p>
    <w:p w14:paraId="715A23EA" w14:textId="77777777" w:rsidR="006229CB" w:rsidRPr="006229CB" w:rsidRDefault="00000000" w:rsidP="006229CB">
      <w:pPr>
        <w:rPr>
          <w:rFonts w:ascii="Arial" w:hAnsi="Arial" w:cs="Arial"/>
        </w:rPr>
      </w:pPr>
      <w:r w:rsidRPr="006229CB">
        <w:rPr>
          <w:rFonts w:ascii="Arial" w:hAnsi="Arial" w:cs="Arial"/>
        </w:rPr>
        <w:t>In the hospitality industry, CSR has become a critical approach by which firms or organisations ought to conduct their economic activities responsibly with special regard for society and the environmental council. Rob defined CSR as an incorporation of social, environmental and economic factors into the operational activities of a business, and as an activity widely regarded as crucial to medium and long-term success in current environmental conditions. When it comes to hotels consumers are more and more concerned about sustainability issues, so CSR strategies serve not only to improve and advertise the company's image but also to optimise performance and to benefit the community. From among the many stakeholders within this vast and competitive field, this essay centres on the Holiday Inn London – Kensington High Street to address how it has integrated CSR into its operations. The discussion of particular CSR initiatives, policies, issues, and outcomes all seek to demonstrate how CS has a critical role where sustainable practises are concerned for businesses in the sector.</w:t>
      </w:r>
    </w:p>
    <w:p w14:paraId="2A20C31E" w14:textId="77777777" w:rsidR="006229CB" w:rsidRPr="006229CB" w:rsidRDefault="00000000" w:rsidP="006229CB">
      <w:pPr>
        <w:pStyle w:val="Heading1"/>
        <w:rPr>
          <w:rFonts w:ascii="Arial" w:hAnsi="Arial" w:cs="Arial"/>
        </w:rPr>
      </w:pPr>
      <w:r w:rsidRPr="006229CB">
        <w:rPr>
          <w:rFonts w:ascii="Arial" w:hAnsi="Arial" w:cs="Arial"/>
        </w:rPr>
        <w:t>Case Study: Holiday Inn</w:t>
      </w:r>
    </w:p>
    <w:p w14:paraId="45EA1A28" w14:textId="77777777" w:rsidR="006229CB" w:rsidRPr="006229CB" w:rsidRDefault="00000000" w:rsidP="006229CB">
      <w:pPr>
        <w:rPr>
          <w:rFonts w:ascii="Arial" w:hAnsi="Arial" w:cs="Arial"/>
          <w:b/>
          <w:bCs/>
        </w:rPr>
      </w:pPr>
      <w:r w:rsidRPr="006229CB">
        <w:rPr>
          <w:rFonts w:ascii="Arial" w:hAnsi="Arial" w:cs="Arial"/>
          <w:b/>
          <w:bCs/>
        </w:rPr>
        <w:t>Overview of Holiday Inn:</w:t>
      </w:r>
    </w:p>
    <w:p w14:paraId="40FA5C94" w14:textId="77777777" w:rsidR="006229CB" w:rsidRPr="006229CB" w:rsidRDefault="00000000" w:rsidP="006229CB">
      <w:pPr>
        <w:rPr>
          <w:rFonts w:ascii="Arial" w:hAnsi="Arial" w:cs="Arial"/>
        </w:rPr>
      </w:pPr>
      <w:r w:rsidRPr="006229CB">
        <w:rPr>
          <w:rFonts w:ascii="Arial" w:hAnsi="Arial" w:cs="Arial"/>
        </w:rPr>
        <w:t xml:space="preserve">Holiday Inn London – Kensington High Street is located in the heart of one of the most popular areas of London with comfort and leisure. This hotel with a room capacity of 708 accommodates guests and has several meeting banquet and event space facilities as a branch of IHG. Due to its dessert location, it can serve various types of customers that are both international visitors, businesspersons within the area, and families who would like to visit its proximity attractions like the Royal Albert Hall, Kensington Gardens, and the Natural History Museum. Due to its specialisation in quality and efficient service delivery in its hospitality services, the hotel has a direct and indirect impact on employment opportunities within the local economy by acting as an employer and by procuring services frequently from various other firms </w:t>
      </w:r>
      <w:r w:rsidRPr="006229CB">
        <w:rPr>
          <w:rFonts w:ascii="Arial" w:hAnsi="Arial" w:cs="Arial"/>
        </w:rPr>
        <w:lastRenderedPageBreak/>
        <w:t>(González et al., 2018). Further, the hotel receives a constant stream of foreigners through its doors, meaning the sector receives a boost in its economic returns because the region depends much on tourism-related accommodation services.</w:t>
      </w:r>
    </w:p>
    <w:p w14:paraId="5FBE70C1" w14:textId="77777777" w:rsidR="006229CB" w:rsidRPr="006229CB" w:rsidRDefault="00000000" w:rsidP="006229CB">
      <w:pPr>
        <w:rPr>
          <w:rFonts w:ascii="Arial" w:hAnsi="Arial" w:cs="Arial"/>
          <w:b/>
          <w:bCs/>
        </w:rPr>
      </w:pPr>
      <w:r w:rsidRPr="006229CB">
        <w:rPr>
          <w:rFonts w:ascii="Arial" w:hAnsi="Arial" w:cs="Arial"/>
          <w:b/>
          <w:bCs/>
        </w:rPr>
        <w:t>Incorporation of CSR into Business Practices:</w:t>
      </w:r>
    </w:p>
    <w:p w14:paraId="27F897E6" w14:textId="77777777" w:rsidR="006229CB" w:rsidRPr="006229CB" w:rsidRDefault="00000000" w:rsidP="006229CB">
      <w:pPr>
        <w:rPr>
          <w:rFonts w:ascii="Arial" w:hAnsi="Arial" w:cs="Arial"/>
        </w:rPr>
      </w:pPr>
      <w:r w:rsidRPr="006229CB">
        <w:rPr>
          <w:rFonts w:ascii="Arial" w:hAnsi="Arial" w:cs="Arial"/>
        </w:rPr>
        <w:t>In its operation, the Holiday Inn London – Kensington High Street has effectively incorporated CSR into the business management, as the vision and practice to confirm the provision of sustainable and ethical practises that can define today's hospitality business. This is evident from various stewardship activities that affect the hotel's environment and boost social responsibilities. Energy conservation is an important and one of the most crucial parts of their CSR plan. They use efficient energy lighting, and heating and put in smart technology to measure the amount of energy used in the hotel. Energy and climate report of the International Energy Agency 2020 pointed out that the efficacy of adopting energy-saving measures may bring down the overall energy usage in hotels up to 30%.</w:t>
      </w:r>
    </w:p>
    <w:p w14:paraId="06E808BB" w14:textId="77777777" w:rsidR="006229CB" w:rsidRPr="006229CB" w:rsidRDefault="00000000" w:rsidP="006229CB">
      <w:pPr>
        <w:rPr>
          <w:rFonts w:ascii="Arial" w:hAnsi="Arial" w:cs="Arial"/>
          <w:lang w:bidi="hi-IN"/>
        </w:rPr>
      </w:pPr>
      <w:r w:rsidRPr="006229CB">
        <w:rPr>
          <w:rFonts w:ascii="Arial" w:hAnsi="Arial" w:cs="Arial"/>
        </w:rPr>
        <w:t>Apart from energy conservation, the Holiday Inn has also adopted water usage conservation strategies, that seek to save water while meeting the comfort of the guests. Water conservation: While I didn't get a chance to see the showers and faucets inside, the hotel has used low-flow fixtures in showers and a water recyclable system for landscaping hence low water consumption (</w:t>
      </w:r>
      <w:r w:rsidRPr="006229CB">
        <w:rPr>
          <w:rFonts w:ascii="Arial" w:hAnsi="Arial" w:cs="Arial"/>
          <w:lang w:val=""/>
        </w:rPr>
        <w:t>Jamal</w:t>
      </w:r>
      <w:r w:rsidRPr="006229CB">
        <w:rPr>
          <w:rFonts w:ascii="Arial" w:hAnsi="Arial" w:cs="Arial"/>
          <w:lang w:val="en-US"/>
        </w:rPr>
        <w:t xml:space="preserve"> </w:t>
      </w:r>
      <w:r w:rsidRPr="006229CB">
        <w:rPr>
          <w:rFonts w:ascii="Arial" w:hAnsi="Arial" w:cs="Arial"/>
          <w:lang w:val=""/>
        </w:rPr>
        <w:t>and Camargo, 2018</w:t>
      </w:r>
      <w:r w:rsidRPr="006229CB">
        <w:rPr>
          <w:rFonts w:ascii="Arial" w:hAnsi="Arial" w:cs="Arial"/>
        </w:rPr>
        <w:t>). Such actions not only improve the organisation's environmental footprint but also result in bottom-line savings in the process designed to be reinvested back into making the organisation ever more environmentally conscious.</w:t>
      </w:r>
    </w:p>
    <w:p w14:paraId="0EA3ADED" w14:textId="77777777" w:rsidR="006229CB" w:rsidRPr="006229CB" w:rsidRDefault="00000000" w:rsidP="006229CB">
      <w:pPr>
        <w:rPr>
          <w:rFonts w:ascii="Arial" w:hAnsi="Arial" w:cs="Arial"/>
        </w:rPr>
      </w:pPr>
      <w:r w:rsidRPr="006229CB">
        <w:rPr>
          <w:rFonts w:ascii="Arial" w:hAnsi="Arial" w:cs="Arial"/>
        </w:rPr>
        <w:t>On this front, the Holiday Inn has put in place a recycling policy that will ensure that guests and even the staff, embrace the culture of conserving waste. This includes the separation of recyclables as well as the use of eco-friendly products in feeding services. Engaging the services of local waste management companies makes certain that most of the wastes generated are recycled hence the management of waste is in line with the circular economy (Jones et al., 2020).</w:t>
      </w:r>
    </w:p>
    <w:p w14:paraId="38541538" w14:textId="77777777" w:rsidR="006229CB" w:rsidRPr="006229CB" w:rsidRDefault="00000000" w:rsidP="006229CB">
      <w:pPr>
        <w:rPr>
          <w:rFonts w:ascii="Arial" w:hAnsi="Arial" w:cs="Arial"/>
        </w:rPr>
      </w:pPr>
      <w:r w:rsidRPr="006229CB">
        <w:rPr>
          <w:rFonts w:ascii="Arial" w:hAnsi="Arial" w:cs="Arial"/>
        </w:rPr>
        <w:t xml:space="preserve">In addition to that, the management of this hotel provides patronage to the local producers and other social causes. This includes the procurement of their food and other essential commodities from the local market which contributes to the local economy besides equally contributing to the reduction of the carbon footprint that results from transportation (Fletcher and Sigala, 2019). The Holiday Inn London – </w:t>
      </w:r>
      <w:r w:rsidRPr="006229CB">
        <w:rPr>
          <w:rFonts w:ascii="Arial" w:hAnsi="Arial" w:cs="Arial"/>
        </w:rPr>
        <w:lastRenderedPageBreak/>
        <w:t>Kensington High Street also engage in public relations activities and organise events that will foster the corporate social responsibility of the organisation.</w:t>
      </w:r>
    </w:p>
    <w:p w14:paraId="0CBEE10F" w14:textId="77777777" w:rsidR="006229CB" w:rsidRPr="006229CB" w:rsidRDefault="00000000" w:rsidP="006229CB">
      <w:pPr>
        <w:rPr>
          <w:rFonts w:ascii="Arial" w:hAnsi="Arial" w:cs="Arial"/>
          <w:b/>
          <w:bCs/>
        </w:rPr>
      </w:pPr>
      <w:r w:rsidRPr="006229CB">
        <w:rPr>
          <w:rFonts w:ascii="Arial" w:hAnsi="Arial" w:cs="Arial"/>
          <w:b/>
          <w:bCs/>
        </w:rPr>
        <w:t>CSR Policies of Holiday Inn:</w:t>
      </w:r>
    </w:p>
    <w:p w14:paraId="11CCBC84" w14:textId="77777777" w:rsidR="006229CB" w:rsidRPr="006229CB" w:rsidRDefault="00000000" w:rsidP="006229CB">
      <w:pPr>
        <w:rPr>
          <w:rFonts w:ascii="Arial" w:hAnsi="Arial" w:cs="Arial"/>
        </w:rPr>
      </w:pPr>
      <w:r w:rsidRPr="006229CB">
        <w:rPr>
          <w:rFonts w:ascii="Arial" w:hAnsi="Arial" w:cs="Arial"/>
        </w:rPr>
        <w:t>The CSR index of Holiday Inn has its origin in the IHG green engage system which is a sustainability system that is by InterContinental Hotels Group. This system gives the hotels a way to assess and regulate their environmental footprint, giving them best practices on ways by which they can minimise their energy, water, and waste emissions (IHG, 2021). The Holiday Inn London – Kensington High Street has committed to using the Green Engage system and has set the targets for its sustainable development – to decrease energy usage to 20% and water usage to 15% by the year 2025.</w:t>
      </w:r>
    </w:p>
    <w:p w14:paraId="7668D30A" w14:textId="77777777" w:rsidR="006229CB" w:rsidRPr="006229CB" w:rsidRDefault="00000000" w:rsidP="006229CB">
      <w:pPr>
        <w:rPr>
          <w:rFonts w:ascii="Arial" w:hAnsi="Arial" w:cs="Arial"/>
        </w:rPr>
      </w:pPr>
      <w:r w:rsidRPr="006229CB">
        <w:rPr>
          <w:rFonts w:ascii="Arial" w:hAnsi="Arial" w:cs="Arial"/>
        </w:rPr>
        <w:t>In addition, the hotel maintains sustainable tourism practised to ensure guests are clued on the sustainable practises in our facility. For instance, the Holiday Inn encourages guests to participate in programs like "Make a Green Choice," allowing them to opt out of daily housekeeping in exchange for rewards. This effort is not only cost-saving but also used as an advocacy in making the guests' become more environmentally conscious (International Hotel and Restaurant Association, 2020).</w:t>
      </w:r>
    </w:p>
    <w:p w14:paraId="2E752497" w14:textId="77777777" w:rsidR="006229CB" w:rsidRPr="006229CB" w:rsidRDefault="00000000" w:rsidP="006229CB">
      <w:pPr>
        <w:rPr>
          <w:rFonts w:ascii="Arial" w:hAnsi="Arial" w:cs="Arial"/>
        </w:rPr>
      </w:pPr>
      <w:r w:rsidRPr="006229CB">
        <w:rPr>
          <w:rFonts w:ascii="Arial" w:hAnsi="Arial" w:cs="Arial"/>
        </w:rPr>
        <w:t>In sum, the Holiday Inn London – Kensington High Street has proved to be a real pioneer in its company and the sphere of hospitality relative to CSR. Both externally and internally, the hotel improves operations and outcomes while the environment and community benefit from the sustainability efforts of the business.</w:t>
      </w:r>
    </w:p>
    <w:p w14:paraId="5F09755E" w14:textId="77777777" w:rsidR="006229CB" w:rsidRPr="006229CB" w:rsidRDefault="00000000" w:rsidP="006229CB">
      <w:pPr>
        <w:rPr>
          <w:rFonts w:ascii="Arial" w:hAnsi="Arial" w:cs="Arial"/>
          <w:lang w:eastAsia="en-GB"/>
        </w:rPr>
      </w:pPr>
      <w:r w:rsidRPr="006229CB">
        <w:rPr>
          <w:rFonts w:ascii="Arial" w:hAnsi="Arial" w:cs="Arial"/>
          <w:b/>
          <w:bCs/>
          <w:lang w:eastAsia="en-GB"/>
        </w:rPr>
        <w:t>Challenges in Implementing CSR:</w:t>
      </w:r>
    </w:p>
    <w:p w14:paraId="08E8800D" w14:textId="77777777" w:rsidR="006229CB" w:rsidRPr="006229CB" w:rsidRDefault="00000000" w:rsidP="006229CB">
      <w:pPr>
        <w:rPr>
          <w:rFonts w:ascii="Arial" w:hAnsi="Arial" w:cs="Arial"/>
        </w:rPr>
      </w:pPr>
      <w:r w:rsidRPr="006229CB">
        <w:rPr>
          <w:rFonts w:ascii="Arial" w:hAnsi="Arial" w:cs="Arial"/>
        </w:rPr>
        <w:t>The following are challenges to the Holiday Inn London – Kensington High Street to adopt Corporate Social Responsibility (CSR) practises. A clear and major problem evident will be the problem of financial resources. Sustainable activities are, largely, future-oriented activities where the gains are gradual while there is a lot of capital that one spends on energy-efficient products, water-saving tools and resources, and complete waste management systems. Restricted capital may cause the hotel to compromise more on the initial monetary returns than the sustainable returns thus putting a lot of pressure on CSR funding (</w:t>
      </w:r>
      <w:r w:rsidRPr="006229CB">
        <w:rPr>
          <w:rFonts w:ascii="Arial" w:hAnsi="Arial" w:cs="Arial"/>
          <w:lang w:val=""/>
        </w:rPr>
        <w:t>Hsu</w:t>
      </w:r>
      <w:r w:rsidRPr="006229CB">
        <w:rPr>
          <w:rFonts w:ascii="Arial" w:hAnsi="Arial" w:cs="Arial"/>
          <w:lang w:val="en-US"/>
        </w:rPr>
        <w:t xml:space="preserve"> </w:t>
      </w:r>
      <w:r w:rsidRPr="006229CB">
        <w:rPr>
          <w:rFonts w:ascii="Arial" w:hAnsi="Arial" w:cs="Arial"/>
          <w:lang w:val=""/>
        </w:rPr>
        <w:t>and Powers, 2019</w:t>
      </w:r>
      <w:r w:rsidRPr="006229CB">
        <w:rPr>
          <w:rFonts w:ascii="Arial" w:hAnsi="Arial" w:cs="Arial"/>
        </w:rPr>
        <w:t>).</w:t>
      </w:r>
    </w:p>
    <w:p w14:paraId="5A853196" w14:textId="77777777" w:rsidR="006229CB" w:rsidRPr="006229CB" w:rsidRDefault="00000000" w:rsidP="006229CB">
      <w:pPr>
        <w:rPr>
          <w:rFonts w:ascii="Arial" w:hAnsi="Arial" w:cs="Arial"/>
        </w:rPr>
      </w:pPr>
      <w:r w:rsidRPr="006229CB">
        <w:rPr>
          <w:rFonts w:ascii="Arial" w:hAnsi="Arial" w:cs="Arial"/>
        </w:rPr>
        <w:t>There is also always the problem of the status quo that is always being defended by members of staff, and management teams. The skilled manpower involves employees who are used to conventionally performing organisational operations and thus/do not embrace new practices of CSR (</w:t>
      </w:r>
      <w:r w:rsidRPr="006229CB">
        <w:rPr>
          <w:rFonts w:ascii="Arial" w:hAnsi="Arial" w:cs="Arial"/>
          <w:lang w:val=""/>
        </w:rPr>
        <w:t>Lee, 2020)</w:t>
      </w:r>
      <w:r w:rsidRPr="006229CB">
        <w:rPr>
          <w:rFonts w:ascii="Arial" w:hAnsi="Arial" w:cs="Arial"/>
        </w:rPr>
        <w:t xml:space="preserve">. This resistance can arise from ignorance </w:t>
      </w:r>
      <w:r w:rsidRPr="006229CB">
        <w:rPr>
          <w:rFonts w:ascii="Arial" w:hAnsi="Arial" w:cs="Arial"/>
        </w:rPr>
        <w:lastRenderedPageBreak/>
        <w:t>about the need to incur and implement sustainable practices or from the belief that such measures add layers of complexity to work. To address this challenge, organisation development thus requires effective training methods and innovation on how to engage workers and foster a sustainable working culture (Santos et al., 2019).</w:t>
      </w:r>
    </w:p>
    <w:p w14:paraId="42CC308B" w14:textId="77777777" w:rsidR="006229CB" w:rsidRPr="006229CB" w:rsidRDefault="00000000" w:rsidP="006229CB">
      <w:pPr>
        <w:rPr>
          <w:rFonts w:ascii="Arial" w:hAnsi="Arial" w:cs="Arial"/>
        </w:rPr>
      </w:pPr>
      <w:r w:rsidRPr="006229CB">
        <w:rPr>
          <w:rFonts w:ascii="Arial" w:hAnsi="Arial" w:cs="Arial"/>
        </w:rPr>
        <w:t>Another important challenge is the pressure to maintain profitability whilst delivering sustainability. Hotels need to ensure that the decisions they make in implementing sustainability measures do not have an added cost implication, and that may not be well understood especially in the initial period (Chechi et al., 2021). At the end of the present day’s analysis, the country as well as the international laws regarding CSR increase the level of complication. Respecting environmental legislation including those concerning waste management and emission of greenhouse gases is a challenge to hotel management for many reasons: first, leaders and regulations change regularly, second; they differ from one jurisdiction to another (Bohdanowicz and Zientara, 2008).</w:t>
      </w:r>
    </w:p>
    <w:p w14:paraId="2E6F114D" w14:textId="77777777" w:rsidR="006229CB" w:rsidRPr="006229CB" w:rsidRDefault="00000000" w:rsidP="006229CB">
      <w:pPr>
        <w:rPr>
          <w:rFonts w:ascii="Arial" w:hAnsi="Arial" w:cs="Arial"/>
          <w:b/>
          <w:bCs/>
        </w:rPr>
      </w:pPr>
      <w:r w:rsidRPr="006229CB">
        <w:rPr>
          <w:rFonts w:ascii="Arial" w:hAnsi="Arial" w:cs="Arial"/>
          <w:b/>
          <w:bCs/>
        </w:rPr>
        <w:t>Impact of CSR Practices:</w:t>
      </w:r>
    </w:p>
    <w:p w14:paraId="75F7716A" w14:textId="77777777" w:rsidR="006229CB" w:rsidRPr="006229CB" w:rsidRDefault="00000000" w:rsidP="006229CB">
      <w:pPr>
        <w:rPr>
          <w:rFonts w:ascii="Arial" w:hAnsi="Arial" w:cs="Arial"/>
        </w:rPr>
      </w:pPr>
      <w:r w:rsidRPr="006229CB">
        <w:rPr>
          <w:rFonts w:ascii="Arial" w:hAnsi="Arial" w:cs="Arial"/>
        </w:rPr>
        <w:t>In any case, the various CSR activities implemented in Holiday Inn London – Kensington High Street have had a ripple effect on these fronts. On the environmental side, there have been improvements such as energy conservation and minimised waste production due to applicants' concern and implementation of sustainable practices. In addition to reducing the volume of waste disposed of in landfills, the institution has improved averts the depletion of species' natural habitats through the uptake of recycling initiatives (González et al., 2018). Other practises also improve the local environment since it fosters a healthier surrounding open to both locals and tourists.</w:t>
      </w:r>
    </w:p>
    <w:p w14:paraId="30C6E36C" w14:textId="77777777" w:rsidR="006229CB" w:rsidRPr="006229CB" w:rsidRDefault="00000000" w:rsidP="006229CB">
      <w:pPr>
        <w:rPr>
          <w:rFonts w:ascii="Arial" w:hAnsi="Arial" w:cs="Arial"/>
        </w:rPr>
      </w:pPr>
      <w:r w:rsidRPr="006229CB">
        <w:rPr>
          <w:rFonts w:ascii="Arial" w:hAnsi="Arial" w:cs="Arial"/>
        </w:rPr>
        <w:t>At a community level, the organisation's CSR impacts the local employment opportunity as well as support to local causes. By purchasing goods locally, the hotel puts pressure on local production companies as well as fosters better relations with the local community. Furthermore, each hotel may embrace participation in community involvement activities com sale as volunteerism and collaboration with local nonprofit organisations to support its corporate citizenship agenda (</w:t>
      </w:r>
      <w:r w:rsidRPr="006229CB">
        <w:rPr>
          <w:rFonts w:ascii="Arial" w:hAnsi="Arial" w:cs="Arial"/>
          <w:lang w:val=""/>
        </w:rPr>
        <w:t>Elkington, 1998</w:t>
      </w:r>
      <w:r w:rsidRPr="006229CB">
        <w:rPr>
          <w:rFonts w:ascii="Arial" w:hAnsi="Arial" w:cs="Arial"/>
        </w:rPr>
        <w:t>). Such activities improve the image of the hotel and in the process make it more attractive to tourists with a concern for social Cause.</w:t>
      </w:r>
    </w:p>
    <w:p w14:paraId="590F8012" w14:textId="77777777" w:rsidR="006229CB" w:rsidRPr="006229CB" w:rsidRDefault="00000000" w:rsidP="006229CB">
      <w:pPr>
        <w:rPr>
          <w:rFonts w:ascii="Arial" w:hAnsi="Arial" w:cs="Arial"/>
        </w:rPr>
      </w:pPr>
      <w:r w:rsidRPr="006229CB">
        <w:rPr>
          <w:rFonts w:ascii="Arial" w:hAnsi="Arial" w:cs="Arial"/>
        </w:rPr>
        <w:t>Furthermore, through CSR practises, Holiday Inn is in a better position to enjoy the goodwill created in the public domain (</w:t>
      </w:r>
      <w:r w:rsidRPr="006229CB">
        <w:rPr>
          <w:rFonts w:ascii="Arial" w:hAnsi="Arial" w:cs="Arial"/>
          <w:lang w:val=""/>
        </w:rPr>
        <w:t>Torres</w:t>
      </w:r>
      <w:r w:rsidRPr="006229CB">
        <w:rPr>
          <w:rFonts w:ascii="Arial" w:hAnsi="Arial" w:cs="Arial"/>
          <w:lang w:val="en-US"/>
        </w:rPr>
        <w:t xml:space="preserve"> </w:t>
      </w:r>
      <w:r w:rsidRPr="006229CB">
        <w:rPr>
          <w:rFonts w:ascii="Arial" w:hAnsi="Arial" w:cs="Arial"/>
          <w:lang w:val=""/>
        </w:rPr>
        <w:t>and Kline, 2013)</w:t>
      </w:r>
      <w:r w:rsidRPr="006229CB">
        <w:rPr>
          <w:rFonts w:ascii="Arial" w:hAnsi="Arial" w:cs="Arial"/>
        </w:rPr>
        <w:t xml:space="preserve">. As consumer </w:t>
      </w:r>
      <w:r w:rsidRPr="006229CB">
        <w:rPr>
          <w:rFonts w:ascii="Arial" w:hAnsi="Arial" w:cs="Arial"/>
        </w:rPr>
        <w:lastRenderedPageBreak/>
        <w:t>preferences towards sustainable travel options continue to rise, travellers who are conscious of the hotel's ethical practises are more likely to choose the hotel since they are willing to pay a premium for services that have less impact on the environment (Fletcher and Sigala, 2019).</w:t>
      </w:r>
    </w:p>
    <w:p w14:paraId="42B12A93" w14:textId="77777777" w:rsidR="006229CB" w:rsidRPr="006229CB" w:rsidRDefault="00000000" w:rsidP="006229CB">
      <w:pPr>
        <w:rPr>
          <w:rFonts w:ascii="Arial" w:hAnsi="Arial" w:cs="Arial"/>
          <w:b/>
          <w:bCs/>
        </w:rPr>
      </w:pPr>
      <w:r w:rsidRPr="006229CB">
        <w:rPr>
          <w:rFonts w:ascii="Arial" w:hAnsi="Arial" w:cs="Arial"/>
          <w:b/>
          <w:bCs/>
        </w:rPr>
        <w:t>Legislation Impacting CSR Practices:</w:t>
      </w:r>
    </w:p>
    <w:p w14:paraId="21BB22CB" w14:textId="77777777" w:rsidR="006229CB" w:rsidRPr="006229CB" w:rsidRDefault="00000000" w:rsidP="006229CB">
      <w:pPr>
        <w:rPr>
          <w:rFonts w:ascii="Arial" w:hAnsi="Arial" w:cs="Arial"/>
        </w:rPr>
      </w:pPr>
      <w:r w:rsidRPr="006229CB">
        <w:rPr>
          <w:rFonts w:ascii="Arial" w:hAnsi="Arial" w:cs="Arial"/>
        </w:rPr>
        <w:t>In the UK, laws such as the Environment Act 2021 are within setting CSR practises within the hospitality industry and Holiday Inn. This act requires companies to implement sustainable activities to restore biological variability, control pollution, and decrease emissions (UK Government, 2021). The sustainability of legislation for hotels means they often have to constantly monitor and adapt their practices for compliance with the environmental acts affecting their CSR plans.</w:t>
      </w:r>
    </w:p>
    <w:p w14:paraId="233293F9" w14:textId="77777777" w:rsidR="006229CB" w:rsidRPr="006229CB" w:rsidRDefault="00000000" w:rsidP="006229CB">
      <w:pPr>
        <w:rPr>
          <w:rFonts w:ascii="Arial" w:hAnsi="Arial" w:cs="Arial"/>
        </w:rPr>
      </w:pPr>
      <w:r w:rsidRPr="006229CB">
        <w:rPr>
          <w:rFonts w:ascii="Arial" w:hAnsi="Arial" w:cs="Arial"/>
        </w:rPr>
        <w:t>This Act also promotes voluntary reporting on the 'state of environmental responsibility' of the business by the business. This requirement puts pressure on the Holiday Inn to strengthen its reporting systems and undertake continuous improvement activities to create assurance for sustainability besides meeting the legal requirements of the country and other international regulations (Walley and Whitehead, 1994).</w:t>
      </w:r>
    </w:p>
    <w:p w14:paraId="66638335" w14:textId="77777777" w:rsidR="006229CB" w:rsidRPr="006229CB" w:rsidRDefault="00000000" w:rsidP="006229CB">
      <w:pPr>
        <w:rPr>
          <w:rFonts w:ascii="Arial" w:hAnsi="Arial" w:cs="Arial"/>
          <w:b/>
          <w:bCs/>
        </w:rPr>
      </w:pPr>
      <w:r w:rsidRPr="006229CB">
        <w:rPr>
          <w:rFonts w:ascii="Arial" w:hAnsi="Arial" w:cs="Arial"/>
          <w:b/>
          <w:bCs/>
        </w:rPr>
        <w:t>Opportunities from CSR Initiatives:</w:t>
      </w:r>
    </w:p>
    <w:p w14:paraId="12AD7A99" w14:textId="77777777" w:rsidR="006229CB" w:rsidRPr="006229CB" w:rsidRDefault="00000000" w:rsidP="006229CB">
      <w:pPr>
        <w:rPr>
          <w:rFonts w:ascii="Arial" w:hAnsi="Arial" w:cs="Arial"/>
        </w:rPr>
      </w:pPr>
      <w:r w:rsidRPr="006229CB">
        <w:rPr>
          <w:rFonts w:ascii="Arial" w:hAnsi="Arial" w:cs="Arial"/>
        </w:rPr>
        <w:t>The CSR initiatives implemented in the Holiday Inn London – Kensington High Street have been implemented successfully and hence, certain opportunities can be cashed to bring higher performances to the hotel. The one opportunity that can be identified is greater client attachment and satisfaction. Some guests today look for firms that are conscious of the need to act sustainably. It also supports the idea that by offering as many eco-friendly practices as possible the hotel can create a better relationship with its customers, which would result in more returning guests and positive recommendations (Deloitte, 2019).</w:t>
      </w:r>
    </w:p>
    <w:p w14:paraId="2444FA1A" w14:textId="77777777" w:rsidR="006229CB" w:rsidRPr="006229CB" w:rsidRDefault="00000000" w:rsidP="006229CB">
      <w:pPr>
        <w:rPr>
          <w:rFonts w:ascii="Arial" w:hAnsi="Arial" w:cs="Arial"/>
        </w:rPr>
      </w:pPr>
      <w:r w:rsidRPr="006229CB">
        <w:rPr>
          <w:rFonts w:ascii="Arial" w:hAnsi="Arial" w:cs="Arial"/>
        </w:rPr>
        <w:t>In addition, CSR in the hotel can attract clients who are environmentally conscious to ensure that they book a hotel that supports their belief system. This demographic values sustainability more than hotel expenses, so there is a future for the hotel to stand out as an environmentally friendly Hotel (International Hotel and Restaurant Association, 2020).</w:t>
      </w:r>
    </w:p>
    <w:p w14:paraId="053B8BF8" w14:textId="77777777" w:rsidR="006229CB" w:rsidRPr="006229CB" w:rsidRDefault="00000000" w:rsidP="006229CB">
      <w:pPr>
        <w:rPr>
          <w:rFonts w:ascii="Arial" w:hAnsi="Arial" w:cs="Arial"/>
        </w:rPr>
      </w:pPr>
      <w:r w:rsidRPr="006229CB">
        <w:rPr>
          <w:rFonts w:ascii="Arial" w:hAnsi="Arial" w:cs="Arial"/>
        </w:rPr>
        <w:t>Furthermore, the aspect of sustainable practises can lead to substantial cost cuts in the long run. For example, expenditures in energy-efficient technologies may translate to lower electrical energy costs which can be used to finance even more sustainable improvements (Bohdanowicz, 2006).</w:t>
      </w:r>
    </w:p>
    <w:p w14:paraId="5875585F" w14:textId="77777777" w:rsidR="006229CB" w:rsidRPr="006229CB" w:rsidRDefault="00000000" w:rsidP="006229CB">
      <w:pPr>
        <w:rPr>
          <w:rFonts w:ascii="Arial" w:hAnsi="Arial" w:cs="Arial"/>
        </w:rPr>
      </w:pPr>
      <w:r w:rsidRPr="006229CB">
        <w:rPr>
          <w:rFonts w:ascii="Arial" w:hAnsi="Arial" w:cs="Arial"/>
        </w:rPr>
        <w:lastRenderedPageBreak/>
        <w:t>Last of all, CSR implementation increases the brand image of the hotel through the differentiation of its appearance to those of competitors within the relevant market niche. Since sustainability is increasingly emerging as a preference philtre for many travellers, Holiday Inn can embrace and tout its CSR efforts to establish the brand’s unique selling proposition appealing to guests and investors (Chechi et al., 2021).</w:t>
      </w:r>
    </w:p>
    <w:p w14:paraId="28CC25F4" w14:textId="77777777" w:rsidR="006229CB" w:rsidRPr="006229CB" w:rsidRDefault="00000000" w:rsidP="006229CB">
      <w:pPr>
        <w:pStyle w:val="Heading1"/>
        <w:rPr>
          <w:rFonts w:ascii="Arial" w:hAnsi="Arial" w:cs="Arial"/>
        </w:rPr>
      </w:pPr>
      <w:r w:rsidRPr="006229CB">
        <w:rPr>
          <w:rFonts w:ascii="Arial" w:hAnsi="Arial" w:cs="Arial"/>
        </w:rPr>
        <w:t>Conclusion:</w:t>
      </w:r>
    </w:p>
    <w:p w14:paraId="3AD8DBA1" w14:textId="77777777" w:rsidR="00772430" w:rsidRPr="006229CB" w:rsidRDefault="00000000" w:rsidP="006229CB">
      <w:pPr>
        <w:rPr>
          <w:rFonts w:ascii="Arial" w:hAnsi="Arial" w:cs="Arial"/>
        </w:rPr>
      </w:pPr>
      <w:r w:rsidRPr="006229CB">
        <w:rPr>
          <w:rFonts w:ascii="Arial" w:hAnsi="Arial" w:cs="Arial"/>
        </w:rPr>
        <w:t>Therefore, the evidence collected by this study of the inventory at Holiday Inn London – Kensington High Street supports the significance of sustainability within the proper business management systems of the hospitality sector. There are several evidence of ethical activities that a hotel undertakes towards the management of the environment and proactive involvement of the locals; Energy conservation, Water management, Waste management, and Community engagement. Some of these CSR challenges include; financial limitations and resistance to change The advantage of CSR involves; Improving the organisation's brand image, increasing customer loyalty and RCS contributions towards the improvement of the local economy. However, as legislation enforces more responsible corporate practice, Holiday Inn goes beyond meeting legislative requirements both fulfilling legal obligations and providing guests with a more responsible place to stay. All in all, this particular case shows that hotels gain more than benefits from adopting CSR; they create a model for a more sustainable industry, which is profitable as well.</w:t>
      </w:r>
    </w:p>
    <w:p w14:paraId="2C6E8F19" w14:textId="77777777" w:rsidR="006229CB" w:rsidRPr="006229CB" w:rsidRDefault="00000000">
      <w:pPr>
        <w:rPr>
          <w:rFonts w:ascii="Arial" w:hAnsi="Arial" w:cs="Arial"/>
        </w:rPr>
      </w:pPr>
      <w:r w:rsidRPr="006229CB">
        <w:rPr>
          <w:rFonts w:ascii="Arial" w:hAnsi="Arial" w:cs="Arial"/>
        </w:rPr>
        <w:br w:type="page"/>
      </w:r>
    </w:p>
    <w:p w14:paraId="2874833B" w14:textId="77777777" w:rsidR="006229CB" w:rsidRPr="006229CB" w:rsidRDefault="00000000" w:rsidP="006229CB">
      <w:pPr>
        <w:pStyle w:val="Heading1"/>
        <w:rPr>
          <w:rFonts w:ascii="Arial" w:hAnsi="Arial" w:cs="Arial"/>
        </w:rPr>
      </w:pPr>
      <w:r w:rsidRPr="006229CB">
        <w:rPr>
          <w:rFonts w:ascii="Arial" w:hAnsi="Arial" w:cs="Arial"/>
        </w:rPr>
        <w:lastRenderedPageBreak/>
        <w:t>Reference List:</w:t>
      </w:r>
    </w:p>
    <w:p w14:paraId="18DB3D69" w14:textId="77777777" w:rsidR="006229CB" w:rsidRPr="006229CB" w:rsidRDefault="00000000" w:rsidP="006229CB">
      <w:pPr>
        <w:rPr>
          <w:rFonts w:ascii="Arial" w:hAnsi="Arial" w:cs="Arial"/>
          <w:lang w:val=""/>
        </w:rPr>
      </w:pPr>
      <w:r w:rsidRPr="006229CB">
        <w:rPr>
          <w:rFonts w:ascii="Arial" w:hAnsi="Arial" w:cs="Arial"/>
          <w:lang w:val=""/>
        </w:rPr>
        <w:t>Bohdanowicz, P. (2006). 'European hoteliers’ attitudes toward green activities'. </w:t>
      </w:r>
      <w:r w:rsidRPr="006229CB">
        <w:rPr>
          <w:rFonts w:ascii="Arial" w:hAnsi="Arial" w:cs="Arial"/>
          <w:i/>
          <w:iCs/>
          <w:lang w:val=""/>
        </w:rPr>
        <w:t>International Journal of Hospitality Management</w:t>
      </w:r>
      <w:r w:rsidRPr="006229CB">
        <w:rPr>
          <w:rFonts w:ascii="Arial" w:hAnsi="Arial" w:cs="Arial"/>
          <w:lang w:val=""/>
        </w:rPr>
        <w:t>, 25(4), 537-550.</w:t>
      </w:r>
    </w:p>
    <w:p w14:paraId="2DCFA9DB" w14:textId="77777777" w:rsidR="006229CB" w:rsidRPr="006229CB" w:rsidRDefault="00000000" w:rsidP="006229CB">
      <w:pPr>
        <w:rPr>
          <w:rFonts w:ascii="Arial" w:hAnsi="Arial" w:cs="Arial"/>
          <w:lang w:val=""/>
        </w:rPr>
      </w:pPr>
      <w:r w:rsidRPr="006229CB">
        <w:rPr>
          <w:rFonts w:ascii="Arial" w:hAnsi="Arial" w:cs="Arial"/>
          <w:lang w:val=""/>
        </w:rPr>
        <w:t>Bohdanowicz, P., and Zientara, P. (2008). 'Sustainable hotels: The role of corporate social responsibility'. </w:t>
      </w:r>
      <w:r w:rsidRPr="006229CB">
        <w:rPr>
          <w:rFonts w:ascii="Arial" w:hAnsi="Arial" w:cs="Arial"/>
          <w:i/>
          <w:iCs/>
          <w:lang w:val=""/>
        </w:rPr>
        <w:t>Hospitality Management</w:t>
      </w:r>
      <w:r w:rsidRPr="006229CB">
        <w:rPr>
          <w:rFonts w:ascii="Arial" w:hAnsi="Arial" w:cs="Arial"/>
          <w:lang w:val=""/>
        </w:rPr>
        <w:t>, 27(3), 455-465.</w:t>
      </w:r>
    </w:p>
    <w:p w14:paraId="12B3FFB1" w14:textId="77777777" w:rsidR="006229CB" w:rsidRPr="006229CB" w:rsidRDefault="00000000" w:rsidP="006229CB">
      <w:pPr>
        <w:rPr>
          <w:rFonts w:ascii="Arial" w:hAnsi="Arial" w:cs="Arial"/>
          <w:lang w:val=""/>
        </w:rPr>
      </w:pPr>
      <w:r w:rsidRPr="006229CB">
        <w:rPr>
          <w:rFonts w:ascii="Arial" w:hAnsi="Arial" w:cs="Arial"/>
          <w:lang w:val=""/>
        </w:rPr>
        <w:t>Chechi, A., et al. (2021). 'Balancing profitability and sustainability in hospitality'. </w:t>
      </w:r>
      <w:r w:rsidRPr="006229CB">
        <w:rPr>
          <w:rFonts w:ascii="Arial" w:hAnsi="Arial" w:cs="Arial"/>
          <w:i/>
          <w:iCs/>
          <w:lang w:val=""/>
        </w:rPr>
        <w:t>Journal of Sustainable Tourism</w:t>
      </w:r>
      <w:r w:rsidRPr="006229CB">
        <w:rPr>
          <w:rFonts w:ascii="Arial" w:hAnsi="Arial" w:cs="Arial"/>
          <w:lang w:val=""/>
        </w:rPr>
        <w:t>, 29(4), 520-536.</w:t>
      </w:r>
    </w:p>
    <w:p w14:paraId="1E64E792" w14:textId="77777777" w:rsidR="006229CB" w:rsidRPr="006229CB" w:rsidRDefault="00000000" w:rsidP="006229CB">
      <w:pPr>
        <w:rPr>
          <w:rFonts w:ascii="Arial" w:hAnsi="Arial" w:cs="Arial"/>
          <w:lang w:val=""/>
        </w:rPr>
      </w:pPr>
      <w:r w:rsidRPr="006229CB">
        <w:rPr>
          <w:rFonts w:ascii="Arial" w:hAnsi="Arial" w:cs="Arial"/>
          <w:lang w:val=""/>
        </w:rPr>
        <w:t>Cheng, M., and Eadington, W. R. (2017). 'Corporate social responsibility and sustainability in the hospitality industry: A case study of the Hilton Hotels Corporation'. </w:t>
      </w:r>
      <w:r w:rsidRPr="006229CB">
        <w:rPr>
          <w:rFonts w:ascii="Arial" w:hAnsi="Arial" w:cs="Arial"/>
          <w:i/>
          <w:iCs/>
          <w:lang w:val=""/>
        </w:rPr>
        <w:t>Journal of Hospitality and Tourism Research</w:t>
      </w:r>
      <w:r w:rsidRPr="006229CB">
        <w:rPr>
          <w:rFonts w:ascii="Arial" w:hAnsi="Arial" w:cs="Arial"/>
          <w:lang w:val=""/>
        </w:rPr>
        <w:t>, 41(1), 119-141.</w:t>
      </w:r>
    </w:p>
    <w:p w14:paraId="20147D58" w14:textId="77777777" w:rsidR="006229CB" w:rsidRPr="006229CB" w:rsidRDefault="00000000" w:rsidP="006229CB">
      <w:pPr>
        <w:rPr>
          <w:rFonts w:ascii="Arial" w:hAnsi="Arial" w:cs="Arial"/>
          <w:lang w:val=""/>
        </w:rPr>
      </w:pPr>
      <w:r w:rsidRPr="006229CB">
        <w:rPr>
          <w:rFonts w:ascii="Arial" w:hAnsi="Arial" w:cs="Arial"/>
          <w:lang w:val=""/>
        </w:rPr>
        <w:t>Deloitte. (2019). 'The importance of sustainability in travel and hospitality'. Retrieved from [Deloitte website].</w:t>
      </w:r>
    </w:p>
    <w:p w14:paraId="4D196060" w14:textId="77777777" w:rsidR="006229CB" w:rsidRPr="006229CB" w:rsidRDefault="00000000" w:rsidP="006229CB">
      <w:pPr>
        <w:rPr>
          <w:rFonts w:ascii="Arial" w:hAnsi="Arial" w:cs="Arial"/>
          <w:lang w:val=""/>
        </w:rPr>
      </w:pPr>
      <w:r w:rsidRPr="006229CB">
        <w:rPr>
          <w:rFonts w:ascii="Arial" w:hAnsi="Arial" w:cs="Arial"/>
          <w:lang w:val=""/>
        </w:rPr>
        <w:t>Elkington, J. (1998). </w:t>
      </w:r>
      <w:r w:rsidRPr="006229CB">
        <w:rPr>
          <w:rFonts w:ascii="Arial" w:hAnsi="Arial" w:cs="Arial"/>
          <w:i/>
          <w:iCs/>
          <w:lang w:val=""/>
        </w:rPr>
        <w:t>Cannibals with forks: The triple bottom line of 21st-century business</w:t>
      </w:r>
      <w:r w:rsidRPr="006229CB">
        <w:rPr>
          <w:rFonts w:ascii="Arial" w:hAnsi="Arial" w:cs="Arial"/>
          <w:lang w:val=""/>
        </w:rPr>
        <w:t>. New Society Publishers.</w:t>
      </w:r>
    </w:p>
    <w:p w14:paraId="619320AF" w14:textId="77777777" w:rsidR="006229CB" w:rsidRPr="006229CB" w:rsidRDefault="00000000" w:rsidP="006229CB">
      <w:pPr>
        <w:rPr>
          <w:rFonts w:ascii="Arial" w:hAnsi="Arial" w:cs="Arial"/>
          <w:lang w:val=""/>
        </w:rPr>
      </w:pPr>
      <w:r w:rsidRPr="006229CB">
        <w:rPr>
          <w:rFonts w:ascii="Arial" w:hAnsi="Arial" w:cs="Arial"/>
          <w:lang w:val=""/>
        </w:rPr>
        <w:t>Fletcher, R., and Sigala, M. (2019). </w:t>
      </w:r>
      <w:r w:rsidRPr="006229CB">
        <w:rPr>
          <w:rFonts w:ascii="Arial" w:hAnsi="Arial" w:cs="Arial"/>
          <w:i/>
          <w:iCs/>
          <w:lang w:val=""/>
        </w:rPr>
        <w:t>Sustainable tourism: Theory and practice</w:t>
      </w:r>
      <w:r w:rsidRPr="006229CB">
        <w:rPr>
          <w:rFonts w:ascii="Arial" w:hAnsi="Arial" w:cs="Arial"/>
          <w:lang w:val=""/>
        </w:rPr>
        <w:t>. Routledge.</w:t>
      </w:r>
    </w:p>
    <w:p w14:paraId="6459C34C" w14:textId="77777777" w:rsidR="006229CB" w:rsidRPr="006229CB" w:rsidRDefault="00000000" w:rsidP="006229CB">
      <w:pPr>
        <w:rPr>
          <w:rFonts w:ascii="Arial" w:hAnsi="Arial" w:cs="Arial"/>
          <w:lang w:val=""/>
        </w:rPr>
      </w:pPr>
      <w:r w:rsidRPr="006229CB">
        <w:rPr>
          <w:rFonts w:ascii="Arial" w:hAnsi="Arial" w:cs="Arial"/>
          <w:lang w:val=""/>
        </w:rPr>
        <w:t>González, A., et al. (2018). 'The role of corporate social responsibility in enhancing the reputation of the hospitality industry'. </w:t>
      </w:r>
      <w:r w:rsidRPr="006229CB">
        <w:rPr>
          <w:rFonts w:ascii="Arial" w:hAnsi="Arial" w:cs="Arial"/>
          <w:i/>
          <w:iCs/>
          <w:lang w:val=""/>
        </w:rPr>
        <w:t>International Journal of Hospitality Management</w:t>
      </w:r>
      <w:r w:rsidRPr="006229CB">
        <w:rPr>
          <w:rFonts w:ascii="Arial" w:hAnsi="Arial" w:cs="Arial"/>
          <w:lang w:val=""/>
        </w:rPr>
        <w:t>, 73, 167-177.</w:t>
      </w:r>
    </w:p>
    <w:p w14:paraId="62A61FC3" w14:textId="77777777" w:rsidR="006229CB" w:rsidRPr="006229CB" w:rsidRDefault="00000000" w:rsidP="006229CB">
      <w:pPr>
        <w:rPr>
          <w:rFonts w:ascii="Arial" w:hAnsi="Arial" w:cs="Arial"/>
          <w:lang w:val="en-US"/>
        </w:rPr>
      </w:pPr>
      <w:r w:rsidRPr="006229CB">
        <w:rPr>
          <w:rFonts w:ascii="Arial" w:hAnsi="Arial" w:cs="Arial"/>
          <w:lang w:val=""/>
        </w:rPr>
        <w:t>Hsu, C. H. C., and Powers, T. (2019). 'Sustainability in hospitality and tourism: A review of the literature'. </w:t>
      </w:r>
      <w:r w:rsidRPr="006229CB">
        <w:rPr>
          <w:rFonts w:ascii="Arial" w:hAnsi="Arial" w:cs="Arial"/>
          <w:i/>
          <w:iCs/>
          <w:lang w:val=""/>
        </w:rPr>
        <w:t>Journal of Hospitality and Tourism Research</w:t>
      </w:r>
      <w:r w:rsidRPr="006229CB">
        <w:rPr>
          <w:rFonts w:ascii="Arial" w:hAnsi="Arial" w:cs="Arial"/>
          <w:lang w:val=""/>
        </w:rPr>
        <w:t>, 43(5), 754-772</w:t>
      </w:r>
      <w:r w:rsidRPr="006229CB">
        <w:rPr>
          <w:rFonts w:ascii="Arial" w:hAnsi="Arial" w:cs="Arial"/>
          <w:lang w:val="en-US"/>
        </w:rPr>
        <w:t>.</w:t>
      </w:r>
    </w:p>
    <w:p w14:paraId="1A1D5DEC" w14:textId="77777777" w:rsidR="006229CB" w:rsidRPr="006229CB" w:rsidRDefault="00000000" w:rsidP="006229CB">
      <w:pPr>
        <w:rPr>
          <w:rFonts w:ascii="Arial" w:hAnsi="Arial" w:cs="Arial"/>
          <w:lang w:val=""/>
        </w:rPr>
      </w:pPr>
      <w:r w:rsidRPr="006229CB">
        <w:rPr>
          <w:rFonts w:ascii="Arial" w:hAnsi="Arial" w:cs="Arial"/>
          <w:lang w:val=""/>
        </w:rPr>
        <w:t>IHG. (2021). </w:t>
      </w:r>
      <w:r w:rsidRPr="006229CB">
        <w:rPr>
          <w:rFonts w:ascii="Arial" w:hAnsi="Arial" w:cs="Arial"/>
          <w:i/>
          <w:iCs/>
          <w:lang w:val=""/>
        </w:rPr>
        <w:t>IHG Green Engage: A sustainability system</w:t>
      </w:r>
      <w:r w:rsidRPr="006229CB">
        <w:rPr>
          <w:rFonts w:ascii="Arial" w:hAnsi="Arial" w:cs="Arial"/>
          <w:lang w:val=""/>
        </w:rPr>
        <w:t>. Retrieved from [IHG website].</w:t>
      </w:r>
    </w:p>
    <w:p w14:paraId="73A8F7A7" w14:textId="77777777" w:rsidR="006229CB" w:rsidRPr="006229CB" w:rsidRDefault="00000000" w:rsidP="006229CB">
      <w:pPr>
        <w:rPr>
          <w:rFonts w:ascii="Arial" w:hAnsi="Arial" w:cs="Arial"/>
          <w:lang w:val=""/>
        </w:rPr>
      </w:pPr>
      <w:r w:rsidRPr="006229CB">
        <w:rPr>
          <w:rFonts w:ascii="Arial" w:hAnsi="Arial" w:cs="Arial"/>
          <w:lang w:val=""/>
        </w:rPr>
        <w:t>IHG. (2022). 'Water conservation initiatives at IHG properties'. Retrieved from [IHG website].</w:t>
      </w:r>
    </w:p>
    <w:p w14:paraId="3431C877" w14:textId="77777777" w:rsidR="006229CB" w:rsidRPr="006229CB" w:rsidRDefault="00000000" w:rsidP="006229CB">
      <w:pPr>
        <w:rPr>
          <w:rFonts w:ascii="Arial" w:hAnsi="Arial" w:cs="Arial"/>
          <w:lang w:val=""/>
        </w:rPr>
      </w:pPr>
      <w:r w:rsidRPr="006229CB">
        <w:rPr>
          <w:rFonts w:ascii="Arial" w:hAnsi="Arial" w:cs="Arial"/>
          <w:lang w:val=""/>
        </w:rPr>
        <w:t>International Energy Agency. (2020). </w:t>
      </w:r>
      <w:r w:rsidRPr="006229CB">
        <w:rPr>
          <w:rFonts w:ascii="Arial" w:hAnsi="Arial" w:cs="Arial"/>
          <w:i/>
          <w:iCs/>
          <w:lang w:val=""/>
        </w:rPr>
        <w:t>Energy efficiency in hotels: Benefits and opportunities</w:t>
      </w:r>
      <w:r w:rsidRPr="006229CB">
        <w:rPr>
          <w:rFonts w:ascii="Arial" w:hAnsi="Arial" w:cs="Arial"/>
          <w:lang w:val=""/>
        </w:rPr>
        <w:t>. Retrieved from [IEA website].</w:t>
      </w:r>
    </w:p>
    <w:p w14:paraId="74E44E60" w14:textId="77777777" w:rsidR="006229CB" w:rsidRPr="006229CB" w:rsidRDefault="00000000" w:rsidP="006229CB">
      <w:pPr>
        <w:rPr>
          <w:rFonts w:ascii="Arial" w:hAnsi="Arial" w:cs="Arial"/>
          <w:lang w:val=""/>
        </w:rPr>
      </w:pPr>
      <w:r w:rsidRPr="006229CB">
        <w:rPr>
          <w:rFonts w:ascii="Arial" w:hAnsi="Arial" w:cs="Arial"/>
          <w:lang w:val=""/>
        </w:rPr>
        <w:t>International Hotel and Restaurant Association. (2020). 'Sustainability practices in the hospitality industry'. Retrieved from [IHandRA website].</w:t>
      </w:r>
    </w:p>
    <w:p w14:paraId="759FAE36" w14:textId="77777777" w:rsidR="006229CB" w:rsidRPr="006229CB" w:rsidRDefault="00000000" w:rsidP="006229CB">
      <w:pPr>
        <w:rPr>
          <w:rFonts w:ascii="Arial" w:hAnsi="Arial" w:cs="Arial"/>
          <w:lang w:val=""/>
        </w:rPr>
      </w:pPr>
      <w:r w:rsidRPr="006229CB">
        <w:rPr>
          <w:rFonts w:ascii="Arial" w:hAnsi="Arial" w:cs="Arial"/>
          <w:lang w:val=""/>
        </w:rPr>
        <w:t>Jamal, T., and Camargo, B. A. (2018). 'The emergence of responsible tourism: An analysis of the CSR practices in the tourism and hospitality sector'. </w:t>
      </w:r>
      <w:r w:rsidRPr="006229CB">
        <w:rPr>
          <w:rFonts w:ascii="Arial" w:hAnsi="Arial" w:cs="Arial"/>
          <w:i/>
          <w:iCs/>
          <w:lang w:val=""/>
        </w:rPr>
        <w:t>Sustainability</w:t>
      </w:r>
      <w:r w:rsidRPr="006229CB">
        <w:rPr>
          <w:rFonts w:ascii="Arial" w:hAnsi="Arial" w:cs="Arial"/>
          <w:lang w:val=""/>
        </w:rPr>
        <w:t>, 10(10), 3726.</w:t>
      </w:r>
    </w:p>
    <w:p w14:paraId="09EB38D8" w14:textId="77777777" w:rsidR="006229CB" w:rsidRPr="006229CB" w:rsidRDefault="00000000" w:rsidP="006229CB">
      <w:pPr>
        <w:rPr>
          <w:rFonts w:ascii="Arial" w:hAnsi="Arial" w:cs="Arial"/>
          <w:lang w:val=""/>
        </w:rPr>
      </w:pPr>
      <w:r w:rsidRPr="006229CB">
        <w:rPr>
          <w:rFonts w:ascii="Arial" w:hAnsi="Arial" w:cs="Arial"/>
          <w:lang w:val=""/>
        </w:rPr>
        <w:lastRenderedPageBreak/>
        <w:t>Jones, P., et al. (2020). 'Waste management in the hospitality industry'. </w:t>
      </w:r>
      <w:r w:rsidRPr="006229CB">
        <w:rPr>
          <w:rFonts w:ascii="Arial" w:hAnsi="Arial" w:cs="Arial"/>
          <w:i/>
          <w:iCs/>
          <w:lang w:val=""/>
        </w:rPr>
        <w:t>Waste Management Journal</w:t>
      </w:r>
      <w:r w:rsidRPr="006229CB">
        <w:rPr>
          <w:rFonts w:ascii="Arial" w:hAnsi="Arial" w:cs="Arial"/>
          <w:lang w:val=""/>
        </w:rPr>
        <w:t>, 114, 201-210.</w:t>
      </w:r>
    </w:p>
    <w:p w14:paraId="1FF06740" w14:textId="77777777" w:rsidR="006229CB" w:rsidRPr="006229CB" w:rsidRDefault="00000000" w:rsidP="006229CB">
      <w:pPr>
        <w:rPr>
          <w:rFonts w:ascii="Arial" w:hAnsi="Arial" w:cs="Arial"/>
          <w:lang w:val=""/>
        </w:rPr>
      </w:pPr>
      <w:r w:rsidRPr="006229CB">
        <w:rPr>
          <w:rFonts w:ascii="Arial" w:hAnsi="Arial" w:cs="Arial"/>
          <w:lang w:val=""/>
        </w:rPr>
        <w:t>Lee, S. (2020). 'Exploring the relationship between corporate social responsibility and customer satisfaction in the hotel industry'. </w:t>
      </w:r>
      <w:r w:rsidRPr="006229CB">
        <w:rPr>
          <w:rFonts w:ascii="Arial" w:hAnsi="Arial" w:cs="Arial"/>
          <w:i/>
          <w:iCs/>
          <w:lang w:val=""/>
        </w:rPr>
        <w:t>International Journal of Hospitality Management</w:t>
      </w:r>
      <w:r w:rsidRPr="006229CB">
        <w:rPr>
          <w:rFonts w:ascii="Arial" w:hAnsi="Arial" w:cs="Arial"/>
          <w:lang w:val=""/>
        </w:rPr>
        <w:t>, 90, 102634.</w:t>
      </w:r>
    </w:p>
    <w:p w14:paraId="64B5BF3D" w14:textId="77777777" w:rsidR="006229CB" w:rsidRPr="006229CB" w:rsidRDefault="00000000" w:rsidP="006229CB">
      <w:pPr>
        <w:rPr>
          <w:rFonts w:ascii="Arial" w:hAnsi="Arial" w:cs="Arial"/>
          <w:lang w:val=""/>
        </w:rPr>
      </w:pPr>
      <w:r w:rsidRPr="006229CB">
        <w:rPr>
          <w:rFonts w:ascii="Arial" w:hAnsi="Arial" w:cs="Arial"/>
          <w:lang w:val=""/>
        </w:rPr>
        <w:t>Santos, C. A., et al. (2019). 'Challenges in implementing corporate social responsibility in hospitality: A case study approach'. </w:t>
      </w:r>
      <w:r w:rsidRPr="006229CB">
        <w:rPr>
          <w:rFonts w:ascii="Arial" w:hAnsi="Arial" w:cs="Arial"/>
          <w:i/>
          <w:iCs/>
          <w:lang w:val=""/>
        </w:rPr>
        <w:t>International Journal of Hospitality Management</w:t>
      </w:r>
      <w:r w:rsidRPr="006229CB">
        <w:rPr>
          <w:rFonts w:ascii="Arial" w:hAnsi="Arial" w:cs="Arial"/>
          <w:lang w:val=""/>
        </w:rPr>
        <w:t>, 83, 245-252.</w:t>
      </w:r>
    </w:p>
    <w:p w14:paraId="2B7681D2" w14:textId="77777777" w:rsidR="006229CB" w:rsidRPr="006229CB" w:rsidRDefault="00000000" w:rsidP="006229CB">
      <w:pPr>
        <w:rPr>
          <w:rFonts w:ascii="Arial" w:hAnsi="Arial" w:cs="Arial"/>
          <w:lang w:val=""/>
        </w:rPr>
      </w:pPr>
      <w:r w:rsidRPr="006229CB">
        <w:rPr>
          <w:rFonts w:ascii="Arial" w:hAnsi="Arial" w:cs="Arial"/>
          <w:lang w:val=""/>
        </w:rPr>
        <w:t>Torres, E. N., and Kline, S. (2013). 'From customer satisfaction to customer loyalty: The role of corporate social responsibility'. </w:t>
      </w:r>
      <w:r w:rsidRPr="006229CB">
        <w:rPr>
          <w:rFonts w:ascii="Arial" w:hAnsi="Arial" w:cs="Arial"/>
          <w:i/>
          <w:iCs/>
          <w:lang w:val=""/>
        </w:rPr>
        <w:t>Journal of Hospitality and Tourism Research</w:t>
      </w:r>
      <w:r w:rsidRPr="006229CB">
        <w:rPr>
          <w:rFonts w:ascii="Arial" w:hAnsi="Arial" w:cs="Arial"/>
          <w:lang w:val=""/>
        </w:rPr>
        <w:t>, 37(2), 183-206.</w:t>
      </w:r>
    </w:p>
    <w:p w14:paraId="7C5F1606" w14:textId="77777777" w:rsidR="006229CB" w:rsidRPr="006229CB" w:rsidRDefault="00000000" w:rsidP="006229CB">
      <w:pPr>
        <w:rPr>
          <w:rFonts w:ascii="Arial" w:hAnsi="Arial" w:cs="Arial"/>
          <w:lang w:val=""/>
        </w:rPr>
      </w:pPr>
      <w:r w:rsidRPr="006229CB">
        <w:rPr>
          <w:rFonts w:ascii="Arial" w:hAnsi="Arial" w:cs="Arial"/>
          <w:lang w:val=""/>
        </w:rPr>
        <w:t>UK Government. (2021). </w:t>
      </w:r>
      <w:r w:rsidRPr="006229CB">
        <w:rPr>
          <w:rFonts w:ascii="Arial" w:hAnsi="Arial" w:cs="Arial"/>
          <w:i/>
          <w:iCs/>
          <w:lang w:val=""/>
        </w:rPr>
        <w:t>Environment Act 2021</w:t>
      </w:r>
      <w:r w:rsidRPr="006229CB">
        <w:rPr>
          <w:rFonts w:ascii="Arial" w:hAnsi="Arial" w:cs="Arial"/>
          <w:lang w:val=""/>
        </w:rPr>
        <w:t>. Retrieved from [UK Government website].</w:t>
      </w:r>
    </w:p>
    <w:p w14:paraId="66DCE1FB" w14:textId="77777777" w:rsidR="006229CB" w:rsidRPr="006229CB" w:rsidRDefault="00000000" w:rsidP="006229CB">
      <w:pPr>
        <w:rPr>
          <w:rFonts w:ascii="Arial" w:hAnsi="Arial" w:cs="Arial"/>
          <w:lang w:val=""/>
        </w:rPr>
      </w:pPr>
      <w:r w:rsidRPr="006229CB">
        <w:rPr>
          <w:rFonts w:ascii="Arial" w:hAnsi="Arial" w:cs="Arial"/>
          <w:lang w:val=""/>
        </w:rPr>
        <w:t>Walley, N., and Whitehead, B. (1994). 'It’s not easy being green'. </w:t>
      </w:r>
      <w:r w:rsidRPr="006229CB">
        <w:rPr>
          <w:rFonts w:ascii="Arial" w:hAnsi="Arial" w:cs="Arial"/>
          <w:i/>
          <w:iCs/>
          <w:lang w:val=""/>
        </w:rPr>
        <w:t>Harvard Business Review</w:t>
      </w:r>
      <w:r w:rsidRPr="006229CB">
        <w:rPr>
          <w:rFonts w:ascii="Arial" w:hAnsi="Arial" w:cs="Arial"/>
          <w:lang w:val=""/>
        </w:rPr>
        <w:t>, 72(3), 46-52.</w:t>
      </w:r>
    </w:p>
    <w:p w14:paraId="42D6597D" w14:textId="77777777" w:rsidR="006229CB" w:rsidRPr="006229CB" w:rsidRDefault="006229CB" w:rsidP="006229CB">
      <w:pPr>
        <w:rPr>
          <w:rFonts w:ascii="Arial" w:hAnsi="Arial" w:cs="Arial"/>
        </w:rPr>
      </w:pPr>
    </w:p>
    <w:p w14:paraId="3433DB31" w14:textId="77777777" w:rsidR="006229CB" w:rsidRPr="006229CB" w:rsidRDefault="006229CB" w:rsidP="006229CB">
      <w:pPr>
        <w:rPr>
          <w:rFonts w:ascii="Arial" w:hAnsi="Arial" w:cs="Arial"/>
        </w:rPr>
      </w:pPr>
    </w:p>
    <w:sectPr w:rsidR="006229CB" w:rsidRPr="006229CB" w:rsidSect="006229CB">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C9257" w14:textId="77777777" w:rsidR="007037A6" w:rsidRDefault="007037A6">
      <w:pPr>
        <w:spacing w:line="240" w:lineRule="auto"/>
      </w:pPr>
      <w:r>
        <w:separator/>
      </w:r>
    </w:p>
  </w:endnote>
  <w:endnote w:type="continuationSeparator" w:id="0">
    <w:p w14:paraId="0FF93709" w14:textId="77777777" w:rsidR="007037A6" w:rsidRDefault="00703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59744163"/>
      <w:docPartObj>
        <w:docPartGallery w:val="Page Numbers (Bottom of Page)"/>
        <w:docPartUnique/>
      </w:docPartObj>
    </w:sdtPr>
    <w:sdtContent>
      <w:p w14:paraId="2FC4BDEA" w14:textId="77777777" w:rsidR="006229CB" w:rsidRDefault="00000000" w:rsidP="0086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9B6913A" w14:textId="77777777" w:rsidR="006229CB" w:rsidRDefault="006229CB" w:rsidP="006229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12091439"/>
      <w:docPartObj>
        <w:docPartGallery w:val="Page Numbers (Bottom of Page)"/>
        <w:docPartUnique/>
      </w:docPartObj>
    </w:sdtPr>
    <w:sdtContent>
      <w:p w14:paraId="599C5D14" w14:textId="77777777" w:rsidR="006229CB" w:rsidRDefault="00000000" w:rsidP="0086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EABAFBD" w14:textId="77777777" w:rsidR="006229CB" w:rsidRDefault="006229CB" w:rsidP="006229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68FD54" w14:textId="77777777" w:rsidR="007037A6" w:rsidRDefault="007037A6">
      <w:pPr>
        <w:spacing w:line="240" w:lineRule="auto"/>
      </w:pPr>
      <w:r>
        <w:separator/>
      </w:r>
    </w:p>
  </w:footnote>
  <w:footnote w:type="continuationSeparator" w:id="0">
    <w:p w14:paraId="3B699E2A" w14:textId="77777777" w:rsidR="007037A6" w:rsidRDefault="007037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66204"/>
    <w:multiLevelType w:val="multilevel"/>
    <w:tmpl w:val="E2C667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229CA"/>
    <w:multiLevelType w:val="multilevel"/>
    <w:tmpl w:val="E0B06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F61492"/>
    <w:multiLevelType w:val="hybridMultilevel"/>
    <w:tmpl w:val="C6785F00"/>
    <w:lvl w:ilvl="0" w:tplc="BC489032">
      <w:start w:val="1"/>
      <w:numFmt w:val="bullet"/>
      <w:lvlText w:val=""/>
      <w:lvlJc w:val="left"/>
      <w:pPr>
        <w:ind w:left="720" w:hanging="360"/>
      </w:pPr>
      <w:rPr>
        <w:rFonts w:ascii="Symbol" w:hAnsi="Symbol" w:hint="default"/>
      </w:rPr>
    </w:lvl>
    <w:lvl w:ilvl="1" w:tplc="608EBFFE" w:tentative="1">
      <w:start w:val="1"/>
      <w:numFmt w:val="bullet"/>
      <w:lvlText w:val="o"/>
      <w:lvlJc w:val="left"/>
      <w:pPr>
        <w:ind w:left="1440" w:hanging="360"/>
      </w:pPr>
      <w:rPr>
        <w:rFonts w:ascii="Courier New" w:hAnsi="Courier New" w:cs="Courier New" w:hint="default"/>
      </w:rPr>
    </w:lvl>
    <w:lvl w:ilvl="2" w:tplc="EA1853D6" w:tentative="1">
      <w:start w:val="1"/>
      <w:numFmt w:val="bullet"/>
      <w:lvlText w:val=""/>
      <w:lvlJc w:val="left"/>
      <w:pPr>
        <w:ind w:left="2160" w:hanging="360"/>
      </w:pPr>
      <w:rPr>
        <w:rFonts w:ascii="Wingdings" w:hAnsi="Wingdings" w:hint="default"/>
      </w:rPr>
    </w:lvl>
    <w:lvl w:ilvl="3" w:tplc="B386CE90" w:tentative="1">
      <w:start w:val="1"/>
      <w:numFmt w:val="bullet"/>
      <w:lvlText w:val=""/>
      <w:lvlJc w:val="left"/>
      <w:pPr>
        <w:ind w:left="2880" w:hanging="360"/>
      </w:pPr>
      <w:rPr>
        <w:rFonts w:ascii="Symbol" w:hAnsi="Symbol" w:hint="default"/>
      </w:rPr>
    </w:lvl>
    <w:lvl w:ilvl="4" w:tplc="19B23DC2" w:tentative="1">
      <w:start w:val="1"/>
      <w:numFmt w:val="bullet"/>
      <w:lvlText w:val="o"/>
      <w:lvlJc w:val="left"/>
      <w:pPr>
        <w:ind w:left="3600" w:hanging="360"/>
      </w:pPr>
      <w:rPr>
        <w:rFonts w:ascii="Courier New" w:hAnsi="Courier New" w:cs="Courier New" w:hint="default"/>
      </w:rPr>
    </w:lvl>
    <w:lvl w:ilvl="5" w:tplc="931AD274" w:tentative="1">
      <w:start w:val="1"/>
      <w:numFmt w:val="bullet"/>
      <w:lvlText w:val=""/>
      <w:lvlJc w:val="left"/>
      <w:pPr>
        <w:ind w:left="4320" w:hanging="360"/>
      </w:pPr>
      <w:rPr>
        <w:rFonts w:ascii="Wingdings" w:hAnsi="Wingdings" w:hint="default"/>
      </w:rPr>
    </w:lvl>
    <w:lvl w:ilvl="6" w:tplc="344803E2" w:tentative="1">
      <w:start w:val="1"/>
      <w:numFmt w:val="bullet"/>
      <w:lvlText w:val=""/>
      <w:lvlJc w:val="left"/>
      <w:pPr>
        <w:ind w:left="5040" w:hanging="360"/>
      </w:pPr>
      <w:rPr>
        <w:rFonts w:ascii="Symbol" w:hAnsi="Symbol" w:hint="default"/>
      </w:rPr>
    </w:lvl>
    <w:lvl w:ilvl="7" w:tplc="4F9C8A32" w:tentative="1">
      <w:start w:val="1"/>
      <w:numFmt w:val="bullet"/>
      <w:lvlText w:val="o"/>
      <w:lvlJc w:val="left"/>
      <w:pPr>
        <w:ind w:left="5760" w:hanging="360"/>
      </w:pPr>
      <w:rPr>
        <w:rFonts w:ascii="Courier New" w:hAnsi="Courier New" w:cs="Courier New" w:hint="default"/>
      </w:rPr>
    </w:lvl>
    <w:lvl w:ilvl="8" w:tplc="24EE4154" w:tentative="1">
      <w:start w:val="1"/>
      <w:numFmt w:val="bullet"/>
      <w:lvlText w:val=""/>
      <w:lvlJc w:val="left"/>
      <w:pPr>
        <w:ind w:left="6480" w:hanging="360"/>
      </w:pPr>
      <w:rPr>
        <w:rFonts w:ascii="Wingdings" w:hAnsi="Wingdings" w:hint="default"/>
      </w:rPr>
    </w:lvl>
  </w:abstractNum>
  <w:abstractNum w:abstractNumId="3" w15:restartNumberingAfterBreak="0">
    <w:nsid w:val="75B16B46"/>
    <w:multiLevelType w:val="hybridMultilevel"/>
    <w:tmpl w:val="F2622DC8"/>
    <w:lvl w:ilvl="0" w:tplc="329E279C">
      <w:numFmt w:val="bullet"/>
      <w:lvlText w:val=""/>
      <w:lvlJc w:val="left"/>
      <w:pPr>
        <w:ind w:left="800" w:hanging="800"/>
      </w:pPr>
      <w:rPr>
        <w:rFonts w:ascii="Times New Roman" w:eastAsiaTheme="minorHAnsi" w:hAnsi="Times New Roman" w:cs="Times New Roman" w:hint="default"/>
      </w:rPr>
    </w:lvl>
    <w:lvl w:ilvl="1" w:tplc="0D4C8D34" w:tentative="1">
      <w:start w:val="1"/>
      <w:numFmt w:val="bullet"/>
      <w:lvlText w:val="o"/>
      <w:lvlJc w:val="left"/>
      <w:pPr>
        <w:ind w:left="1080" w:hanging="360"/>
      </w:pPr>
      <w:rPr>
        <w:rFonts w:ascii="Courier New" w:hAnsi="Courier New" w:cs="Courier New" w:hint="default"/>
      </w:rPr>
    </w:lvl>
    <w:lvl w:ilvl="2" w:tplc="A1921140" w:tentative="1">
      <w:start w:val="1"/>
      <w:numFmt w:val="bullet"/>
      <w:lvlText w:val=""/>
      <w:lvlJc w:val="left"/>
      <w:pPr>
        <w:ind w:left="1800" w:hanging="360"/>
      </w:pPr>
      <w:rPr>
        <w:rFonts w:ascii="Wingdings" w:hAnsi="Wingdings" w:hint="default"/>
      </w:rPr>
    </w:lvl>
    <w:lvl w:ilvl="3" w:tplc="24BED218" w:tentative="1">
      <w:start w:val="1"/>
      <w:numFmt w:val="bullet"/>
      <w:lvlText w:val=""/>
      <w:lvlJc w:val="left"/>
      <w:pPr>
        <w:ind w:left="2520" w:hanging="360"/>
      </w:pPr>
      <w:rPr>
        <w:rFonts w:ascii="Symbol" w:hAnsi="Symbol" w:hint="default"/>
      </w:rPr>
    </w:lvl>
    <w:lvl w:ilvl="4" w:tplc="A106DF9C" w:tentative="1">
      <w:start w:val="1"/>
      <w:numFmt w:val="bullet"/>
      <w:lvlText w:val="o"/>
      <w:lvlJc w:val="left"/>
      <w:pPr>
        <w:ind w:left="3240" w:hanging="360"/>
      </w:pPr>
      <w:rPr>
        <w:rFonts w:ascii="Courier New" w:hAnsi="Courier New" w:cs="Courier New" w:hint="default"/>
      </w:rPr>
    </w:lvl>
    <w:lvl w:ilvl="5" w:tplc="0F06C43E" w:tentative="1">
      <w:start w:val="1"/>
      <w:numFmt w:val="bullet"/>
      <w:lvlText w:val=""/>
      <w:lvlJc w:val="left"/>
      <w:pPr>
        <w:ind w:left="3960" w:hanging="360"/>
      </w:pPr>
      <w:rPr>
        <w:rFonts w:ascii="Wingdings" w:hAnsi="Wingdings" w:hint="default"/>
      </w:rPr>
    </w:lvl>
    <w:lvl w:ilvl="6" w:tplc="FC469DCC" w:tentative="1">
      <w:start w:val="1"/>
      <w:numFmt w:val="bullet"/>
      <w:lvlText w:val=""/>
      <w:lvlJc w:val="left"/>
      <w:pPr>
        <w:ind w:left="4680" w:hanging="360"/>
      </w:pPr>
      <w:rPr>
        <w:rFonts w:ascii="Symbol" w:hAnsi="Symbol" w:hint="default"/>
      </w:rPr>
    </w:lvl>
    <w:lvl w:ilvl="7" w:tplc="0BD68E8E" w:tentative="1">
      <w:start w:val="1"/>
      <w:numFmt w:val="bullet"/>
      <w:lvlText w:val="o"/>
      <w:lvlJc w:val="left"/>
      <w:pPr>
        <w:ind w:left="5400" w:hanging="360"/>
      </w:pPr>
      <w:rPr>
        <w:rFonts w:ascii="Courier New" w:hAnsi="Courier New" w:cs="Courier New" w:hint="default"/>
      </w:rPr>
    </w:lvl>
    <w:lvl w:ilvl="8" w:tplc="6A6E9D94" w:tentative="1">
      <w:start w:val="1"/>
      <w:numFmt w:val="bullet"/>
      <w:lvlText w:val=""/>
      <w:lvlJc w:val="left"/>
      <w:pPr>
        <w:ind w:left="6120" w:hanging="360"/>
      </w:pPr>
      <w:rPr>
        <w:rFonts w:ascii="Wingdings" w:hAnsi="Wingdings" w:hint="default"/>
      </w:rPr>
    </w:lvl>
  </w:abstractNum>
  <w:abstractNum w:abstractNumId="4" w15:restartNumberingAfterBreak="0">
    <w:nsid w:val="79BB435E"/>
    <w:multiLevelType w:val="multilevel"/>
    <w:tmpl w:val="6E5EA2F0"/>
    <w:lvl w:ilvl="0">
      <w:start w:val="1"/>
      <w:numFmt w:val="decimal"/>
      <w:lvlText w:val="%1."/>
      <w:lvlJc w:val="left"/>
      <w:pPr>
        <w:tabs>
          <w:tab w:val="num" w:pos="785"/>
        </w:tabs>
        <w:ind w:left="785" w:hanging="360"/>
      </w:pPr>
    </w:lvl>
    <w:lvl w:ilvl="1">
      <w:start w:val="1"/>
      <w:numFmt w:val="bullet"/>
      <w:lvlText w:val="o"/>
      <w:lvlJc w:val="left"/>
      <w:pPr>
        <w:tabs>
          <w:tab w:val="num" w:pos="1505"/>
        </w:tabs>
        <w:ind w:left="1505" w:hanging="360"/>
      </w:pPr>
      <w:rPr>
        <w:rFonts w:ascii="Courier New" w:hAnsi="Courier New" w:hint="default"/>
        <w:sz w:val="20"/>
      </w:rPr>
    </w:lvl>
    <w:lvl w:ilvl="2">
      <w:start w:val="1"/>
      <w:numFmt w:val="bullet"/>
      <w:lvlText w:val=""/>
      <w:lvlJc w:val="left"/>
      <w:pPr>
        <w:tabs>
          <w:tab w:val="num" w:pos="2225"/>
        </w:tabs>
        <w:ind w:left="2225" w:hanging="360"/>
      </w:pPr>
      <w:rPr>
        <w:rFonts w:ascii="Wingdings" w:hAnsi="Wingdings" w:hint="default"/>
        <w:sz w:val="20"/>
      </w:r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num w:numId="1" w16cid:durableId="813449016">
    <w:abstractNumId w:val="1"/>
  </w:num>
  <w:num w:numId="2" w16cid:durableId="489831404">
    <w:abstractNumId w:val="4"/>
  </w:num>
  <w:num w:numId="3" w16cid:durableId="720443654">
    <w:abstractNumId w:val="0"/>
  </w:num>
  <w:num w:numId="4" w16cid:durableId="284698572">
    <w:abstractNumId w:val="2"/>
  </w:num>
  <w:num w:numId="5" w16cid:durableId="1928659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9CB"/>
    <w:rsid w:val="00185BB4"/>
    <w:rsid w:val="003A6434"/>
    <w:rsid w:val="00481B9F"/>
    <w:rsid w:val="005C7066"/>
    <w:rsid w:val="006229CB"/>
    <w:rsid w:val="007037A6"/>
    <w:rsid w:val="00772430"/>
    <w:rsid w:val="00862E07"/>
    <w:rsid w:val="008A6131"/>
    <w:rsid w:val="00A10DF3"/>
    <w:rsid w:val="00BD0C82"/>
    <w:rsid w:val="00FA67EB"/>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80C6"/>
  <w15:chartTrackingRefBased/>
  <w15:docId w15:val="{606252A0-CFDD-3946-86FB-561EBF0E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6229CB"/>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185BB4"/>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6229CB"/>
    <w:rPr>
      <w:rFonts w:ascii="Times New Roman" w:eastAsiaTheme="majorEastAsia" w:hAnsi="Times New Roman" w:cstheme="majorBidi"/>
      <w:b/>
      <w:color w:val="2F5496" w:themeColor="accent1" w:themeShade="BF"/>
      <w:sz w:val="32"/>
      <w:szCs w:val="40"/>
      <w:lang w:val="en-GB"/>
    </w:rPr>
  </w:style>
  <w:style w:type="character" w:customStyle="1" w:styleId="Heading2Char">
    <w:name w:val="Heading 2 Char"/>
    <w:basedOn w:val="DefaultParagraphFont"/>
    <w:link w:val="Heading2"/>
    <w:uiPriority w:val="9"/>
    <w:semiHidden/>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after="120"/>
      <w:jc w:val="left"/>
    </w:pPr>
    <w:rPr>
      <w:bCs/>
      <w:caps/>
      <w:szCs w:val="20"/>
      <w:lang w:val=""/>
    </w:rPr>
  </w:style>
  <w:style w:type="paragraph" w:styleId="NormalWeb">
    <w:name w:val="Normal (Web)"/>
    <w:basedOn w:val="Normal"/>
    <w:uiPriority w:val="99"/>
    <w:semiHidden/>
    <w:unhideWhenUsed/>
    <w:rsid w:val="006229CB"/>
    <w:pPr>
      <w:spacing w:before="100" w:beforeAutospacing="1" w:after="100" w:afterAutospacing="1" w:line="240" w:lineRule="auto"/>
      <w:jc w:val="left"/>
    </w:pPr>
    <w:rPr>
      <w:rFonts w:eastAsia="Times New Roman" w:cs="Times New Roman"/>
      <w:kern w:val="0"/>
      <w:szCs w:val="24"/>
      <w:lang w:val="" w:eastAsia="en-GB"/>
      <w14:ligatures w14:val="none"/>
    </w:rPr>
  </w:style>
  <w:style w:type="character" w:styleId="Strong">
    <w:name w:val="Strong"/>
    <w:basedOn w:val="DefaultParagraphFont"/>
    <w:uiPriority w:val="22"/>
    <w:qFormat/>
    <w:rsid w:val="006229CB"/>
    <w:rPr>
      <w:b/>
      <w:bCs/>
    </w:rPr>
  </w:style>
  <w:style w:type="character" w:customStyle="1" w:styleId="apple-converted-space">
    <w:name w:val="apple-converted-space"/>
    <w:basedOn w:val="DefaultParagraphFont"/>
    <w:rsid w:val="006229CB"/>
  </w:style>
  <w:style w:type="character" w:styleId="Emphasis">
    <w:name w:val="Emphasis"/>
    <w:basedOn w:val="DefaultParagraphFont"/>
    <w:uiPriority w:val="20"/>
    <w:qFormat/>
    <w:rsid w:val="006229CB"/>
    <w:rPr>
      <w:i/>
      <w:iCs/>
    </w:rPr>
  </w:style>
  <w:style w:type="paragraph" w:styleId="ListParagraph">
    <w:name w:val="List Paragraph"/>
    <w:basedOn w:val="Normal"/>
    <w:uiPriority w:val="34"/>
    <w:qFormat/>
    <w:rsid w:val="006229CB"/>
    <w:pPr>
      <w:ind w:left="720"/>
      <w:contextualSpacing/>
    </w:pPr>
  </w:style>
  <w:style w:type="paragraph" w:styleId="Footer">
    <w:name w:val="footer"/>
    <w:basedOn w:val="Normal"/>
    <w:link w:val="FooterChar"/>
    <w:uiPriority w:val="99"/>
    <w:unhideWhenUsed/>
    <w:rsid w:val="006229CB"/>
    <w:pPr>
      <w:tabs>
        <w:tab w:val="center" w:pos="4513"/>
        <w:tab w:val="right" w:pos="9026"/>
      </w:tabs>
      <w:spacing w:line="240" w:lineRule="auto"/>
    </w:pPr>
  </w:style>
  <w:style w:type="character" w:customStyle="1" w:styleId="FooterChar">
    <w:name w:val="Footer Char"/>
    <w:basedOn w:val="DefaultParagraphFont"/>
    <w:link w:val="Footer"/>
    <w:uiPriority w:val="99"/>
    <w:rsid w:val="006229CB"/>
    <w:rPr>
      <w:rFonts w:ascii="Times New Roman" w:hAnsi="Times New Roman" w:cs="Vrinda"/>
      <w:lang w:val="en-GB"/>
    </w:rPr>
  </w:style>
  <w:style w:type="character" w:styleId="PageNumber">
    <w:name w:val="page number"/>
    <w:basedOn w:val="DefaultParagraphFont"/>
    <w:uiPriority w:val="99"/>
    <w:semiHidden/>
    <w:unhideWhenUsed/>
    <w:rsid w:val="00622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2</cp:revision>
  <dcterms:created xsi:type="dcterms:W3CDTF">2024-10-21T12:41:00Z</dcterms:created>
  <dcterms:modified xsi:type="dcterms:W3CDTF">2024-10-21T12:41:00Z</dcterms:modified>
  <cp:category/>
</cp:coreProperties>
</file>