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4987D" w14:textId="77777777" w:rsidR="00CC0926" w:rsidRDefault="00CC0926">
      <w:pPr>
        <w:rPr>
          <w:rFonts w:ascii="Arial" w:hAnsi="Arial" w:cs="Arial"/>
          <w:sz w:val="24"/>
          <w:szCs w:val="24"/>
        </w:rPr>
      </w:pPr>
    </w:p>
    <w:p w14:paraId="676AA46C" w14:textId="78D1A6B0" w:rsidR="00D61AF9" w:rsidRPr="0028194F" w:rsidRDefault="0081738F">
      <w:pPr>
        <w:rPr>
          <w:rFonts w:ascii="Arial" w:hAnsi="Arial" w:cs="Arial"/>
          <w:sz w:val="24"/>
          <w:szCs w:val="24"/>
        </w:rPr>
      </w:pPr>
      <w:r w:rsidRPr="0028194F">
        <w:rPr>
          <w:rFonts w:ascii="Arial" w:hAnsi="Arial" w:cs="Arial"/>
          <w:sz w:val="24"/>
          <w:szCs w:val="24"/>
        </w:rPr>
        <w:t>Name</w:t>
      </w:r>
      <w:r w:rsidR="00CD2E12" w:rsidRPr="0028194F">
        <w:rPr>
          <w:rFonts w:ascii="Arial" w:hAnsi="Arial" w:cs="Arial"/>
          <w:sz w:val="24"/>
          <w:szCs w:val="24"/>
        </w:rPr>
        <w:t>:</w:t>
      </w:r>
      <w:r w:rsidR="00B062E6" w:rsidRPr="0028194F">
        <w:rPr>
          <w:rFonts w:ascii="Arial" w:hAnsi="Arial" w:cs="Arial"/>
          <w:sz w:val="24"/>
          <w:szCs w:val="24"/>
        </w:rPr>
        <w:t xml:space="preserve">  Jamal  Sesay</w:t>
      </w:r>
    </w:p>
    <w:p w14:paraId="01CD3067" w14:textId="19EF2F47" w:rsidR="00BF6327" w:rsidRPr="0028194F" w:rsidRDefault="00BF6327">
      <w:pPr>
        <w:rPr>
          <w:rFonts w:ascii="Arial" w:hAnsi="Arial" w:cs="Arial"/>
          <w:sz w:val="24"/>
          <w:szCs w:val="24"/>
        </w:rPr>
      </w:pPr>
      <w:r w:rsidRPr="0028194F">
        <w:rPr>
          <w:rFonts w:ascii="Arial" w:hAnsi="Arial" w:cs="Arial"/>
          <w:sz w:val="24"/>
          <w:szCs w:val="24"/>
        </w:rPr>
        <w:t>Student Number:</w:t>
      </w:r>
      <w:r w:rsidR="00B062E6" w:rsidRPr="0028194F">
        <w:rPr>
          <w:rFonts w:ascii="Arial" w:hAnsi="Arial" w:cs="Arial"/>
          <w:sz w:val="24"/>
          <w:szCs w:val="24"/>
        </w:rPr>
        <w:t xml:space="preserve">  1919235</w:t>
      </w:r>
    </w:p>
    <w:p w14:paraId="59991369" w14:textId="236F2970" w:rsidR="00B062E6" w:rsidRPr="0028194F" w:rsidRDefault="00BF6327">
      <w:pPr>
        <w:rPr>
          <w:rFonts w:ascii="Arial" w:hAnsi="Arial" w:cs="Arial"/>
          <w:sz w:val="24"/>
          <w:szCs w:val="24"/>
        </w:rPr>
      </w:pPr>
      <w:r w:rsidRPr="0028194F">
        <w:rPr>
          <w:rFonts w:ascii="Arial" w:hAnsi="Arial" w:cs="Arial"/>
          <w:sz w:val="24"/>
          <w:szCs w:val="24"/>
        </w:rPr>
        <w:t>Module Ti</w:t>
      </w:r>
      <w:r w:rsidR="00DD4F57" w:rsidRPr="0028194F">
        <w:rPr>
          <w:rFonts w:ascii="Arial" w:hAnsi="Arial" w:cs="Arial"/>
          <w:sz w:val="24"/>
          <w:szCs w:val="24"/>
        </w:rPr>
        <w:t>tle:</w:t>
      </w:r>
      <w:r w:rsidR="00B062E6" w:rsidRPr="0028194F">
        <w:rPr>
          <w:rFonts w:ascii="Arial" w:hAnsi="Arial" w:cs="Arial"/>
          <w:sz w:val="24"/>
          <w:szCs w:val="24"/>
        </w:rPr>
        <w:t xml:space="preserve">  Academic and Employability  Skills  </w:t>
      </w:r>
      <w:r w:rsidR="00D61AF9" w:rsidRPr="0028194F">
        <w:rPr>
          <w:rFonts w:ascii="Arial" w:hAnsi="Arial" w:cs="Arial"/>
          <w:sz w:val="24"/>
          <w:szCs w:val="24"/>
        </w:rPr>
        <w:t>BMSW4001</w:t>
      </w:r>
    </w:p>
    <w:p w14:paraId="1C2E9AE8" w14:textId="0039BF59" w:rsidR="00B062E6" w:rsidRPr="0028194F" w:rsidRDefault="00B062E6">
      <w:pPr>
        <w:rPr>
          <w:rFonts w:ascii="Arial" w:hAnsi="Arial" w:cs="Arial"/>
          <w:sz w:val="24"/>
          <w:szCs w:val="24"/>
        </w:rPr>
      </w:pPr>
      <w:r w:rsidRPr="0028194F">
        <w:rPr>
          <w:rFonts w:ascii="Arial" w:hAnsi="Arial" w:cs="Arial"/>
          <w:sz w:val="24"/>
          <w:szCs w:val="24"/>
        </w:rPr>
        <w:t>Assignment  Title</w:t>
      </w:r>
      <w:r w:rsidR="00D61AF9" w:rsidRPr="0028194F">
        <w:rPr>
          <w:rFonts w:ascii="Arial" w:hAnsi="Arial" w:cs="Arial"/>
          <w:sz w:val="24"/>
          <w:szCs w:val="24"/>
        </w:rPr>
        <w:t>: Report on Employability article, Task 1</w:t>
      </w:r>
    </w:p>
    <w:p w14:paraId="3BEF4B45" w14:textId="3F3F7B79" w:rsidR="00C26FA5" w:rsidRPr="0028194F" w:rsidRDefault="00B062E6">
      <w:pPr>
        <w:rPr>
          <w:rFonts w:ascii="Arial" w:hAnsi="Arial" w:cs="Arial"/>
          <w:sz w:val="24"/>
          <w:szCs w:val="24"/>
        </w:rPr>
      </w:pPr>
      <w:r w:rsidRPr="0028194F">
        <w:rPr>
          <w:rFonts w:ascii="Arial" w:hAnsi="Arial" w:cs="Arial"/>
          <w:sz w:val="24"/>
          <w:szCs w:val="24"/>
        </w:rPr>
        <w:t>Lecturer’s  Name</w:t>
      </w:r>
      <w:r w:rsidR="00D61AF9" w:rsidRPr="0028194F">
        <w:rPr>
          <w:rFonts w:ascii="Arial" w:hAnsi="Arial" w:cs="Arial"/>
          <w:sz w:val="24"/>
          <w:szCs w:val="24"/>
        </w:rPr>
        <w:t xml:space="preserve">:  </w:t>
      </w:r>
      <w:r w:rsidR="00F4272F" w:rsidRPr="0028194F">
        <w:rPr>
          <w:rFonts w:ascii="Arial" w:hAnsi="Arial" w:cs="Arial"/>
          <w:sz w:val="24"/>
          <w:szCs w:val="24"/>
        </w:rPr>
        <w:t xml:space="preserve">Magdalena </w:t>
      </w:r>
      <w:proofErr w:type="spellStart"/>
      <w:r w:rsidR="00F4272F" w:rsidRPr="0028194F">
        <w:rPr>
          <w:rFonts w:ascii="Arial" w:hAnsi="Arial" w:cs="Arial"/>
          <w:sz w:val="24"/>
          <w:szCs w:val="24"/>
        </w:rPr>
        <w:t>Wronska</w:t>
      </w:r>
      <w:proofErr w:type="spellEnd"/>
    </w:p>
    <w:p w14:paraId="70417E5F" w14:textId="6B17E306" w:rsidR="00DC39AF" w:rsidRPr="001743A8" w:rsidRDefault="00DC39AF" w:rsidP="00335134">
      <w:pPr>
        <w:spacing w:line="360" w:lineRule="auto"/>
        <w:jc w:val="both"/>
        <w:rPr>
          <w:rFonts w:ascii="Arial" w:hAnsi="Arial" w:cs="Arial"/>
          <w:color w:val="C00000"/>
          <w:sz w:val="24"/>
          <w:szCs w:val="24"/>
          <w:u w:val="single"/>
        </w:rPr>
      </w:pPr>
      <w:r w:rsidRPr="001743A8">
        <w:rPr>
          <w:rFonts w:ascii="Arial" w:hAnsi="Arial" w:cs="Arial"/>
          <w:color w:val="C00000"/>
          <w:sz w:val="24"/>
          <w:szCs w:val="24"/>
          <w:u w:val="single"/>
        </w:rPr>
        <w:t>Introduction</w:t>
      </w:r>
    </w:p>
    <w:p w14:paraId="084CBB6B"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This article will be discussing four different types of jobs including their employability skills required of graduates and employees by employers. First, I will be talking about the profound general employability skills demanded by employers from graduates with academic qualifications to secure part-time, </w:t>
      </w:r>
      <w:proofErr w:type="gramStart"/>
      <w:r w:rsidRPr="00435B64">
        <w:rPr>
          <w:rFonts w:ascii="Arial" w:eastAsia="Times New Roman" w:hAnsi="Arial" w:cs="Arial"/>
          <w:color w:val="000000"/>
          <w:sz w:val="24"/>
          <w:szCs w:val="24"/>
          <w:lang w:eastAsia="en-GB"/>
        </w:rPr>
        <w:t>full-time</w:t>
      </w:r>
      <w:proofErr w:type="gramEnd"/>
      <w:r w:rsidRPr="00435B64">
        <w:rPr>
          <w:rFonts w:ascii="Arial" w:eastAsia="Times New Roman" w:hAnsi="Arial" w:cs="Arial"/>
          <w:color w:val="000000"/>
          <w:sz w:val="24"/>
          <w:szCs w:val="24"/>
          <w:lang w:eastAsia="en-GB"/>
        </w:rPr>
        <w:t xml:space="preserve"> or permanent jobs for a living standard. Further, employability skills required for four different professions should be written in journal article format below.</w:t>
      </w:r>
    </w:p>
    <w:p w14:paraId="02BEB551"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Employability</w:t>
      </w:r>
    </w:p>
    <w:p w14:paraId="693E95CD"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Employability is a relationship between educational credentials and workforce perspective based on the capability approach (</w:t>
      </w:r>
      <w:r w:rsidRPr="00435B64">
        <w:rPr>
          <w:rFonts w:ascii="Arial" w:eastAsia="Times New Roman" w:hAnsi="Arial" w:cs="Arial"/>
          <w:color w:val="333333"/>
          <w:sz w:val="24"/>
          <w:szCs w:val="24"/>
          <w:lang w:eastAsia="en-GB"/>
        </w:rPr>
        <w:t>Jackson, 2013).</w:t>
      </w:r>
      <w:r w:rsidRPr="00435B64">
        <w:rPr>
          <w:rFonts w:ascii="Arial" w:eastAsia="Times New Roman" w:hAnsi="Arial" w:cs="Arial"/>
          <w:color w:val="000000"/>
          <w:sz w:val="24"/>
          <w:szCs w:val="24"/>
          <w:lang w:eastAsia="en-GB"/>
        </w:rPr>
        <w:t xml:space="preserve"> Skills are the ability to do something well in an organisation or your daily activity. Academic students with higher credentials, seen as a significant dimension of their employability, need to add more value to them by obtaining practical skills or work experiences, to gain an advantage in the labour market.   From the employers’  perceptions,  they viewed that  “applying theory into practice”  is the most important skill that a  graduate should have.  The ability to apply what they have learned during university study will lead them to have a higher level of performance (</w:t>
      </w:r>
      <w:proofErr w:type="spellStart"/>
      <w:r w:rsidRPr="00435B64">
        <w:rPr>
          <w:rFonts w:ascii="Arial" w:eastAsia="Times New Roman" w:hAnsi="Arial" w:cs="Arial"/>
          <w:color w:val="000000"/>
          <w:sz w:val="24"/>
          <w:szCs w:val="24"/>
          <w:lang w:eastAsia="en-GB"/>
        </w:rPr>
        <w:t>Peasland</w:t>
      </w:r>
      <w:proofErr w:type="spellEnd"/>
      <w:r w:rsidRPr="00435B64">
        <w:rPr>
          <w:rFonts w:ascii="Arial" w:eastAsia="Times New Roman" w:hAnsi="Arial" w:cs="Arial"/>
          <w:color w:val="000000"/>
          <w:sz w:val="24"/>
          <w:szCs w:val="24"/>
          <w:lang w:eastAsia="en-GB"/>
        </w:rPr>
        <w:t xml:space="preserve"> et al., 2019).</w:t>
      </w:r>
    </w:p>
    <w:p w14:paraId="2105CE37"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Education in colleges and Universities are purely set in society for students to learn and improve their employment prospects (</w:t>
      </w:r>
      <w:proofErr w:type="spellStart"/>
      <w:r w:rsidRPr="00435B64">
        <w:rPr>
          <w:rFonts w:ascii="Arial" w:eastAsia="Times New Roman" w:hAnsi="Arial" w:cs="Arial"/>
          <w:color w:val="000000"/>
          <w:sz w:val="24"/>
          <w:szCs w:val="24"/>
          <w:lang w:eastAsia="en-GB"/>
        </w:rPr>
        <w:t>Bourne</w:t>
      </w:r>
      <w:proofErr w:type="spellEnd"/>
      <w:r w:rsidRPr="00435B64">
        <w:rPr>
          <w:rFonts w:ascii="Arial" w:eastAsia="Times New Roman" w:hAnsi="Arial" w:cs="Arial"/>
          <w:color w:val="000000"/>
          <w:sz w:val="24"/>
          <w:szCs w:val="24"/>
          <w:lang w:eastAsia="en-GB"/>
        </w:rPr>
        <w:t xml:space="preserve"> et al., 2018) Although students’ achievement of good qualifications is highly valued, however, this is no longer sufficient to secure employment (Yorke, 2006). Additionally, employers highly expect students to have developed a profound employability skill through training to contribute to the workplace practice when recruited (Ruder and Stanford, 2020). Thus, whilst some employers screen job applications based on degree classification, those achievements are less considered relevant at the short-listing stage(Amorim et al., 2018). Most employers initially use criteria to assess applications than the honours degree, by allowing applicants to undertake a series of skill activities and psychometric tests and to produce a personality profile (Brooked et al., 2020). These methods of employers’ recruitment and the selection were introduced to ensure equal opportunities, of widening access and to recognise a more diverse group of potential employees. On the other hand, graduates with good employability skills may otherwise be missed out because of not having a good academic qualification.</w:t>
      </w:r>
    </w:p>
    <w:p w14:paraId="76C4DE4E"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Employability skills development has been adopted into academic tutorials or modules by universities with strategies to empower students towards employment prospects, for example, work experience, work-related learning, and employability modules, </w:t>
      </w:r>
      <w:r w:rsidRPr="00435B64">
        <w:rPr>
          <w:rFonts w:ascii="Arial" w:eastAsia="Times New Roman" w:hAnsi="Arial" w:cs="Arial"/>
          <w:color w:val="000000"/>
          <w:sz w:val="24"/>
          <w:szCs w:val="24"/>
          <w:lang w:eastAsia="en-GB"/>
        </w:rPr>
        <w:lastRenderedPageBreak/>
        <w:t>ready for work events including practice assessment interviews (Wilkinson et al., 2018). Examples of these four different essential employability skills related, that are required of graduates and  employees for employment could be written in articles below:</w:t>
      </w:r>
    </w:p>
    <w:p w14:paraId="79915DBA"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Employability skills needed for physiotherapist graduate in a health care setting in the UK</w:t>
      </w:r>
    </w:p>
    <w:p w14:paraId="58C5B177"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The first of the four different employability skills required of the student by employers will be explained in this article. Today’s workforce includes change and higher competition for jobs; therefore, employers or stakeholders demand valuable skills in addition to student credentials during recruitment and selection in the labour market (Taylor &amp; Francis, 2013). Employers’ Perceptions of the Importance of Employability Skills among physiotherapy graduates in the UK should be explained better in my findings or results.</w:t>
      </w:r>
    </w:p>
    <w:p w14:paraId="3335F6AD"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Methods:</w:t>
      </w:r>
    </w:p>
    <w:p w14:paraId="38451986"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The reporter of this article did systematic reviews and collected secondary data, from validated/published research studies with synthesized findings qualitatively, or quantitatively.</w:t>
      </w:r>
    </w:p>
    <w:p w14:paraId="4DF0F8E1"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Results are as follows:</w:t>
      </w:r>
    </w:p>
    <w:p w14:paraId="3088A95B"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proofErr w:type="gramStart"/>
      <w:r w:rsidRPr="00435B64">
        <w:rPr>
          <w:rFonts w:ascii="Arial" w:eastAsia="Times New Roman" w:hAnsi="Arial" w:cs="Arial"/>
          <w:color w:val="000000"/>
          <w:sz w:val="24"/>
          <w:szCs w:val="24"/>
          <w:lang w:eastAsia="en-GB"/>
        </w:rPr>
        <w:t>In regards to</w:t>
      </w:r>
      <w:proofErr w:type="gramEnd"/>
      <w:r w:rsidRPr="00435B64">
        <w:rPr>
          <w:rFonts w:ascii="Arial" w:eastAsia="Times New Roman" w:hAnsi="Arial" w:cs="Arial"/>
          <w:color w:val="000000"/>
          <w:sz w:val="24"/>
          <w:szCs w:val="24"/>
          <w:lang w:eastAsia="en-GB"/>
        </w:rPr>
        <w:t xml:space="preserve"> physiotherapy skills, one’s ability to prioritise an issue is linked to their ability of communications, analysing, and addressing the problem(</w:t>
      </w:r>
      <w:r w:rsidRPr="00435B64">
        <w:rPr>
          <w:rFonts w:ascii="Arial" w:eastAsia="Times New Roman" w:hAnsi="Arial" w:cs="Arial"/>
          <w:color w:val="333333"/>
          <w:sz w:val="24"/>
          <w:szCs w:val="24"/>
          <w:lang w:eastAsia="en-GB"/>
        </w:rPr>
        <w:t xml:space="preserve">Ena Bhattacharyya, 2017). </w:t>
      </w:r>
      <w:r w:rsidRPr="00435B64">
        <w:rPr>
          <w:rFonts w:ascii="Arial" w:eastAsia="Times New Roman" w:hAnsi="Arial" w:cs="Arial"/>
          <w:color w:val="000000"/>
          <w:sz w:val="24"/>
          <w:szCs w:val="24"/>
          <w:lang w:eastAsia="en-GB"/>
        </w:rPr>
        <w:t>A graduate should know how to use the knowledge they have obtained academically, and how to apply it to receive a better and more effective result(</w:t>
      </w:r>
      <w:proofErr w:type="spellStart"/>
      <w:r w:rsidRPr="00435B64">
        <w:rPr>
          <w:rFonts w:ascii="Arial" w:eastAsia="Times New Roman" w:hAnsi="Arial" w:cs="Arial"/>
          <w:color w:val="000000"/>
          <w:sz w:val="24"/>
          <w:szCs w:val="24"/>
          <w:lang w:eastAsia="en-GB"/>
        </w:rPr>
        <w:t>Pegg</w:t>
      </w:r>
      <w:proofErr w:type="spellEnd"/>
      <w:r w:rsidRPr="00435B64">
        <w:rPr>
          <w:rFonts w:ascii="Arial" w:eastAsia="Times New Roman" w:hAnsi="Arial" w:cs="Arial"/>
          <w:color w:val="000000"/>
          <w:sz w:val="24"/>
          <w:szCs w:val="24"/>
          <w:lang w:eastAsia="en-GB"/>
        </w:rPr>
        <w:t xml:space="preserve"> A et al., 2012). The students’ ability to include and demonstrate key and generic skills have been portrayed to link to the development of their confidence in the application of different contexts of the environment (Miller et al., 2018).</w:t>
      </w:r>
    </w:p>
    <w:p w14:paraId="05D5C4D4"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Physiotherapy graduates should be both creative and innovative, to connect their innate knowledge to clinical situations so that modifications can be done efficiently in solving problems, otherwise, graduates would be like a technician lacking rationale of clinical reasoning when handling patients. Even though the study environment may not have prepared graduates with sufficient scenarios where they can learn to practice the skill, it can be developed and improved with time at work, and during placement(Mathew et al., 2018).</w:t>
      </w:r>
    </w:p>
    <w:p w14:paraId="74ECB867"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A variety of studies discovered that the expectations of an employer on graduates relating to university education appear to be heavily influenced by highly context-bound interpretations of desirable graduate capabilities, competencies, and the professional attributes of a profession(Tim Moore et al., 2017). On the contrary, it is unrealistic for universities to guarantee that their students will graduate in possession of all the desirable general attributes and skills spelt out in their institutional documentation. Therefore, working experience to develop different types of skills is essential for graduates to acquire desired goals in life(Chartered Society of Physiotherapy, 2014).  For example, below are some set of physiotherapy skills employers look out for, during recruitment and selection in addition to their qualifications.</w:t>
      </w:r>
    </w:p>
    <w:p w14:paraId="386B3AE2"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FF0000"/>
          <w:sz w:val="24"/>
          <w:szCs w:val="24"/>
          <w:u w:val="single"/>
          <w:lang w:eastAsia="en-GB"/>
        </w:rPr>
        <w:lastRenderedPageBreak/>
        <w:t> </w:t>
      </w:r>
    </w:p>
    <w:p w14:paraId="04BEC67F"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In addition, problem-solving and analytical skills such as identifying problems, prioritizing problems, and being confident about tackling unfamiliar problems are relevant skills required of any health care employee including Physiotherapist by employers in the care settings. Graduate students are also expected to perform competently in their profession, after obtaining professional qualifications to meet healthcare needs and the requirements for employment by employers (Dean et al., 2011a). Also, a trained physiotherapist should be able to assess and identify problems, show responsibility and accountability during a performance at work, and again critically judge the situation for solution or remedies. For example, during assessment or observation about the patient with musculoskeletal issues for exercise and treatment (Dalton M, Keating J, Davidson M, 2009).</w:t>
      </w:r>
    </w:p>
    <w:p w14:paraId="25D1BA2C"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Moreover, employers demanded Students be decisive in matters at work, and make their own decisions based on analysis of the situation, and plan towards progress. They should monitor progress and recognise the effects of their decisions and to evaluate both good and bad outcomes over health issues (Adamson, &amp; </w:t>
      </w:r>
      <w:proofErr w:type="spellStart"/>
      <w:r w:rsidRPr="00435B64">
        <w:rPr>
          <w:rFonts w:ascii="Arial" w:eastAsia="Times New Roman" w:hAnsi="Arial" w:cs="Arial"/>
          <w:color w:val="000000"/>
          <w:sz w:val="24"/>
          <w:szCs w:val="24"/>
          <w:lang w:eastAsia="en-GB"/>
        </w:rPr>
        <w:t>Kardon</w:t>
      </w:r>
      <w:proofErr w:type="spellEnd"/>
      <w:r w:rsidRPr="00435B64">
        <w:rPr>
          <w:rFonts w:ascii="Arial" w:eastAsia="Times New Roman" w:hAnsi="Arial" w:cs="Arial"/>
          <w:color w:val="000000"/>
          <w:sz w:val="24"/>
          <w:szCs w:val="24"/>
          <w:lang w:eastAsia="en-GB"/>
        </w:rPr>
        <w:t>-Edgren, 2012). Similarly, physiotherapists including employees should prioritize service users’ needs as a paramount need goal,  in every workforce, and put in place strategies towards achieving those goals. Skills  including work ethics/policy,  reliability, time management with hardworking to meeting deadlines,  reflexibility, and working in a busy environment, etc. are all important skills required of a Physiotherapy student or graduate to secure job (Wright A, et al.,2015)</w:t>
      </w:r>
    </w:p>
    <w:p w14:paraId="79E0011F"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w:t>
      </w:r>
    </w:p>
    <w:p w14:paraId="21980BFB" w14:textId="55F8A785"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Regarding communication skills, a graduate/employee should be able to communicate clearly on one-to-one bases with colleagues, service users and their families, including other professionals regarding identified problems and treatments. Again, students should obtain skills in writing reports, letters to clients and their next of </w:t>
      </w:r>
      <w:proofErr w:type="spellStart"/>
      <w:r w:rsidRPr="00435B64">
        <w:rPr>
          <w:rFonts w:ascii="Arial" w:eastAsia="Times New Roman" w:hAnsi="Arial" w:cs="Arial"/>
          <w:color w:val="000000"/>
          <w:sz w:val="24"/>
          <w:szCs w:val="24"/>
          <w:lang w:eastAsia="en-GB"/>
        </w:rPr>
        <w:t>kins</w:t>
      </w:r>
      <w:proofErr w:type="spellEnd"/>
      <w:r w:rsidRPr="00435B64">
        <w:rPr>
          <w:rFonts w:ascii="Arial" w:eastAsia="Times New Roman" w:hAnsi="Arial" w:cs="Arial"/>
          <w:color w:val="000000"/>
          <w:sz w:val="24"/>
          <w:szCs w:val="24"/>
          <w:lang w:eastAsia="en-GB"/>
        </w:rPr>
        <w:t>, etc. listen attentively, do an open presentation and be ready to accept, and respond to criticism/comment by others.</w:t>
      </w:r>
      <w:r w:rsidRPr="001743A8">
        <w:rPr>
          <w:rFonts w:ascii="Arial" w:eastAsia="Times New Roman" w:hAnsi="Arial" w:cs="Arial"/>
          <w:color w:val="000000"/>
          <w:sz w:val="24"/>
          <w:szCs w:val="24"/>
          <w:lang w:eastAsia="en-GB"/>
        </w:rPr>
        <w:t xml:space="preserve"> </w:t>
      </w:r>
      <w:r w:rsidRPr="00435B64">
        <w:rPr>
          <w:rFonts w:ascii="Arial" w:eastAsia="Times New Roman" w:hAnsi="Arial" w:cs="Arial"/>
          <w:color w:val="000000"/>
          <w:sz w:val="24"/>
          <w:szCs w:val="24"/>
          <w:lang w:eastAsia="en-GB"/>
        </w:rPr>
        <w:t>Furthermore, Students should obtain interpersonal and team-building skills at work, by having a good and professional relationship with the team, and managers/supervisors (Byrne, C. (ED). (2017). Also, a student should be able to show empathy or understanding over the feelings of another, develop a trustworthy relationship with clients,  care for others’ needs, be friendly and respectful, love and enjoy the job, be confident and demonstrate competency in all areas of work</w:t>
      </w:r>
      <w:r w:rsidRPr="00435B64">
        <w:rPr>
          <w:rFonts w:ascii="Arial" w:eastAsia="Times New Roman" w:hAnsi="Arial" w:cs="Arial"/>
          <w:color w:val="00B0F0"/>
          <w:sz w:val="24"/>
          <w:szCs w:val="24"/>
          <w:lang w:eastAsia="en-GB"/>
        </w:rPr>
        <w:t>.</w:t>
      </w:r>
    </w:p>
    <w:p w14:paraId="611070A0"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Leadership and Influence</w:t>
      </w:r>
    </w:p>
    <w:p w14:paraId="4EBD9F2A"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A well- experienced graduate physiotherapist should acquire knowledge in leadership skills by supervising others at work (Moore,&amp; Rudd, 22003), inducting and assessing new employees to understand their job roles and responsibility/accountability, then allocate tasks to colleagues and monitor performance (Dalton M, Davidson M, Keating JL, 2012). Furthermore, students should be creative, innovative, flexible with the ability to conceptualize. In other words, Students/graduates are expected to provide a unique solution to problems, be able to quickly adapt to any changes alongside work performance e.g. changes in the use of technology, in policy and procedures. A graduate physiotherapist should have a developed skill during clinical practice (</w:t>
      </w:r>
      <w:proofErr w:type="spellStart"/>
      <w:r w:rsidRPr="00435B64">
        <w:rPr>
          <w:rFonts w:ascii="Arial" w:eastAsia="Times New Roman" w:hAnsi="Arial" w:cs="Arial"/>
          <w:color w:val="000000"/>
          <w:sz w:val="24"/>
          <w:szCs w:val="24"/>
          <w:lang w:eastAsia="en-GB"/>
        </w:rPr>
        <w:t>Rheault</w:t>
      </w:r>
      <w:proofErr w:type="spellEnd"/>
      <w:r w:rsidRPr="00435B64">
        <w:rPr>
          <w:rFonts w:ascii="Arial" w:eastAsia="Times New Roman" w:hAnsi="Arial" w:cs="Arial"/>
          <w:color w:val="000000"/>
          <w:sz w:val="24"/>
          <w:szCs w:val="24"/>
          <w:lang w:eastAsia="en-GB"/>
        </w:rPr>
        <w:t xml:space="preserve">, &amp; Coulson, 1991) with new ideas as well as changing management plans to </w:t>
      </w:r>
      <w:r w:rsidRPr="00435B64">
        <w:rPr>
          <w:rFonts w:ascii="Arial" w:eastAsia="Times New Roman" w:hAnsi="Arial" w:cs="Arial"/>
          <w:color w:val="000000"/>
          <w:sz w:val="24"/>
          <w:szCs w:val="24"/>
          <w:lang w:eastAsia="en-GB"/>
        </w:rPr>
        <w:lastRenderedPageBreak/>
        <w:t>enhance productivity</w:t>
      </w:r>
      <w:r w:rsidRPr="00435B64">
        <w:rPr>
          <w:rFonts w:ascii="Arial" w:eastAsia="Times New Roman" w:hAnsi="Arial" w:cs="Arial"/>
          <w:color w:val="000000"/>
          <w:sz w:val="24"/>
          <w:szCs w:val="24"/>
          <w:u w:val="single"/>
          <w:lang w:eastAsia="en-GB"/>
        </w:rPr>
        <w:t>.</w:t>
      </w:r>
      <w:r w:rsidRPr="00435B64">
        <w:rPr>
          <w:rFonts w:ascii="Arial" w:eastAsia="Times New Roman" w:hAnsi="Arial" w:cs="Arial"/>
          <w:color w:val="000000"/>
          <w:sz w:val="24"/>
          <w:szCs w:val="24"/>
          <w:lang w:eastAsia="en-GB"/>
        </w:rPr>
        <w:t xml:space="preserve"> Lifelong Learning skill through professional training and E-learnings towards professionalism(Rodger et al., 2016).</w:t>
      </w:r>
    </w:p>
    <w:p w14:paraId="5B8FDD75"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Motivation-Personal Strength</w:t>
      </w:r>
    </w:p>
    <w:p w14:paraId="392FAB1E" w14:textId="0170A8DA"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Employers placed higher demands on students to gain employment requirements during higher education and workplace to handle and deal with workloads (Landry et al., 2016-2020) in a busy environment, with a positive attitude. Graduates should have the competence to work independently, act proactively by putting safety measures in place to minimize risk, assess and provide the right equipment for users to ensure safety.</w:t>
      </w:r>
    </w:p>
    <w:p w14:paraId="74C48107"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w:t>
      </w:r>
    </w:p>
    <w:p w14:paraId="3196CF4C"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Employability skills needed in London Care Homes for recruitment.</w:t>
      </w:r>
    </w:p>
    <w:p w14:paraId="019B63DD"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Employers are highly expecting school leavers or graduates to obtain knowledge and employability skills relevant to their job roles, and as a care worker when employed (</w:t>
      </w:r>
      <w:proofErr w:type="spellStart"/>
      <w:r w:rsidRPr="00435B64">
        <w:rPr>
          <w:rFonts w:ascii="Arial" w:eastAsia="Times New Roman" w:hAnsi="Arial" w:cs="Arial"/>
          <w:color w:val="000000"/>
          <w:sz w:val="24"/>
          <w:szCs w:val="24"/>
          <w:lang w:eastAsia="en-GB"/>
        </w:rPr>
        <w:t>Clinkard</w:t>
      </w:r>
      <w:proofErr w:type="spellEnd"/>
      <w:r w:rsidRPr="00435B64">
        <w:rPr>
          <w:rFonts w:ascii="Arial" w:eastAsia="Times New Roman" w:hAnsi="Arial" w:cs="Arial"/>
          <w:color w:val="000000"/>
          <w:sz w:val="24"/>
          <w:szCs w:val="24"/>
          <w:lang w:eastAsia="en-GB"/>
        </w:rPr>
        <w:t>, 2018). In regards, carers must be patient when dealing with service users having diminished capabilities in life. Due to ageing, and impairment, service users may be slower at moving about or explaining what they need. They may also be difficult and frustrated, with agitations and prone to taking their anger on their support workers. Employers expect carers to display calmness and patient under all costs no matter how stressful the task at hand may be, as truly a skill, incredibly important. The anger of a service user or irritability can hinder employees’ performance at work, and this may also upset patients. For carers to be perfectly suited and become a client’s rock, the following as additional skills under findings are highly required by employers in the care settings (</w:t>
      </w:r>
      <w:r w:rsidRPr="00435B64">
        <w:rPr>
          <w:rFonts w:ascii="Arial" w:eastAsia="Times New Roman" w:hAnsi="Arial" w:cs="Arial"/>
          <w:color w:val="333333"/>
          <w:sz w:val="24"/>
          <w:szCs w:val="24"/>
          <w:lang w:eastAsia="en-GB"/>
        </w:rPr>
        <w:t>Venetia S, &amp; Katherine Z, 2015).</w:t>
      </w:r>
    </w:p>
    <w:p w14:paraId="4152D32D"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Methods:</w:t>
      </w:r>
    </w:p>
    <w:p w14:paraId="217C408A"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The reporter did a systematic review and collected information from validated articles.</w:t>
      </w:r>
    </w:p>
    <w:p w14:paraId="36C4AF3F"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Results/ findings:</w:t>
      </w:r>
    </w:p>
    <w:p w14:paraId="3283D7CF"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These are the essential skills demanded by employers for one to be selected during recruitment processes.</w:t>
      </w:r>
    </w:p>
    <w:p w14:paraId="06FAE476" w14:textId="5A0A6924"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b/>
          <w:bCs/>
          <w:color w:val="000000"/>
          <w:sz w:val="24"/>
          <w:szCs w:val="24"/>
          <w:lang w:eastAsia="en-GB"/>
        </w:rPr>
        <w:t>First, a graduate should have a well-developed Communication skill</w:t>
      </w:r>
      <w:r w:rsidRPr="00435B64">
        <w:rPr>
          <w:rFonts w:ascii="Arial" w:eastAsia="Times New Roman" w:hAnsi="Arial" w:cs="Arial"/>
          <w:color w:val="000000"/>
          <w:sz w:val="24"/>
          <w:szCs w:val="24"/>
          <w:lang w:eastAsia="en-GB"/>
        </w:rPr>
        <w:t xml:space="preserve"> through oral interaction with eye contact, and good listening technique, including body language or gestures and writing letters, sending emails to communicate with all stakeholders involved in the care organisations (</w:t>
      </w:r>
      <w:proofErr w:type="spellStart"/>
      <w:r w:rsidRPr="00435B64">
        <w:rPr>
          <w:rFonts w:ascii="Arial" w:eastAsia="Times New Roman" w:hAnsi="Arial" w:cs="Arial"/>
          <w:color w:val="000000"/>
          <w:sz w:val="24"/>
          <w:szCs w:val="24"/>
          <w:lang w:eastAsia="en-GB"/>
        </w:rPr>
        <w:t>SkillsYouNeed</w:t>
      </w:r>
      <w:proofErr w:type="spellEnd"/>
      <w:r w:rsidRPr="00435B64">
        <w:rPr>
          <w:rFonts w:ascii="Arial" w:eastAsia="Times New Roman" w:hAnsi="Arial" w:cs="Arial"/>
          <w:color w:val="000000"/>
          <w:sz w:val="24"/>
          <w:szCs w:val="24"/>
          <w:lang w:eastAsia="en-GB"/>
        </w:rPr>
        <w:t>, 2018). Again, carers should have the ability to think on their feet meaning critically find a solution to an unexpected and difficult situation in the case if the client has medical needs or allergies. By doing so may save lives and secure your position or promotion at work. The integrity of being honest and reliable, having the ability to build an effective team with hard</w:t>
      </w:r>
      <w:r w:rsidRPr="001743A8">
        <w:rPr>
          <w:rFonts w:ascii="Arial" w:eastAsia="Times New Roman" w:hAnsi="Arial" w:cs="Arial"/>
          <w:color w:val="000000"/>
          <w:sz w:val="24"/>
          <w:szCs w:val="24"/>
          <w:lang w:eastAsia="en-GB"/>
        </w:rPr>
        <w:t xml:space="preserve"> </w:t>
      </w:r>
      <w:r w:rsidRPr="00435B64">
        <w:rPr>
          <w:rFonts w:ascii="Arial" w:eastAsia="Times New Roman" w:hAnsi="Arial" w:cs="Arial"/>
          <w:color w:val="000000"/>
          <w:sz w:val="24"/>
          <w:szCs w:val="24"/>
          <w:lang w:eastAsia="en-GB"/>
        </w:rPr>
        <w:t xml:space="preserve">work and enthusiasm, communicating effectively with peers and individuals, sharing roles and responsibilities to achieve team goals are more relevant skills in the care settings. Additionally, obtaining knowledge with the ability to perform well at work, practising the work ethic set as values based on discipline and hard work such as; focus, motivation, problem-solving, and meeting deadlines are highly demanded by employers in the </w:t>
      </w:r>
      <w:r w:rsidRPr="00435B64">
        <w:rPr>
          <w:rFonts w:ascii="Arial" w:eastAsia="Times New Roman" w:hAnsi="Arial" w:cs="Arial"/>
          <w:color w:val="000000"/>
          <w:sz w:val="24"/>
          <w:szCs w:val="24"/>
          <w:lang w:eastAsia="en-GB"/>
        </w:rPr>
        <w:lastRenderedPageBreak/>
        <w:t>society when selecting competence graduates for employment (Joseph C. Ada T. and Christine A, 2020).</w:t>
      </w:r>
    </w:p>
    <w:p w14:paraId="621B488C"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w:t>
      </w:r>
    </w:p>
    <w:p w14:paraId="4BBB2037" w14:textId="77777777" w:rsidR="00435B64" w:rsidRPr="00435B64" w:rsidRDefault="00435B64" w:rsidP="00335134">
      <w:pPr>
        <w:shd w:val="clear" w:color="auto" w:fill="FFFFFF"/>
        <w:spacing w:after="0" w:line="240" w:lineRule="auto"/>
        <w:jc w:val="both"/>
        <w:rPr>
          <w:rFonts w:ascii="Arial" w:eastAsia="Times New Roman" w:hAnsi="Arial" w:cs="Arial"/>
          <w:sz w:val="24"/>
          <w:szCs w:val="24"/>
          <w:lang w:eastAsia="en-GB"/>
        </w:rPr>
      </w:pPr>
      <w:r w:rsidRPr="00435B64">
        <w:rPr>
          <w:rFonts w:ascii="Arial" w:eastAsia="Times New Roman" w:hAnsi="Arial" w:cs="Arial"/>
          <w:b/>
          <w:bCs/>
          <w:color w:val="000000"/>
          <w:sz w:val="24"/>
          <w:szCs w:val="24"/>
          <w:lang w:eastAsia="en-GB"/>
        </w:rPr>
        <w:t xml:space="preserve">Moreover, </w:t>
      </w:r>
      <w:r w:rsidRPr="00435B64">
        <w:rPr>
          <w:rFonts w:ascii="Arial" w:eastAsia="Times New Roman" w:hAnsi="Arial" w:cs="Arial"/>
          <w:color w:val="000000"/>
          <w:sz w:val="24"/>
          <w:szCs w:val="24"/>
          <w:lang w:eastAsia="en-GB"/>
        </w:rPr>
        <w:t> employers search or short-listed applicants with enthusiasm as a vital skill gained to work in a busy and stressful environment as well as enjoying or being satisfied with their job. Similarly,  a carer should be able to reflect on experience gained and make decisions quickly and effectively in more critical situations, be committed or dedicated to your job, also work in partnership with other professionals in the organisation as well as in care settings (Maher et al., 2013). Flexibility is required of graduates’ applicants to easily adapt to changes that may occur unexpectedly in circumstances and think about problems and tasks in novel creative ways.  Another important skill though difficult is carers’ ability to show empathy towards their clients as ageing can be difficult, confusing and, at times, a painful process.</w:t>
      </w:r>
    </w:p>
    <w:p w14:paraId="64CFB366" w14:textId="77777777" w:rsidR="00435B64" w:rsidRPr="00435B64" w:rsidRDefault="00435B64" w:rsidP="00335134">
      <w:pPr>
        <w:shd w:val="clear" w:color="auto" w:fill="FFFFFF"/>
        <w:spacing w:after="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Reliability and accountability skill </w:t>
      </w:r>
      <w:proofErr w:type="gramStart"/>
      <w:r w:rsidRPr="00435B64">
        <w:rPr>
          <w:rFonts w:ascii="Arial" w:eastAsia="Times New Roman" w:hAnsi="Arial" w:cs="Arial"/>
          <w:color w:val="000000"/>
          <w:sz w:val="24"/>
          <w:szCs w:val="24"/>
          <w:lang w:eastAsia="en-GB"/>
        </w:rPr>
        <w:t>is</w:t>
      </w:r>
      <w:proofErr w:type="gramEnd"/>
      <w:r w:rsidRPr="00435B64">
        <w:rPr>
          <w:rFonts w:ascii="Arial" w:eastAsia="Times New Roman" w:hAnsi="Arial" w:cs="Arial"/>
          <w:color w:val="000000"/>
          <w:sz w:val="24"/>
          <w:szCs w:val="24"/>
          <w:lang w:eastAsia="en-GB"/>
        </w:rPr>
        <w:t xml:space="preserve"> a must for carers to adopt academically, and in practice previously and on-going, since carers are the important people in client’s life, providing stability and security (Cristina Pardo-Garcia, &amp; Maja B, 2020). Carers should demonstrate these skills practically by being reliable, trustworthy, and accountable for their actions done wrongly or correctly. Equally important, a good carer needs to be insightful and observant by detecting early signs of deterioration in client’s life including overnight decreased appetite, weight loss or gain, low mood, and increased confusion or irritability and take proactive measures to minimize the risks involved (</w:t>
      </w:r>
      <w:proofErr w:type="spellStart"/>
      <w:r w:rsidRPr="00435B64">
        <w:rPr>
          <w:rFonts w:ascii="Arial" w:eastAsia="Times New Roman" w:hAnsi="Arial" w:cs="Arial"/>
          <w:color w:val="000000"/>
          <w:sz w:val="24"/>
          <w:szCs w:val="24"/>
          <w:lang w:eastAsia="en-GB"/>
        </w:rPr>
        <w:t>Brooman</w:t>
      </w:r>
      <w:proofErr w:type="spellEnd"/>
      <w:r w:rsidRPr="00435B64">
        <w:rPr>
          <w:rFonts w:ascii="Arial" w:eastAsia="Times New Roman" w:hAnsi="Arial" w:cs="Arial"/>
          <w:color w:val="000000"/>
          <w:sz w:val="24"/>
          <w:szCs w:val="24"/>
          <w:lang w:eastAsia="en-GB"/>
        </w:rPr>
        <w:t>, &amp; Stirk, 20200. All these skills gained academically, including First-aid training to handle emergency cases before taking the client for medical attention are relevant and highly demanded by employers during the process of recruitment and selection (Stewart, 2020).</w:t>
      </w:r>
    </w:p>
    <w:p w14:paraId="0F222C98" w14:textId="77777777" w:rsidR="00435B64" w:rsidRPr="00435B64" w:rsidRDefault="00435B64" w:rsidP="00335134">
      <w:pPr>
        <w:spacing w:after="0" w:line="240" w:lineRule="auto"/>
        <w:jc w:val="both"/>
        <w:rPr>
          <w:rFonts w:ascii="Arial" w:eastAsia="Times New Roman" w:hAnsi="Arial" w:cs="Arial"/>
          <w:sz w:val="24"/>
          <w:szCs w:val="24"/>
          <w:lang w:eastAsia="en-GB"/>
        </w:rPr>
      </w:pPr>
    </w:p>
    <w:p w14:paraId="2D158336"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w:t>
      </w:r>
    </w:p>
    <w:p w14:paraId="2D5766BD"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w:t>
      </w:r>
    </w:p>
    <w:p w14:paraId="0D0D3C60"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Employability skills for a lawyer</w:t>
      </w:r>
    </w:p>
    <w:p w14:paraId="4FD1EEF0"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As an aspiring or well-established lawyer, employability skills within the law industry is vital to ensure effectiveness in the workplace. The term ‘employability skills’ has a different meaning for different people. For some, it is perceived as the skills you need to have to gain a job. For others, it is more than this as employability skills are those that link ‘learning to earning (</w:t>
      </w:r>
      <w:r w:rsidRPr="00435B64">
        <w:rPr>
          <w:rFonts w:ascii="Arial" w:eastAsia="Times New Roman" w:hAnsi="Arial" w:cs="Arial"/>
          <w:color w:val="333333"/>
          <w:sz w:val="24"/>
          <w:szCs w:val="24"/>
          <w:lang w:eastAsia="en-GB"/>
        </w:rPr>
        <w:t xml:space="preserve">Mansi </w:t>
      </w:r>
      <w:proofErr w:type="spellStart"/>
      <w:r w:rsidRPr="00435B64">
        <w:rPr>
          <w:rFonts w:ascii="Arial" w:eastAsia="Times New Roman" w:hAnsi="Arial" w:cs="Arial"/>
          <w:color w:val="333333"/>
          <w:sz w:val="24"/>
          <w:szCs w:val="24"/>
          <w:lang w:eastAsia="en-GB"/>
        </w:rPr>
        <w:t>Sood</w:t>
      </w:r>
      <w:proofErr w:type="spellEnd"/>
      <w:r w:rsidRPr="00435B64">
        <w:rPr>
          <w:rFonts w:ascii="Arial" w:eastAsia="Times New Roman" w:hAnsi="Arial" w:cs="Arial"/>
          <w:color w:val="333333"/>
          <w:sz w:val="24"/>
          <w:szCs w:val="24"/>
          <w:lang w:eastAsia="en-GB"/>
        </w:rPr>
        <w:t>, 2017). T</w:t>
      </w:r>
      <w:r w:rsidRPr="00435B64">
        <w:rPr>
          <w:rFonts w:ascii="Arial" w:eastAsia="Times New Roman" w:hAnsi="Arial" w:cs="Arial"/>
          <w:color w:val="000000"/>
          <w:sz w:val="24"/>
          <w:szCs w:val="24"/>
          <w:lang w:eastAsia="en-GB"/>
        </w:rPr>
        <w:t>he formal definition of employability skills is ‘a set of attributes, skills, and knowledge that all labour market participants should possess to ensure they have the capacity of being effective in the workplace – to the benefit of themselves, their employer, and the wider economy.’ Therefore, employability skills in law can be a range of skills and capabilities that virtually every employer is looking for in potential graduate recruits (</w:t>
      </w:r>
      <w:proofErr w:type="spellStart"/>
      <w:r w:rsidRPr="00435B64">
        <w:rPr>
          <w:rFonts w:ascii="Arial" w:eastAsia="Times New Roman" w:hAnsi="Arial" w:cs="Arial"/>
          <w:color w:val="000000"/>
          <w:sz w:val="24"/>
          <w:szCs w:val="24"/>
          <w:lang w:eastAsia="en-GB"/>
        </w:rPr>
        <w:t>Fosrster</w:t>
      </w:r>
      <w:proofErr w:type="spellEnd"/>
      <w:r w:rsidRPr="00435B64">
        <w:rPr>
          <w:rFonts w:ascii="Arial" w:eastAsia="Times New Roman" w:hAnsi="Arial" w:cs="Arial"/>
          <w:color w:val="000000"/>
          <w:sz w:val="24"/>
          <w:szCs w:val="24"/>
          <w:lang w:eastAsia="en-GB"/>
        </w:rPr>
        <w:t>, &amp; Robinson, 2019).</w:t>
      </w:r>
    </w:p>
    <w:p w14:paraId="43C852A4"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Further, several skills are commonly listed as key to overall employability. They are also good examples of transferable skills which can equally be well applied to non-law as well as legal careers. A graduate student lawyer should be able to work in a team in partnership with others, showing both leadership and participation skills to ensure their task/aim is appropriately completed. They should have good problem-solving </w:t>
      </w:r>
      <w:r w:rsidRPr="00435B64">
        <w:rPr>
          <w:rFonts w:ascii="Arial" w:eastAsia="Times New Roman" w:hAnsi="Arial" w:cs="Arial"/>
          <w:color w:val="000000"/>
          <w:sz w:val="24"/>
          <w:szCs w:val="24"/>
          <w:lang w:eastAsia="en-GB"/>
        </w:rPr>
        <w:lastRenderedPageBreak/>
        <w:t>skills by finding effective solutions in difficult situations. They need to have good communication skills to put forward their arguments and should have good organisational skills. This means they should have all their tasks properly categorised and completed within a good time frame.</w:t>
      </w:r>
    </w:p>
    <w:p w14:paraId="7717352B"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These employability skills can further be categorised into three parts which are practical, personal, and impersonal skills. Practical skills involve technical skills such as how well the graduate student is at IT work ( </w:t>
      </w:r>
      <w:proofErr w:type="spellStart"/>
      <w:r w:rsidRPr="00435B64">
        <w:rPr>
          <w:rFonts w:ascii="Arial" w:eastAsia="Times New Roman" w:hAnsi="Arial" w:cs="Arial"/>
          <w:color w:val="333333"/>
          <w:sz w:val="24"/>
          <w:szCs w:val="24"/>
          <w:lang w:eastAsia="en-GB"/>
        </w:rPr>
        <w:t>Genoni</w:t>
      </w:r>
      <w:proofErr w:type="spellEnd"/>
      <w:r w:rsidRPr="00435B64">
        <w:rPr>
          <w:rFonts w:ascii="Arial" w:eastAsia="Times New Roman" w:hAnsi="Arial" w:cs="Arial"/>
          <w:color w:val="333333"/>
          <w:sz w:val="24"/>
          <w:szCs w:val="24"/>
          <w:lang w:eastAsia="en-GB"/>
        </w:rPr>
        <w:t>, &amp; Lodge, 2008</w:t>
      </w:r>
      <w:r w:rsidRPr="00435B64">
        <w:rPr>
          <w:rFonts w:ascii="Arial" w:eastAsia="Times New Roman" w:hAnsi="Arial" w:cs="Arial"/>
          <w:color w:val="000000"/>
          <w:sz w:val="24"/>
          <w:szCs w:val="24"/>
          <w:lang w:eastAsia="en-GB"/>
        </w:rPr>
        <w:t>). Personal skills involve their professionalism within the workplace as well as their ethical behaviour. This means they should have a good work ethic and high standards for themselves when at work. Finally, impersonal skills involve customer service skills, on how they approach and interact with their clients. Employability skills are especially important as they maximise your chances of getting the job you need to set you on your chosen career path-ways desired (National Union of students, 2012).</w:t>
      </w:r>
    </w:p>
    <w:p w14:paraId="505F996C"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 </w:t>
      </w:r>
    </w:p>
    <w:p w14:paraId="7E8DA62A"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C00000"/>
          <w:sz w:val="24"/>
          <w:szCs w:val="24"/>
          <w:u w:val="single"/>
          <w:lang w:eastAsia="en-GB"/>
        </w:rPr>
        <w:t>Employability Skills required for Contemporary Hospitality management</w:t>
      </w:r>
    </w:p>
    <w:p w14:paraId="1B2C829C"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In the Contemporary Hospitality Management in London hotels, having a skilled graduate or student with interpersonal and communication skills (e.g. verbal, non-verbal interaction), physical and emotional appearances (e.g. put on a good face with approved social attributes to satisfy customers), enthusiasm (having an interest in your job), problem-solving (e.g. tackle and solve problems), commitment (showing accountability with focus), working in partnership with others including stakeholders, and making decisions in the workforce are more essential skills managers value when recruiting for the success of firms in the industry (Rhiannon L et al., 2019) (</w:t>
      </w:r>
      <w:proofErr w:type="spellStart"/>
      <w:r w:rsidRPr="00435B64">
        <w:rPr>
          <w:rFonts w:ascii="Arial" w:eastAsia="Times New Roman" w:hAnsi="Arial" w:cs="Arial"/>
          <w:color w:val="000000"/>
          <w:sz w:val="24"/>
          <w:szCs w:val="24"/>
          <w:lang w:eastAsia="en-GB"/>
        </w:rPr>
        <w:t>Raybould</w:t>
      </w:r>
      <w:proofErr w:type="spellEnd"/>
      <w:r w:rsidRPr="00435B64">
        <w:rPr>
          <w:rFonts w:ascii="Arial" w:eastAsia="Times New Roman" w:hAnsi="Arial" w:cs="Arial"/>
          <w:color w:val="000000"/>
          <w:sz w:val="24"/>
          <w:szCs w:val="24"/>
          <w:lang w:eastAsia="en-GB"/>
        </w:rPr>
        <w:t>, and Wilkins, 2005). Most of the interactions between employees and customers are face to face, therefore the standard of service provided is of paramount concern based on team working skills (Jackson et al., 2014) highly expected by managers from graduates or undergraduates.</w:t>
      </w:r>
    </w:p>
    <w:p w14:paraId="159B5D23"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In the same manner, graduate students hunting for jobs including employees should have gained a professional development attitude with great performance, and emotional behaviour with good appearance, which are key determinants of service quality, towards customer satisfaction and loyalty (Ciara Nolan et al., 2013). Without employees having a positive attitude and IT skills gained to secure their jobs, there is a minimal chance for the organization to achieve customer satisfaction and loyalty (</w:t>
      </w:r>
      <w:proofErr w:type="spellStart"/>
      <w:r w:rsidRPr="00435B64">
        <w:rPr>
          <w:rFonts w:ascii="Arial" w:eastAsia="Times New Roman" w:hAnsi="Arial" w:cs="Arial"/>
          <w:color w:val="000000"/>
          <w:sz w:val="24"/>
          <w:szCs w:val="24"/>
          <w:lang w:eastAsia="en-GB"/>
        </w:rPr>
        <w:t>Guoqing</w:t>
      </w:r>
      <w:proofErr w:type="spellEnd"/>
      <w:r w:rsidRPr="00435B64">
        <w:rPr>
          <w:rFonts w:ascii="Arial" w:eastAsia="Times New Roman" w:hAnsi="Arial" w:cs="Arial"/>
          <w:color w:val="000000"/>
          <w:sz w:val="24"/>
          <w:szCs w:val="24"/>
          <w:lang w:eastAsia="en-GB"/>
        </w:rPr>
        <w:t xml:space="preserve"> LI et al., 2019). The education and degree programmes, training, skills, and motivation of staff play a key role in an organization gaining a competitive advantage, while their commitment to the industry determines if the company can sustain this competitive edge. This soft skill work has emerged over decades and employers are competing for well-experienced graduates to enhance productivity in their industries (Brookes et al., 2011).</w:t>
      </w:r>
    </w:p>
    <w:p w14:paraId="0450BF9E" w14:textId="77777777" w:rsidR="00435B64" w:rsidRPr="00435B64" w:rsidRDefault="00435B64" w:rsidP="00335134">
      <w:pPr>
        <w:spacing w:before="240" w:after="240" w:line="240" w:lineRule="auto"/>
        <w:jc w:val="both"/>
        <w:rPr>
          <w:rFonts w:ascii="Arial" w:eastAsia="Times New Roman" w:hAnsi="Arial" w:cs="Arial"/>
          <w:sz w:val="24"/>
          <w:szCs w:val="24"/>
          <w:lang w:eastAsia="en-GB"/>
        </w:rPr>
      </w:pPr>
      <w:r w:rsidRPr="00435B64">
        <w:rPr>
          <w:rFonts w:ascii="Arial" w:eastAsia="Times New Roman" w:hAnsi="Arial" w:cs="Arial"/>
          <w:color w:val="000000"/>
          <w:sz w:val="24"/>
          <w:szCs w:val="24"/>
          <w:lang w:eastAsia="en-GB"/>
        </w:rPr>
        <w:t xml:space="preserve">Employability skills such as working well with other people. Being reliable and dependable and having a willingness to learn new skills are all important to build rapport with colleagues and clients, leading to a better and less stressful working environment. Working well with people are known as interpersonal skills, which include persuasion skills, conflict resolution and meditation, emotional intelligence and listening skills. Persuasion skills relate to finding mutually agreeable solutions to </w:t>
      </w:r>
      <w:r w:rsidRPr="00435B64">
        <w:rPr>
          <w:rFonts w:ascii="Arial" w:eastAsia="Times New Roman" w:hAnsi="Arial" w:cs="Arial"/>
          <w:color w:val="000000"/>
          <w:sz w:val="24"/>
          <w:szCs w:val="24"/>
          <w:lang w:eastAsia="en-GB"/>
        </w:rPr>
        <w:lastRenderedPageBreak/>
        <w:t>problems. Conflict resolution is the skills required to resolve disagreements positively. Emotional intelligence is the ability to recognise, understand, and manage your own and others’ emotions, and use them positively to achieve the desired outcomes. Finally, listening skills is being able to take in information and then interpret the verbal and non – verbal messages sent by others (Chiara S, &amp; Magali C, 2019).</w:t>
      </w:r>
    </w:p>
    <w:p w14:paraId="28D3B0D8" w14:textId="2F7A3E9A" w:rsidR="00435B64" w:rsidRPr="001743A8" w:rsidRDefault="00435B64" w:rsidP="00335134">
      <w:pPr>
        <w:spacing w:before="240" w:after="240" w:line="240" w:lineRule="auto"/>
        <w:jc w:val="both"/>
        <w:rPr>
          <w:rFonts w:ascii="Arial" w:eastAsia="Times New Roman" w:hAnsi="Arial" w:cs="Arial"/>
          <w:color w:val="000000"/>
          <w:sz w:val="24"/>
          <w:szCs w:val="24"/>
          <w:lang w:eastAsia="en-GB"/>
        </w:rPr>
      </w:pPr>
      <w:r w:rsidRPr="00435B64">
        <w:rPr>
          <w:rFonts w:ascii="Arial" w:eastAsia="Times New Roman" w:hAnsi="Arial" w:cs="Arial"/>
          <w:color w:val="000000"/>
          <w:sz w:val="24"/>
          <w:szCs w:val="24"/>
          <w:lang w:eastAsia="en-GB"/>
        </w:rPr>
        <w:t>Being reliable and dependable relates to being organised and managing your time effectively. This means knowing how long things will take as well as identifying what to do first so that you complete all tasks efficiently (John, 2019). Being reliable also means being trustworthy and conscientious. For example, not leaving work too often when things still need doing. Self-regulation also means having the self-discipline to do things that you may not want to do, but which you know are necessary. Finally, having a willingness to learn means being open to new ideas and experiences, and always looking to self-development, also known as personal development (</w:t>
      </w:r>
      <w:proofErr w:type="spellStart"/>
      <w:r w:rsidRPr="00435B64">
        <w:rPr>
          <w:rFonts w:ascii="Arial" w:eastAsia="Times New Roman" w:hAnsi="Arial" w:cs="Arial"/>
          <w:color w:val="000000"/>
          <w:sz w:val="24"/>
          <w:szCs w:val="24"/>
          <w:lang w:eastAsia="en-GB"/>
        </w:rPr>
        <w:t>SkillsYouNeed</w:t>
      </w:r>
      <w:proofErr w:type="spellEnd"/>
      <w:r w:rsidRPr="00435B64">
        <w:rPr>
          <w:rFonts w:ascii="Arial" w:eastAsia="Times New Roman" w:hAnsi="Arial" w:cs="Arial"/>
          <w:color w:val="000000"/>
          <w:sz w:val="24"/>
          <w:szCs w:val="24"/>
          <w:lang w:eastAsia="en-GB"/>
        </w:rPr>
        <w:t xml:space="preserve"> July 2020).</w:t>
      </w:r>
    </w:p>
    <w:p w14:paraId="7FC076B4" w14:textId="689DF769" w:rsidR="0028194F" w:rsidRPr="001743A8" w:rsidRDefault="0028194F" w:rsidP="00335134">
      <w:pPr>
        <w:spacing w:before="240" w:after="240" w:line="240" w:lineRule="auto"/>
        <w:jc w:val="both"/>
        <w:rPr>
          <w:rFonts w:ascii="Arial" w:eastAsia="Times New Roman" w:hAnsi="Arial" w:cs="Arial"/>
          <w:color w:val="FF0000"/>
          <w:sz w:val="24"/>
          <w:szCs w:val="24"/>
          <w:u w:val="single"/>
          <w:lang w:eastAsia="en-GB"/>
        </w:rPr>
      </w:pPr>
      <w:r w:rsidRPr="001743A8">
        <w:rPr>
          <w:rFonts w:ascii="Arial" w:eastAsia="Times New Roman" w:hAnsi="Arial" w:cs="Arial"/>
          <w:color w:val="FF0000"/>
          <w:sz w:val="24"/>
          <w:szCs w:val="24"/>
          <w:u w:val="single"/>
          <w:lang w:eastAsia="en-GB"/>
        </w:rPr>
        <w:t>Conclusion</w:t>
      </w:r>
    </w:p>
    <w:p w14:paraId="0E62ED8F" w14:textId="16ACF2E6" w:rsidR="00E96071" w:rsidRPr="00435B64" w:rsidRDefault="00E96071" w:rsidP="00335134">
      <w:pPr>
        <w:spacing w:before="240" w:after="240" w:line="240" w:lineRule="auto"/>
        <w:jc w:val="both"/>
        <w:rPr>
          <w:rFonts w:ascii="Arial" w:eastAsia="Times New Roman" w:hAnsi="Arial" w:cs="Arial"/>
          <w:sz w:val="24"/>
          <w:szCs w:val="24"/>
          <w:lang w:eastAsia="en-GB"/>
        </w:rPr>
      </w:pPr>
      <w:r w:rsidRPr="001743A8">
        <w:rPr>
          <w:rFonts w:ascii="Arial" w:eastAsia="Times New Roman" w:hAnsi="Arial" w:cs="Arial"/>
          <w:color w:val="000000"/>
          <w:sz w:val="24"/>
          <w:szCs w:val="24"/>
          <w:lang w:eastAsia="en-GB"/>
        </w:rPr>
        <w:t xml:space="preserve">In conclusion, employability skills are essential in any </w:t>
      </w:r>
      <w:r w:rsidR="001A7444" w:rsidRPr="001743A8">
        <w:rPr>
          <w:rFonts w:ascii="Arial" w:eastAsia="Times New Roman" w:hAnsi="Arial" w:cs="Arial"/>
          <w:color w:val="000000"/>
          <w:sz w:val="24"/>
          <w:szCs w:val="24"/>
          <w:lang w:eastAsia="en-GB"/>
        </w:rPr>
        <w:t xml:space="preserve">working environment as </w:t>
      </w:r>
      <w:r w:rsidR="00CD2459" w:rsidRPr="001743A8">
        <w:rPr>
          <w:rFonts w:ascii="Arial" w:eastAsia="Times New Roman" w:hAnsi="Arial" w:cs="Arial"/>
          <w:color w:val="000000"/>
          <w:sz w:val="24"/>
          <w:szCs w:val="24"/>
          <w:lang w:eastAsia="en-GB"/>
        </w:rPr>
        <w:t>employers’</w:t>
      </w:r>
      <w:r w:rsidR="001A7444" w:rsidRPr="001743A8">
        <w:rPr>
          <w:rFonts w:ascii="Arial" w:eastAsia="Times New Roman" w:hAnsi="Arial" w:cs="Arial"/>
          <w:color w:val="000000"/>
          <w:sz w:val="24"/>
          <w:szCs w:val="24"/>
          <w:lang w:eastAsia="en-GB"/>
        </w:rPr>
        <w:t xml:space="preserve"> value it in the same way they do a worker’s credentials or working experience. Without employability skills, the worker would not have the abilities to </w:t>
      </w:r>
      <w:r w:rsidR="00CD2459" w:rsidRPr="001743A8">
        <w:rPr>
          <w:rFonts w:ascii="Arial" w:eastAsia="Times New Roman" w:hAnsi="Arial" w:cs="Arial"/>
          <w:color w:val="000000"/>
          <w:sz w:val="24"/>
          <w:szCs w:val="24"/>
          <w:lang w:eastAsia="en-GB"/>
        </w:rPr>
        <w:t>be effec</w:t>
      </w:r>
      <w:r w:rsidR="00961F19" w:rsidRPr="001743A8">
        <w:rPr>
          <w:rFonts w:ascii="Arial" w:eastAsia="Times New Roman" w:hAnsi="Arial" w:cs="Arial"/>
          <w:color w:val="000000"/>
          <w:sz w:val="24"/>
          <w:szCs w:val="24"/>
          <w:lang w:eastAsia="en-GB"/>
        </w:rPr>
        <w:t>tive</w:t>
      </w:r>
      <w:r w:rsidR="001A7444" w:rsidRPr="001743A8">
        <w:rPr>
          <w:rFonts w:ascii="Arial" w:eastAsia="Times New Roman" w:hAnsi="Arial" w:cs="Arial"/>
          <w:color w:val="000000"/>
          <w:sz w:val="24"/>
          <w:szCs w:val="24"/>
          <w:lang w:eastAsia="en-GB"/>
        </w:rPr>
        <w:t xml:space="preserve"> in their specific </w:t>
      </w:r>
      <w:r w:rsidR="00CD2459" w:rsidRPr="001743A8">
        <w:rPr>
          <w:rFonts w:ascii="Arial" w:eastAsia="Times New Roman" w:hAnsi="Arial" w:cs="Arial"/>
          <w:color w:val="000000"/>
          <w:sz w:val="24"/>
          <w:szCs w:val="24"/>
          <w:lang w:eastAsia="en-GB"/>
        </w:rPr>
        <w:t>workplace</w:t>
      </w:r>
      <w:r w:rsidR="001A7444" w:rsidRPr="001743A8">
        <w:rPr>
          <w:rFonts w:ascii="Arial" w:eastAsia="Times New Roman" w:hAnsi="Arial" w:cs="Arial"/>
          <w:color w:val="000000"/>
          <w:sz w:val="24"/>
          <w:szCs w:val="24"/>
          <w:lang w:eastAsia="en-GB"/>
        </w:rPr>
        <w:t xml:space="preserve">, as these skills enable the worker to provide </w:t>
      </w:r>
      <w:r w:rsidR="00CD2459" w:rsidRPr="001743A8">
        <w:rPr>
          <w:rFonts w:ascii="Arial" w:eastAsia="Times New Roman" w:hAnsi="Arial" w:cs="Arial"/>
          <w:color w:val="000000"/>
          <w:sz w:val="24"/>
          <w:szCs w:val="24"/>
          <w:lang w:eastAsia="en-GB"/>
        </w:rPr>
        <w:t>efficient services to their customers and clients. Therefore, having these skills not only allows the worker to stand out, but to thrive in their working environment.</w:t>
      </w:r>
    </w:p>
    <w:p w14:paraId="5FDE147E" w14:textId="77777777" w:rsidR="00EF4885" w:rsidRPr="001743A8" w:rsidRDefault="00EF4885" w:rsidP="00335134">
      <w:pPr>
        <w:spacing w:line="360" w:lineRule="auto"/>
        <w:jc w:val="both"/>
        <w:rPr>
          <w:rFonts w:ascii="Arial" w:hAnsi="Arial" w:cs="Arial"/>
          <w:sz w:val="24"/>
          <w:szCs w:val="24"/>
        </w:rPr>
      </w:pPr>
    </w:p>
    <w:p w14:paraId="37191975" w14:textId="58F25C11" w:rsidR="006A640D" w:rsidRPr="001743A8" w:rsidRDefault="006A640D" w:rsidP="00335134">
      <w:pPr>
        <w:spacing w:line="360" w:lineRule="auto"/>
        <w:jc w:val="both"/>
        <w:rPr>
          <w:rFonts w:ascii="Arial" w:hAnsi="Arial" w:cs="Arial"/>
          <w:sz w:val="24"/>
          <w:szCs w:val="24"/>
        </w:rPr>
      </w:pPr>
    </w:p>
    <w:p w14:paraId="64C2EBB7" w14:textId="24D9A8C5" w:rsidR="006A640D" w:rsidRPr="001743A8" w:rsidRDefault="006A640D" w:rsidP="00335134">
      <w:pPr>
        <w:spacing w:line="360" w:lineRule="auto"/>
        <w:jc w:val="both"/>
        <w:rPr>
          <w:rFonts w:ascii="Arial" w:hAnsi="Arial" w:cs="Arial"/>
          <w:sz w:val="24"/>
          <w:szCs w:val="24"/>
        </w:rPr>
      </w:pPr>
    </w:p>
    <w:p w14:paraId="4D2C4683" w14:textId="3699EB3A" w:rsidR="006A640D" w:rsidRPr="001743A8" w:rsidRDefault="006A640D" w:rsidP="00335134">
      <w:pPr>
        <w:spacing w:line="360" w:lineRule="auto"/>
        <w:jc w:val="both"/>
        <w:rPr>
          <w:rFonts w:ascii="Arial" w:hAnsi="Arial" w:cs="Arial"/>
          <w:sz w:val="24"/>
          <w:szCs w:val="24"/>
        </w:rPr>
      </w:pPr>
    </w:p>
    <w:p w14:paraId="49E1EF87" w14:textId="7BAEF79D" w:rsidR="006A640D" w:rsidRPr="001743A8" w:rsidRDefault="006A640D" w:rsidP="00335134">
      <w:pPr>
        <w:spacing w:line="360" w:lineRule="auto"/>
        <w:jc w:val="both"/>
        <w:rPr>
          <w:rFonts w:ascii="Arial" w:hAnsi="Arial" w:cs="Arial"/>
          <w:sz w:val="24"/>
          <w:szCs w:val="24"/>
        </w:rPr>
      </w:pPr>
    </w:p>
    <w:p w14:paraId="359FF07C" w14:textId="49544606" w:rsidR="006331AA" w:rsidRPr="001743A8" w:rsidRDefault="006331AA" w:rsidP="00335134">
      <w:pPr>
        <w:spacing w:line="360" w:lineRule="auto"/>
        <w:jc w:val="both"/>
        <w:rPr>
          <w:rStyle w:val="hlfld-contribauthor"/>
          <w:rFonts w:ascii="Arial" w:hAnsi="Arial" w:cs="Arial"/>
          <w:color w:val="FF0000"/>
          <w:sz w:val="24"/>
          <w:szCs w:val="24"/>
        </w:rPr>
      </w:pPr>
    </w:p>
    <w:p w14:paraId="410F36C9" w14:textId="7FB5985B" w:rsidR="00AF5014" w:rsidRPr="001743A8" w:rsidRDefault="00AF5014" w:rsidP="00335134">
      <w:pPr>
        <w:spacing w:line="360" w:lineRule="auto"/>
        <w:jc w:val="both"/>
        <w:rPr>
          <w:rStyle w:val="hlfld-contribauthor"/>
          <w:rFonts w:ascii="Arial" w:hAnsi="Arial" w:cs="Arial"/>
          <w:color w:val="FF0000"/>
          <w:sz w:val="24"/>
          <w:szCs w:val="24"/>
        </w:rPr>
      </w:pPr>
    </w:p>
    <w:p w14:paraId="74A2C501" w14:textId="236CB193" w:rsidR="00AF5014" w:rsidRPr="001743A8" w:rsidRDefault="00AF5014" w:rsidP="00335134">
      <w:pPr>
        <w:spacing w:line="360" w:lineRule="auto"/>
        <w:jc w:val="both"/>
        <w:rPr>
          <w:rStyle w:val="hlfld-contribauthor"/>
          <w:rFonts w:ascii="Arial" w:hAnsi="Arial" w:cs="Arial"/>
          <w:color w:val="FF0000"/>
          <w:sz w:val="24"/>
          <w:szCs w:val="24"/>
        </w:rPr>
      </w:pPr>
    </w:p>
    <w:p w14:paraId="1BE511C5" w14:textId="3DE78357" w:rsidR="00AF5014" w:rsidRPr="001743A8" w:rsidRDefault="00AF5014" w:rsidP="00335134">
      <w:pPr>
        <w:spacing w:line="360" w:lineRule="auto"/>
        <w:jc w:val="both"/>
        <w:rPr>
          <w:rStyle w:val="hlfld-contribauthor"/>
          <w:rFonts w:ascii="Arial" w:hAnsi="Arial" w:cs="Arial"/>
          <w:color w:val="FF0000"/>
          <w:sz w:val="24"/>
          <w:szCs w:val="24"/>
        </w:rPr>
      </w:pPr>
    </w:p>
    <w:p w14:paraId="15CC36B5" w14:textId="77777777" w:rsidR="006D2617" w:rsidRDefault="006D2617" w:rsidP="00335134">
      <w:pPr>
        <w:spacing w:line="360" w:lineRule="auto"/>
        <w:jc w:val="both"/>
        <w:rPr>
          <w:rStyle w:val="hlfld-contribauthor"/>
          <w:rFonts w:ascii="Arial" w:hAnsi="Arial" w:cs="Arial"/>
          <w:color w:val="FF0000"/>
          <w:sz w:val="24"/>
          <w:szCs w:val="24"/>
        </w:rPr>
      </w:pPr>
    </w:p>
    <w:p w14:paraId="0DD72D51" w14:textId="77777777" w:rsidR="006D2617" w:rsidRDefault="006D2617" w:rsidP="00335134">
      <w:pPr>
        <w:spacing w:line="360" w:lineRule="auto"/>
        <w:jc w:val="both"/>
        <w:rPr>
          <w:rStyle w:val="hlfld-contribauthor"/>
          <w:rFonts w:ascii="Arial" w:hAnsi="Arial" w:cs="Arial"/>
          <w:color w:val="FF0000"/>
          <w:sz w:val="24"/>
          <w:szCs w:val="24"/>
        </w:rPr>
      </w:pPr>
    </w:p>
    <w:p w14:paraId="6E52D78A" w14:textId="77777777" w:rsidR="006D2617" w:rsidRDefault="006D2617" w:rsidP="00335134">
      <w:pPr>
        <w:spacing w:line="360" w:lineRule="auto"/>
        <w:jc w:val="both"/>
        <w:rPr>
          <w:rStyle w:val="hlfld-contribauthor"/>
          <w:rFonts w:ascii="Arial" w:hAnsi="Arial" w:cs="Arial"/>
          <w:color w:val="FF0000"/>
          <w:sz w:val="24"/>
          <w:szCs w:val="24"/>
        </w:rPr>
      </w:pPr>
    </w:p>
    <w:p w14:paraId="236EE257" w14:textId="77777777" w:rsidR="006D2617" w:rsidRDefault="006D2617" w:rsidP="00335134">
      <w:pPr>
        <w:spacing w:line="360" w:lineRule="auto"/>
        <w:jc w:val="both"/>
        <w:rPr>
          <w:rStyle w:val="hlfld-contribauthor"/>
          <w:rFonts w:ascii="Arial" w:hAnsi="Arial" w:cs="Arial"/>
          <w:color w:val="FF0000"/>
          <w:sz w:val="24"/>
          <w:szCs w:val="24"/>
        </w:rPr>
      </w:pPr>
    </w:p>
    <w:p w14:paraId="1654E4C8" w14:textId="77777777" w:rsidR="006D2617" w:rsidRDefault="006D2617" w:rsidP="00335134">
      <w:pPr>
        <w:spacing w:line="360" w:lineRule="auto"/>
        <w:jc w:val="both"/>
        <w:rPr>
          <w:rStyle w:val="hlfld-contribauthor"/>
          <w:rFonts w:ascii="Arial" w:hAnsi="Arial" w:cs="Arial"/>
          <w:color w:val="FF0000"/>
          <w:sz w:val="24"/>
          <w:szCs w:val="24"/>
        </w:rPr>
      </w:pPr>
    </w:p>
    <w:p w14:paraId="211DDE21" w14:textId="77777777" w:rsidR="006D2617" w:rsidRDefault="006D2617" w:rsidP="00335134">
      <w:pPr>
        <w:spacing w:line="360" w:lineRule="auto"/>
        <w:jc w:val="both"/>
        <w:rPr>
          <w:rStyle w:val="hlfld-contribauthor"/>
          <w:rFonts w:ascii="Arial" w:hAnsi="Arial" w:cs="Arial"/>
          <w:color w:val="FF0000"/>
          <w:sz w:val="24"/>
          <w:szCs w:val="24"/>
        </w:rPr>
      </w:pPr>
    </w:p>
    <w:p w14:paraId="53D9A554" w14:textId="51D98706"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b/>
          <w:bCs/>
          <w:sz w:val="24"/>
          <w:szCs w:val="24"/>
          <w:u w:val="single"/>
        </w:rPr>
        <w:t>BIBLIOGRAPHY:</w:t>
      </w:r>
    </w:p>
    <w:p w14:paraId="5FA87103"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 xml:space="preserve">Adamson KA, </w:t>
      </w:r>
      <w:proofErr w:type="spellStart"/>
      <w:r w:rsidRPr="001743A8">
        <w:rPr>
          <w:rFonts w:ascii="Arial" w:hAnsi="Arial" w:cs="Arial"/>
          <w:sz w:val="24"/>
          <w:szCs w:val="24"/>
        </w:rPr>
        <w:t>Kardong</w:t>
      </w:r>
      <w:proofErr w:type="spellEnd"/>
      <w:r w:rsidRPr="001743A8">
        <w:rPr>
          <w:rFonts w:ascii="Arial" w:hAnsi="Arial" w:cs="Arial"/>
          <w:sz w:val="24"/>
          <w:szCs w:val="24"/>
        </w:rPr>
        <w:t xml:space="preserve">-Edgren S. A method and resources for assessing the reliability of simulation evaluation instruments. </w:t>
      </w:r>
      <w:proofErr w:type="spellStart"/>
      <w:r w:rsidRPr="001743A8">
        <w:rPr>
          <w:rFonts w:ascii="Arial" w:hAnsi="Arial" w:cs="Arial"/>
          <w:sz w:val="24"/>
          <w:szCs w:val="24"/>
        </w:rPr>
        <w:t>Nurs</w:t>
      </w:r>
      <w:proofErr w:type="spellEnd"/>
      <w:r w:rsidRPr="001743A8">
        <w:rPr>
          <w:rFonts w:ascii="Arial" w:hAnsi="Arial" w:cs="Arial"/>
          <w:sz w:val="24"/>
          <w:szCs w:val="24"/>
        </w:rPr>
        <w:t xml:space="preserve"> </w:t>
      </w:r>
      <w:proofErr w:type="spellStart"/>
      <w:r w:rsidRPr="001743A8">
        <w:rPr>
          <w:rFonts w:ascii="Arial" w:hAnsi="Arial" w:cs="Arial"/>
          <w:sz w:val="24"/>
          <w:szCs w:val="24"/>
        </w:rPr>
        <w:t>Educ</w:t>
      </w:r>
      <w:proofErr w:type="spellEnd"/>
      <w:r w:rsidRPr="001743A8">
        <w:rPr>
          <w:rFonts w:ascii="Arial" w:hAnsi="Arial" w:cs="Arial"/>
          <w:sz w:val="24"/>
          <w:szCs w:val="24"/>
        </w:rPr>
        <w:t xml:space="preserve"> </w:t>
      </w:r>
      <w:proofErr w:type="spellStart"/>
      <w:r w:rsidRPr="001743A8">
        <w:rPr>
          <w:rFonts w:ascii="Arial" w:hAnsi="Arial" w:cs="Arial"/>
          <w:sz w:val="24"/>
          <w:szCs w:val="24"/>
        </w:rPr>
        <w:t>Perspect</w:t>
      </w:r>
      <w:proofErr w:type="spellEnd"/>
      <w:r w:rsidRPr="001743A8">
        <w:rPr>
          <w:rFonts w:ascii="Arial" w:hAnsi="Arial" w:cs="Arial"/>
          <w:sz w:val="24"/>
          <w:szCs w:val="24"/>
        </w:rPr>
        <w:t>. 2012;33(5):334–9</w:t>
      </w:r>
    </w:p>
    <w:p w14:paraId="324A9F79" w14:textId="73AC204A" w:rsidR="006331AA" w:rsidRPr="001743A8" w:rsidRDefault="006331AA" w:rsidP="00335134">
      <w:pPr>
        <w:spacing w:line="360" w:lineRule="auto"/>
        <w:jc w:val="both"/>
        <w:rPr>
          <w:rStyle w:val="hlfld-contribauthor"/>
          <w:rFonts w:ascii="Arial" w:hAnsi="Arial" w:cs="Arial"/>
          <w:b/>
          <w:bCs/>
          <w:sz w:val="24"/>
          <w:szCs w:val="24"/>
          <w:u w:val="single"/>
        </w:rPr>
      </w:pPr>
      <w:r w:rsidRPr="001743A8">
        <w:rPr>
          <w:rFonts w:ascii="Arial" w:hAnsi="Arial" w:cs="Arial"/>
          <w:sz w:val="24"/>
          <w:szCs w:val="24"/>
        </w:rPr>
        <w:t xml:space="preserve">Baker C, et al. Simulation in interprofessional education for patient centred collaborative care. J Adv </w:t>
      </w:r>
      <w:proofErr w:type="spellStart"/>
      <w:r w:rsidRPr="001743A8">
        <w:rPr>
          <w:rFonts w:ascii="Arial" w:hAnsi="Arial" w:cs="Arial"/>
          <w:sz w:val="24"/>
          <w:szCs w:val="24"/>
        </w:rPr>
        <w:t>Nurs</w:t>
      </w:r>
      <w:proofErr w:type="spellEnd"/>
      <w:r w:rsidRPr="001743A8">
        <w:rPr>
          <w:rFonts w:ascii="Arial" w:hAnsi="Arial" w:cs="Arial"/>
          <w:sz w:val="24"/>
          <w:szCs w:val="24"/>
        </w:rPr>
        <w:t>. 2008;64(4):372–9. 4.</w:t>
      </w:r>
    </w:p>
    <w:p w14:paraId="73D4B4C1" w14:textId="77777777"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Baum, </w:t>
      </w:r>
      <w:r w:rsidRPr="001743A8">
        <w:rPr>
          <w:rStyle w:val="nlmgiven-names"/>
          <w:rFonts w:ascii="Arial" w:hAnsi="Arial" w:cs="Arial"/>
          <w:sz w:val="24"/>
          <w:szCs w:val="24"/>
        </w:rPr>
        <w:t>T.</w:t>
      </w:r>
      <w:r w:rsidRPr="001743A8">
        <w:rPr>
          <w:rFonts w:ascii="Arial" w:hAnsi="Arial" w:cs="Arial"/>
          <w:sz w:val="24"/>
          <w:szCs w:val="24"/>
        </w:rPr>
        <w:t> </w:t>
      </w:r>
      <w:r w:rsidRPr="001743A8">
        <w:rPr>
          <w:rStyle w:val="nlmyear"/>
          <w:rFonts w:ascii="Arial" w:hAnsi="Arial" w:cs="Arial"/>
          <w:sz w:val="24"/>
          <w:szCs w:val="24"/>
        </w:rPr>
        <w:t>2006</w:t>
      </w:r>
      <w:r w:rsidRPr="001743A8">
        <w:rPr>
          <w:rFonts w:ascii="Arial" w:hAnsi="Arial" w:cs="Arial"/>
          <w:sz w:val="24"/>
          <w:szCs w:val="24"/>
        </w:rPr>
        <w:t>. </w:t>
      </w:r>
      <w:r w:rsidRPr="001743A8">
        <w:rPr>
          <w:rFonts w:ascii="Arial" w:hAnsi="Arial" w:cs="Arial"/>
          <w:i/>
          <w:iCs/>
          <w:sz w:val="24"/>
          <w:szCs w:val="24"/>
        </w:rPr>
        <w:t xml:space="preserve">Human resource management for tourism, </w:t>
      </w:r>
      <w:proofErr w:type="gramStart"/>
      <w:r w:rsidRPr="001743A8">
        <w:rPr>
          <w:rFonts w:ascii="Arial" w:hAnsi="Arial" w:cs="Arial"/>
          <w:i/>
          <w:iCs/>
          <w:sz w:val="24"/>
          <w:szCs w:val="24"/>
        </w:rPr>
        <w:t>hospitality</w:t>
      </w:r>
      <w:proofErr w:type="gramEnd"/>
      <w:r w:rsidRPr="001743A8">
        <w:rPr>
          <w:rFonts w:ascii="Arial" w:hAnsi="Arial" w:cs="Arial"/>
          <w:i/>
          <w:iCs/>
          <w:sz w:val="24"/>
          <w:szCs w:val="24"/>
        </w:rPr>
        <w:t xml:space="preserve"> and leisure: An international perspective</w:t>
      </w:r>
      <w:r w:rsidRPr="001743A8">
        <w:rPr>
          <w:rFonts w:ascii="Arial" w:hAnsi="Arial" w:cs="Arial"/>
          <w:sz w:val="24"/>
          <w:szCs w:val="24"/>
        </w:rPr>
        <w:t>, </w:t>
      </w:r>
      <w:r w:rsidRPr="001743A8">
        <w:rPr>
          <w:rStyle w:val="nlmpublisher-loc"/>
          <w:rFonts w:ascii="Arial" w:hAnsi="Arial" w:cs="Arial"/>
          <w:sz w:val="24"/>
          <w:szCs w:val="24"/>
        </w:rPr>
        <w:t>London</w:t>
      </w:r>
      <w:r w:rsidRPr="001743A8">
        <w:rPr>
          <w:rFonts w:ascii="Arial" w:hAnsi="Arial" w:cs="Arial"/>
          <w:sz w:val="24"/>
          <w:szCs w:val="24"/>
        </w:rPr>
        <w:t>: </w:t>
      </w:r>
      <w:r w:rsidRPr="001743A8">
        <w:rPr>
          <w:rStyle w:val="nlmpublisher-name"/>
          <w:rFonts w:ascii="Arial" w:hAnsi="Arial" w:cs="Arial"/>
          <w:sz w:val="24"/>
          <w:szCs w:val="24"/>
        </w:rPr>
        <w:t>Thomson Learning</w:t>
      </w:r>
      <w:r w:rsidRPr="001743A8">
        <w:rPr>
          <w:rFonts w:ascii="Arial" w:hAnsi="Arial" w:cs="Arial"/>
          <w:sz w:val="24"/>
          <w:szCs w:val="24"/>
        </w:rPr>
        <w:t>.</w:t>
      </w:r>
    </w:p>
    <w:p w14:paraId="42273B1C" w14:textId="77777777" w:rsidR="006331AA" w:rsidRPr="001743A8" w:rsidRDefault="00DC17A4" w:rsidP="00335134">
      <w:pPr>
        <w:spacing w:line="360" w:lineRule="auto"/>
        <w:jc w:val="both"/>
        <w:rPr>
          <w:rFonts w:ascii="Arial" w:hAnsi="Arial" w:cs="Arial"/>
          <w:sz w:val="24"/>
          <w:szCs w:val="24"/>
        </w:rPr>
      </w:pPr>
      <w:hyperlink r:id="rId8" w:history="1">
        <w:r w:rsidR="006331AA" w:rsidRPr="001743A8">
          <w:rPr>
            <w:rStyle w:val="Hyperlink"/>
            <w:rFonts w:ascii="Arial" w:hAnsi="Arial" w:cs="Arial"/>
            <w:color w:val="auto"/>
            <w:sz w:val="24"/>
            <w:szCs w:val="24"/>
            <w:shd w:val="clear" w:color="auto" w:fill="FFFFFF"/>
          </w:rPr>
          <w:t>https://doi.org/</w:t>
        </w:r>
        <w:r w:rsidR="006331AA" w:rsidRPr="001743A8">
          <w:rPr>
            <w:rStyle w:val="Hyperlink"/>
            <w:rFonts w:ascii="Arial" w:hAnsi="Arial" w:cs="Arial"/>
            <w:color w:val="auto"/>
            <w:sz w:val="24"/>
            <w:szCs w:val="24"/>
            <w:shd w:val="clear" w:color="auto" w:fill="FFFFFF"/>
          </w:rPr>
          <w:tab/>
          <w:t>10.1057/palgrave.thr.6050062</w:t>
        </w:r>
      </w:hyperlink>
    </w:p>
    <w:p w14:paraId="761389B2" w14:textId="39A124FD"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 xml:space="preserve">Barbara Kensington-Miller, Bernadette </w:t>
      </w:r>
      <w:proofErr w:type="spellStart"/>
      <w:r w:rsidRPr="001743A8">
        <w:rPr>
          <w:rFonts w:ascii="Arial" w:hAnsi="Arial" w:cs="Arial"/>
          <w:sz w:val="24"/>
          <w:szCs w:val="24"/>
        </w:rPr>
        <w:t>Knewstubb</w:t>
      </w:r>
      <w:proofErr w:type="spellEnd"/>
      <w:r w:rsidRPr="001743A8">
        <w:rPr>
          <w:rFonts w:ascii="Arial" w:hAnsi="Arial" w:cs="Arial"/>
          <w:sz w:val="24"/>
          <w:szCs w:val="24"/>
        </w:rPr>
        <w:t xml:space="preserve">, </w:t>
      </w:r>
      <w:proofErr w:type="spellStart"/>
      <w:r w:rsidRPr="001743A8">
        <w:rPr>
          <w:rFonts w:ascii="Arial" w:hAnsi="Arial" w:cs="Arial"/>
          <w:sz w:val="24"/>
          <w:szCs w:val="24"/>
        </w:rPr>
        <w:t>Alys</w:t>
      </w:r>
      <w:proofErr w:type="spellEnd"/>
      <w:r w:rsidRPr="001743A8">
        <w:rPr>
          <w:rFonts w:ascii="Arial" w:hAnsi="Arial" w:cs="Arial"/>
          <w:sz w:val="24"/>
          <w:szCs w:val="24"/>
        </w:rPr>
        <w:t xml:space="preserve"> Longley &amp; Amanda Gilbert (2018): From invisible to SEEN: a conceptual framework for identifying, </w:t>
      </w:r>
      <w:proofErr w:type="gramStart"/>
      <w:r w:rsidRPr="001743A8">
        <w:rPr>
          <w:rFonts w:ascii="Arial" w:hAnsi="Arial" w:cs="Arial"/>
          <w:sz w:val="24"/>
          <w:szCs w:val="24"/>
        </w:rPr>
        <w:t>developing</w:t>
      </w:r>
      <w:proofErr w:type="gramEnd"/>
      <w:r w:rsidRPr="001743A8">
        <w:rPr>
          <w:rFonts w:ascii="Arial" w:hAnsi="Arial" w:cs="Arial"/>
          <w:sz w:val="24"/>
          <w:szCs w:val="24"/>
        </w:rPr>
        <w:t xml:space="preserve"> and evidencing unassessed graduate attributes, Higher Education Research &amp; Development, DOI: 10.1080/07294360.2018.1483903</w:t>
      </w:r>
    </w:p>
    <w:p w14:paraId="7614E037" w14:textId="14B1C2D2" w:rsidR="007872D9" w:rsidRPr="001743A8" w:rsidRDefault="007872D9"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bookmarkStart w:id="0" w:name="_Hlk49378025"/>
      <w:r w:rsidRPr="001743A8">
        <w:rPr>
          <w:rFonts w:ascii="Arial" w:eastAsia="Times New Roman" w:hAnsi="Arial" w:cs="Arial"/>
          <w:sz w:val="24"/>
          <w:szCs w:val="24"/>
          <w:lang w:eastAsia="en-GB"/>
        </w:rPr>
        <w:t>Ciara Nolan et al., </w:t>
      </w:r>
      <w:bookmarkEnd w:id="0"/>
      <w:r w:rsidRPr="001743A8">
        <w:rPr>
          <w:rFonts w:ascii="Arial" w:eastAsia="Times New Roman" w:hAnsi="Arial" w:cs="Arial"/>
          <w:sz w:val="24"/>
          <w:szCs w:val="24"/>
          <w:lang w:eastAsia="en-GB"/>
        </w:rPr>
        <w:t>European Journal of Training and Development, 2013</w:t>
      </w:r>
    </w:p>
    <w:p w14:paraId="66965A69" w14:textId="77777777" w:rsidR="006331AA" w:rsidRPr="001743A8" w:rsidRDefault="00DC17A4"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hyperlink r:id="rId9" w:tgtFrame="_self" w:history="1">
        <w:r w:rsidR="006331AA" w:rsidRPr="001743A8">
          <w:rPr>
            <w:rFonts w:ascii="Arial" w:eastAsia="Times New Roman" w:hAnsi="Arial" w:cs="Arial"/>
            <w:sz w:val="24"/>
            <w:szCs w:val="24"/>
            <w:u w:val="single"/>
            <w:lang w:eastAsia="en-GB"/>
          </w:rPr>
          <w:t>Undergraduate perceptions of the development of team-working skills</w:t>
        </w:r>
      </w:hyperlink>
    </w:p>
    <w:p w14:paraId="31176BF3" w14:textId="77777777" w:rsidR="006331AA" w:rsidRPr="001743A8" w:rsidRDefault="006331AA"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Denise Jackson et al., Education + Training, 2014</w:t>
      </w:r>
    </w:p>
    <w:p w14:paraId="4FA8E4D9" w14:textId="2590A89C" w:rsidR="006331AA" w:rsidRPr="001743A8" w:rsidRDefault="00DC17A4"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hyperlink r:id="rId10" w:tgtFrame="_self" w:history="1">
        <w:r w:rsidR="006331AA" w:rsidRPr="001743A8">
          <w:rPr>
            <w:rFonts w:ascii="Arial" w:eastAsia="Times New Roman" w:hAnsi="Arial" w:cs="Arial"/>
            <w:sz w:val="24"/>
            <w:szCs w:val="24"/>
            <w:u w:val="single"/>
            <w:bdr w:val="single" w:sz="6" w:space="0" w:color="FFFFFF" w:frame="1"/>
            <w:lang w:eastAsia="en-GB"/>
          </w:rPr>
          <w:t>Competency needs in Irish hotels: employer and graduate perspectives</w:t>
        </w:r>
      </w:hyperlink>
    </w:p>
    <w:p w14:paraId="1D60488D" w14:textId="77777777" w:rsidR="006331AA" w:rsidRPr="001743A8" w:rsidRDefault="00DC17A4" w:rsidP="00335134">
      <w:pPr>
        <w:spacing w:after="0" w:line="360" w:lineRule="auto"/>
        <w:jc w:val="both"/>
        <w:rPr>
          <w:rFonts w:ascii="Arial" w:eastAsia="Times New Roman" w:hAnsi="Arial" w:cs="Arial"/>
          <w:sz w:val="24"/>
          <w:szCs w:val="24"/>
          <w:lang w:eastAsia="en-GB"/>
        </w:rPr>
      </w:pPr>
      <w:hyperlink r:id="rId11" w:history="1">
        <w:r w:rsidR="006331AA" w:rsidRPr="001743A8">
          <w:rPr>
            <w:rStyle w:val="Hyperlink"/>
            <w:rFonts w:ascii="Arial" w:hAnsi="Arial" w:cs="Arial"/>
            <w:color w:val="auto"/>
            <w:sz w:val="24"/>
            <w:szCs w:val="24"/>
          </w:rPr>
          <w:t>https://doi.org/10.1080/07294360.2018.1483903</w:t>
        </w:r>
      </w:hyperlink>
    </w:p>
    <w:p w14:paraId="11CC1C65"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5E6A19FE"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2774142B" w14:textId="27FDB76C"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Clare Johnson. (2019) </w:t>
      </w:r>
      <w:hyperlink r:id="rId12" w:history="1">
        <w:r w:rsidR="00F10D17" w:rsidRPr="001743A8">
          <w:rPr>
            <w:rFonts w:ascii="Arial" w:eastAsia="Times New Roman" w:hAnsi="Arial" w:cs="Arial"/>
            <w:sz w:val="24"/>
            <w:szCs w:val="24"/>
            <w:u w:val="single"/>
            <w:lang w:eastAsia="en-GB"/>
          </w:rPr>
          <w:t>University of South Wales national cybersecurity academy – creating cyber graduates who can ‘hit the ground running’: an innovative project based approach</w:t>
        </w:r>
      </w:hyperlink>
      <w:r w:rsidRPr="001743A8">
        <w:rPr>
          <w:rFonts w:ascii="Arial" w:eastAsia="Times New Roman" w:hAnsi="Arial" w:cs="Arial"/>
          <w:sz w:val="24"/>
          <w:szCs w:val="24"/>
          <w:lang w:eastAsia="en-GB"/>
        </w:rPr>
        <w:t>. </w:t>
      </w:r>
      <w:r w:rsidRPr="001743A8">
        <w:rPr>
          <w:rFonts w:ascii="Arial" w:eastAsia="Times New Roman" w:hAnsi="Arial" w:cs="Arial"/>
          <w:i/>
          <w:iCs/>
          <w:sz w:val="24"/>
          <w:szCs w:val="24"/>
          <w:lang w:eastAsia="en-GB"/>
        </w:rPr>
        <w:t>Higher Education Pedagogies</w:t>
      </w:r>
      <w:r w:rsidRPr="001743A8">
        <w:rPr>
          <w:rFonts w:ascii="Arial" w:eastAsia="Times New Roman" w:hAnsi="Arial" w:cs="Arial"/>
          <w:sz w:val="24"/>
          <w:szCs w:val="24"/>
          <w:lang w:eastAsia="en-GB"/>
        </w:rPr>
        <w:t> 4:1, pages 300-303</w:t>
      </w:r>
    </w:p>
    <w:p w14:paraId="662D7EEB"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 xml:space="preserve">Confederation of British Industry and National Union of Students ‘Working towards your future: Making the most of your time in higher education’ (May 2011) </w:t>
      </w:r>
      <w:r w:rsidRPr="001743A8">
        <w:rPr>
          <w:rFonts w:ascii="Arial" w:hAnsi="Arial" w:cs="Arial"/>
          <w:sz w:val="24"/>
          <w:szCs w:val="24"/>
        </w:rPr>
        <w:lastRenderedPageBreak/>
        <w:t>14:</w:t>
      </w:r>
      <w:hyperlink r:id="rId13" w:history="1">
        <w:r w:rsidRPr="001743A8">
          <w:rPr>
            <w:rStyle w:val="Hyperlink"/>
            <w:rFonts w:ascii="Arial" w:hAnsi="Arial" w:cs="Arial"/>
            <w:color w:val="auto"/>
            <w:sz w:val="24"/>
            <w:szCs w:val="24"/>
          </w:rPr>
          <w:t>http://www.cbi.org.uk/media/1051530/cbi_edi_education_skills_2011.pdf&gt;accessed</w:t>
        </w:r>
      </w:hyperlink>
      <w:r w:rsidRPr="001743A8">
        <w:rPr>
          <w:rFonts w:ascii="Arial" w:hAnsi="Arial" w:cs="Arial"/>
          <w:sz w:val="24"/>
          <w:szCs w:val="24"/>
        </w:rPr>
        <w:t xml:space="preserve"> 23 July 2012.</w:t>
      </w:r>
    </w:p>
    <w:p w14:paraId="7258A70F" w14:textId="77777777"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 xml:space="preserve">Chiara </w:t>
      </w:r>
      <w:proofErr w:type="spellStart"/>
      <w:r w:rsidRPr="001743A8">
        <w:rPr>
          <w:rFonts w:ascii="Arial" w:eastAsia="Times New Roman" w:hAnsi="Arial" w:cs="Arial"/>
          <w:sz w:val="24"/>
          <w:szCs w:val="24"/>
          <w:lang w:eastAsia="en-GB"/>
        </w:rPr>
        <w:t>Succi</w:t>
      </w:r>
      <w:proofErr w:type="spellEnd"/>
      <w:r w:rsidRPr="001743A8">
        <w:rPr>
          <w:rFonts w:ascii="Arial" w:eastAsia="Times New Roman" w:hAnsi="Arial" w:cs="Arial"/>
          <w:sz w:val="24"/>
          <w:szCs w:val="24"/>
          <w:lang w:eastAsia="en-GB"/>
        </w:rPr>
        <w:t xml:space="preserve">, Magali </w:t>
      </w:r>
      <w:proofErr w:type="spellStart"/>
      <w:r w:rsidRPr="001743A8">
        <w:rPr>
          <w:rFonts w:ascii="Arial" w:eastAsia="Times New Roman" w:hAnsi="Arial" w:cs="Arial"/>
          <w:sz w:val="24"/>
          <w:szCs w:val="24"/>
          <w:lang w:eastAsia="en-GB"/>
        </w:rPr>
        <w:t>Canovi</w:t>
      </w:r>
      <w:proofErr w:type="spellEnd"/>
      <w:r w:rsidRPr="001743A8">
        <w:rPr>
          <w:rFonts w:ascii="Arial" w:eastAsia="Times New Roman" w:hAnsi="Arial" w:cs="Arial"/>
          <w:sz w:val="24"/>
          <w:szCs w:val="24"/>
          <w:lang w:eastAsia="en-GB"/>
        </w:rPr>
        <w:t>. (2019) </w:t>
      </w:r>
      <w:hyperlink r:id="rId14" w:history="1">
        <w:r w:rsidRPr="001743A8">
          <w:rPr>
            <w:rFonts w:ascii="Arial" w:eastAsia="Times New Roman" w:hAnsi="Arial" w:cs="Arial"/>
            <w:sz w:val="24"/>
            <w:szCs w:val="24"/>
            <w:u w:val="single"/>
            <w:lang w:eastAsia="en-GB"/>
          </w:rPr>
          <w:t>Soft skills to enhance graduate employability: comparing students and employers’ perceptions</w:t>
        </w:r>
      </w:hyperlink>
      <w:r w:rsidRPr="001743A8">
        <w:rPr>
          <w:rFonts w:ascii="Arial" w:eastAsia="Times New Roman" w:hAnsi="Arial" w:cs="Arial"/>
          <w:sz w:val="24"/>
          <w:szCs w:val="24"/>
          <w:lang w:eastAsia="en-GB"/>
        </w:rPr>
        <w:t>. </w:t>
      </w:r>
      <w:r w:rsidRPr="001743A8">
        <w:rPr>
          <w:rFonts w:ascii="Arial" w:eastAsia="Times New Roman" w:hAnsi="Arial" w:cs="Arial"/>
          <w:i/>
          <w:iCs/>
          <w:sz w:val="24"/>
          <w:szCs w:val="24"/>
          <w:lang w:eastAsia="en-GB"/>
        </w:rPr>
        <w:t>Studies in Higher Education</w:t>
      </w:r>
      <w:r w:rsidRPr="001743A8">
        <w:rPr>
          <w:rFonts w:ascii="Arial" w:eastAsia="Times New Roman" w:hAnsi="Arial" w:cs="Arial"/>
          <w:sz w:val="24"/>
          <w:szCs w:val="24"/>
          <w:lang w:eastAsia="en-GB"/>
        </w:rPr>
        <w:t> 0:0, pages 1-14.</w:t>
      </w:r>
    </w:p>
    <w:p w14:paraId="4E0DDF90"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05466D8F"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Dalton M, Keating J, Davidson M. Development of the Assessment of Physiotherapy Practice (APP): A standardised and valid approach to assessment of clinical competence in physiotherapy, Australian Learning and Teaching Council (ALTC) Final report. 2009. p. 6–28. 15 .</w:t>
      </w:r>
    </w:p>
    <w:p w14:paraId="79E5BD0B"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 xml:space="preserve">Dalton M, Davidson M, Keating JL. The assessment of physiotherapy practice (APP) is a reliable measure of professional competence of physiotherapy students: a reliability study. J </w:t>
      </w:r>
      <w:proofErr w:type="spellStart"/>
      <w:r w:rsidRPr="001743A8">
        <w:rPr>
          <w:rFonts w:ascii="Arial" w:hAnsi="Arial" w:cs="Arial"/>
          <w:sz w:val="24"/>
          <w:szCs w:val="24"/>
        </w:rPr>
        <w:t>Physiother</w:t>
      </w:r>
      <w:proofErr w:type="spellEnd"/>
      <w:r w:rsidRPr="001743A8">
        <w:rPr>
          <w:rFonts w:ascii="Arial" w:hAnsi="Arial" w:cs="Arial"/>
          <w:sz w:val="24"/>
          <w:szCs w:val="24"/>
        </w:rPr>
        <w:t>. 2012;58(1):49–56. 23</w:t>
      </w:r>
    </w:p>
    <w:p w14:paraId="7D9254BD" w14:textId="77777777"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Denise Jackson</w:t>
      </w:r>
      <w:r w:rsidRPr="001743A8">
        <w:rPr>
          <w:rFonts w:ascii="Arial" w:hAnsi="Arial" w:cs="Arial"/>
          <w:sz w:val="24"/>
          <w:szCs w:val="24"/>
        </w:rPr>
        <w:t>. (2013) </w:t>
      </w:r>
      <w:hyperlink r:id="rId15" w:history="1">
        <w:r w:rsidRPr="001743A8">
          <w:rPr>
            <w:rStyle w:val="Hyperlink"/>
            <w:rFonts w:ascii="Arial" w:hAnsi="Arial" w:cs="Arial"/>
            <w:color w:val="auto"/>
            <w:sz w:val="24"/>
            <w:szCs w:val="24"/>
          </w:rPr>
          <w:t>Student Perceptions of the Importance of Employability Skill Provision in Business Undergraduate Programs</w:t>
        </w:r>
      </w:hyperlink>
      <w:r w:rsidRPr="001743A8">
        <w:rPr>
          <w:rFonts w:ascii="Arial" w:hAnsi="Arial" w:cs="Arial"/>
          <w:sz w:val="24"/>
          <w:szCs w:val="24"/>
        </w:rPr>
        <w:t>. </w:t>
      </w:r>
      <w:r w:rsidRPr="001743A8">
        <w:rPr>
          <w:rStyle w:val="nlmsource"/>
          <w:rFonts w:ascii="Arial" w:hAnsi="Arial" w:cs="Arial"/>
          <w:i/>
          <w:iCs/>
          <w:sz w:val="24"/>
          <w:szCs w:val="24"/>
        </w:rPr>
        <w:t>Journal of Education for Business</w:t>
      </w:r>
      <w:r w:rsidRPr="001743A8">
        <w:rPr>
          <w:rFonts w:ascii="Arial" w:hAnsi="Arial" w:cs="Arial"/>
          <w:sz w:val="24"/>
          <w:szCs w:val="24"/>
        </w:rPr>
        <w:t> 88:5, pages 271-279.</w:t>
      </w:r>
    </w:p>
    <w:p w14:paraId="71C9DFB4" w14:textId="77777777" w:rsidR="006331AA" w:rsidRPr="001743A8" w:rsidRDefault="006331AA" w:rsidP="00335134">
      <w:pPr>
        <w:spacing w:line="360" w:lineRule="auto"/>
        <w:jc w:val="both"/>
        <w:rPr>
          <w:rFonts w:ascii="Arial" w:hAnsi="Arial" w:cs="Arial"/>
          <w:sz w:val="24"/>
          <w:szCs w:val="24"/>
        </w:rPr>
      </w:pPr>
      <w:proofErr w:type="spellStart"/>
      <w:r w:rsidRPr="001743A8">
        <w:rPr>
          <w:rStyle w:val="hlfld-contribauthor"/>
          <w:rFonts w:ascii="Arial" w:hAnsi="Arial" w:cs="Arial"/>
          <w:sz w:val="24"/>
          <w:szCs w:val="24"/>
        </w:rPr>
        <w:t>Deesha</w:t>
      </w:r>
      <w:proofErr w:type="spellEnd"/>
      <w:r w:rsidRPr="001743A8">
        <w:rPr>
          <w:rStyle w:val="hlfld-contribauthor"/>
          <w:rFonts w:ascii="Arial" w:hAnsi="Arial" w:cs="Arial"/>
          <w:sz w:val="24"/>
          <w:szCs w:val="24"/>
        </w:rPr>
        <w:t xml:space="preserve"> Chadha</w:t>
      </w:r>
      <w:r w:rsidRPr="001743A8">
        <w:rPr>
          <w:rStyle w:val="separator"/>
          <w:rFonts w:ascii="Arial" w:hAnsi="Arial" w:cs="Arial"/>
          <w:sz w:val="24"/>
          <w:szCs w:val="24"/>
        </w:rPr>
        <w:t>, </w:t>
      </w:r>
      <w:r w:rsidRPr="001743A8">
        <w:rPr>
          <w:rStyle w:val="hlfld-contribauthor"/>
          <w:rFonts w:ascii="Arial" w:hAnsi="Arial" w:cs="Arial"/>
          <w:sz w:val="24"/>
          <w:szCs w:val="24"/>
        </w:rPr>
        <w:t>James Toner</w:t>
      </w:r>
      <w:r w:rsidRPr="001743A8">
        <w:rPr>
          <w:rFonts w:ascii="Arial" w:hAnsi="Arial" w:cs="Arial"/>
          <w:sz w:val="24"/>
          <w:szCs w:val="24"/>
        </w:rPr>
        <w:t>. (2017) Focusing in on employability: using content analysis to explore the employability discourse in UK and USA universities. </w:t>
      </w:r>
      <w:r w:rsidRPr="001743A8">
        <w:rPr>
          <w:rStyle w:val="nlmsource"/>
          <w:rFonts w:ascii="Arial" w:hAnsi="Arial" w:cs="Arial"/>
          <w:i/>
          <w:iCs/>
          <w:sz w:val="24"/>
          <w:szCs w:val="24"/>
        </w:rPr>
        <w:t>International Journal of Educational Technology in Higher Education</w:t>
      </w:r>
      <w:r w:rsidRPr="001743A8">
        <w:rPr>
          <w:rFonts w:ascii="Arial" w:hAnsi="Arial" w:cs="Arial"/>
          <w:sz w:val="24"/>
          <w:szCs w:val="24"/>
        </w:rPr>
        <w:t> 14:1.</w:t>
      </w:r>
    </w:p>
    <w:p w14:paraId="6897DEC5" w14:textId="77777777"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 xml:space="preserve">Emma L. </w:t>
      </w:r>
      <w:proofErr w:type="spellStart"/>
      <w:r w:rsidRPr="001743A8">
        <w:rPr>
          <w:rStyle w:val="hlfld-contribauthor"/>
          <w:rFonts w:ascii="Arial" w:hAnsi="Arial" w:cs="Arial"/>
          <w:sz w:val="24"/>
          <w:szCs w:val="24"/>
        </w:rPr>
        <w:t>Peasland</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Dominic C. Henri</w:t>
      </w:r>
      <w:r w:rsidRPr="001743A8">
        <w:rPr>
          <w:rStyle w:val="separator"/>
          <w:rFonts w:ascii="Arial" w:hAnsi="Arial" w:cs="Arial"/>
          <w:sz w:val="24"/>
          <w:szCs w:val="24"/>
        </w:rPr>
        <w:t>, </w:t>
      </w:r>
      <w:r w:rsidRPr="001743A8">
        <w:rPr>
          <w:rStyle w:val="hlfld-contribauthor"/>
          <w:rFonts w:ascii="Arial" w:hAnsi="Arial" w:cs="Arial"/>
          <w:sz w:val="24"/>
          <w:szCs w:val="24"/>
        </w:rPr>
        <w:t>Lesley J. Morrell</w:t>
      </w:r>
      <w:r w:rsidRPr="001743A8">
        <w:rPr>
          <w:rStyle w:val="separator"/>
          <w:rFonts w:ascii="Arial" w:hAnsi="Arial" w:cs="Arial"/>
          <w:sz w:val="24"/>
          <w:szCs w:val="24"/>
        </w:rPr>
        <w:t>, </w:t>
      </w:r>
      <w:r w:rsidRPr="001743A8">
        <w:rPr>
          <w:rStyle w:val="hlfld-contribauthor"/>
          <w:rFonts w:ascii="Arial" w:hAnsi="Arial" w:cs="Arial"/>
          <w:sz w:val="24"/>
          <w:szCs w:val="24"/>
        </w:rPr>
        <w:t>Graham W. Scott</w:t>
      </w:r>
      <w:r w:rsidRPr="001743A8">
        <w:rPr>
          <w:rFonts w:ascii="Arial" w:hAnsi="Arial" w:cs="Arial"/>
          <w:sz w:val="24"/>
          <w:szCs w:val="24"/>
        </w:rPr>
        <w:t>. (2019) </w:t>
      </w:r>
      <w:hyperlink r:id="rId16" w:history="1">
        <w:r w:rsidRPr="001743A8">
          <w:rPr>
            <w:rStyle w:val="Hyperlink"/>
            <w:rFonts w:ascii="Arial" w:hAnsi="Arial" w:cs="Arial"/>
            <w:color w:val="auto"/>
            <w:sz w:val="24"/>
            <w:szCs w:val="24"/>
          </w:rPr>
          <w:t>The influence of fieldwork design on student perceptions of skills development during field courses</w:t>
        </w:r>
      </w:hyperlink>
      <w:r w:rsidRPr="001743A8">
        <w:rPr>
          <w:rFonts w:ascii="Arial" w:hAnsi="Arial" w:cs="Arial"/>
          <w:sz w:val="24"/>
          <w:szCs w:val="24"/>
        </w:rPr>
        <w:t>. </w:t>
      </w:r>
      <w:r w:rsidRPr="001743A8">
        <w:rPr>
          <w:rStyle w:val="nlmsource"/>
          <w:rFonts w:ascii="Arial" w:hAnsi="Arial" w:cs="Arial"/>
          <w:i/>
          <w:iCs/>
          <w:sz w:val="24"/>
          <w:szCs w:val="24"/>
        </w:rPr>
        <w:t>International Journal of Science Education</w:t>
      </w:r>
      <w:r w:rsidRPr="001743A8">
        <w:rPr>
          <w:rFonts w:ascii="Arial" w:hAnsi="Arial" w:cs="Arial"/>
          <w:sz w:val="24"/>
          <w:szCs w:val="24"/>
        </w:rPr>
        <w:t> 41:17, pages 2369-2388.</w:t>
      </w:r>
    </w:p>
    <w:p w14:paraId="254A1870" w14:textId="77777777" w:rsidR="006331AA" w:rsidRPr="001743A8" w:rsidRDefault="006331AA" w:rsidP="00335134">
      <w:pPr>
        <w:spacing w:line="360" w:lineRule="auto"/>
        <w:jc w:val="both"/>
        <w:rPr>
          <w:rFonts w:ascii="Arial" w:hAnsi="Arial" w:cs="Arial"/>
          <w:sz w:val="24"/>
          <w:szCs w:val="24"/>
        </w:rPr>
      </w:pPr>
    </w:p>
    <w:p w14:paraId="3D65A3C2" w14:textId="054DDE27"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Ena Bhattacharyya</w:t>
      </w:r>
      <w:r w:rsidRPr="001743A8">
        <w:rPr>
          <w:rStyle w:val="separator"/>
          <w:rFonts w:ascii="Arial" w:hAnsi="Arial" w:cs="Arial"/>
          <w:sz w:val="24"/>
          <w:szCs w:val="24"/>
        </w:rPr>
        <w:t>, </w:t>
      </w:r>
      <w:r w:rsidRPr="001743A8">
        <w:rPr>
          <w:rStyle w:val="hlfld-contribauthor"/>
          <w:rFonts w:ascii="Arial" w:hAnsi="Arial" w:cs="Arial"/>
          <w:sz w:val="24"/>
          <w:szCs w:val="24"/>
        </w:rPr>
        <w:t>S.L. Chong</w:t>
      </w:r>
      <w:r w:rsidRPr="001743A8">
        <w:rPr>
          <w:rFonts w:ascii="Arial" w:hAnsi="Arial" w:cs="Arial"/>
          <w:sz w:val="24"/>
          <w:szCs w:val="24"/>
        </w:rPr>
        <w:t>. (2018) Stakeholders Perspective on Communicative Competence in Industry 4.0: Walk the Talk of Informative Technologists. </w:t>
      </w:r>
      <w:r w:rsidRPr="001743A8">
        <w:rPr>
          <w:rStyle w:val="nlmsource"/>
          <w:rFonts w:ascii="Arial" w:hAnsi="Arial" w:cs="Arial"/>
          <w:i/>
          <w:iCs/>
          <w:sz w:val="24"/>
          <w:szCs w:val="24"/>
        </w:rPr>
        <w:t>SHS Web of Conferences</w:t>
      </w:r>
      <w:r w:rsidRPr="001743A8">
        <w:rPr>
          <w:rFonts w:ascii="Arial" w:hAnsi="Arial" w:cs="Arial"/>
          <w:sz w:val="24"/>
          <w:szCs w:val="24"/>
        </w:rPr>
        <w:t> 53, pages 03001.</w:t>
      </w:r>
    </w:p>
    <w:p w14:paraId="7F482A21"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F</w:t>
      </w:r>
      <w:r w:rsidRPr="001743A8">
        <w:rPr>
          <w:rStyle w:val="hlfld-contribauthor"/>
          <w:rFonts w:ascii="Arial" w:hAnsi="Arial" w:cs="Arial"/>
          <w:sz w:val="24"/>
          <w:szCs w:val="24"/>
        </w:rPr>
        <w:t>átima Suleman</w:t>
      </w:r>
      <w:r w:rsidRPr="001743A8">
        <w:rPr>
          <w:rFonts w:ascii="Arial" w:hAnsi="Arial" w:cs="Arial"/>
          <w:sz w:val="24"/>
          <w:szCs w:val="24"/>
        </w:rPr>
        <w:t>. (2018) The employability skills of higher education graduates: insights into conceptual frameworks and methodological options. </w:t>
      </w:r>
      <w:r w:rsidRPr="001743A8">
        <w:rPr>
          <w:rStyle w:val="nlmsource"/>
          <w:rFonts w:ascii="Arial" w:hAnsi="Arial" w:cs="Arial"/>
          <w:i/>
          <w:iCs/>
          <w:sz w:val="24"/>
          <w:szCs w:val="24"/>
        </w:rPr>
        <w:t>Higher Education</w:t>
      </w:r>
      <w:r w:rsidRPr="001743A8">
        <w:rPr>
          <w:rFonts w:ascii="Arial" w:hAnsi="Arial" w:cs="Arial"/>
          <w:sz w:val="24"/>
          <w:szCs w:val="24"/>
        </w:rPr>
        <w:t> 76:2, pages 263-278.</w:t>
      </w:r>
    </w:p>
    <w:p w14:paraId="0E854055"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7EC83BAE" w14:textId="6395DFFD" w:rsidR="006331AA" w:rsidRPr="001743A8" w:rsidRDefault="00DC17A4" w:rsidP="00335134">
      <w:pPr>
        <w:spacing w:after="0" w:line="360" w:lineRule="auto"/>
        <w:jc w:val="both"/>
        <w:rPr>
          <w:rFonts w:ascii="Arial" w:eastAsia="Times New Roman" w:hAnsi="Arial" w:cs="Arial"/>
          <w:sz w:val="24"/>
          <w:szCs w:val="24"/>
          <w:lang w:eastAsia="en-GB"/>
        </w:rPr>
      </w:pPr>
      <w:hyperlink r:id="rId17" w:history="1">
        <w:r w:rsidR="006331AA" w:rsidRPr="001743A8">
          <w:rPr>
            <w:rFonts w:ascii="Arial" w:eastAsia="Times New Roman" w:hAnsi="Arial" w:cs="Arial"/>
            <w:sz w:val="24"/>
            <w:szCs w:val="24"/>
            <w:shd w:val="clear" w:color="auto" w:fill="FFFFFF"/>
            <w:lang w:eastAsia="en-GB"/>
          </w:rPr>
          <w:t>Garrett A. Stone</w:t>
        </w:r>
      </w:hyperlink>
      <w:r w:rsidR="006331AA" w:rsidRPr="001743A8">
        <w:rPr>
          <w:rFonts w:ascii="Arial" w:eastAsia="Times New Roman" w:hAnsi="Arial" w:cs="Arial"/>
          <w:sz w:val="24"/>
          <w:szCs w:val="24"/>
          <w:shd w:val="clear" w:color="auto" w:fill="FFFFFF"/>
          <w:lang w:eastAsia="en-GB"/>
        </w:rPr>
        <w:t> et al.</w:t>
      </w:r>
      <w:r w:rsidR="000467EF"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Journal of Teaching in Travel &amp; Tourism</w:t>
      </w:r>
      <w:r w:rsidR="007872D9"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Volume 17, 2017 - Issue 2</w:t>
      </w:r>
    </w:p>
    <w:p w14:paraId="07BED8F6" w14:textId="77777777" w:rsidR="007872D9" w:rsidRPr="001743A8" w:rsidRDefault="007872D9" w:rsidP="00335134">
      <w:pPr>
        <w:spacing w:after="0" w:line="360" w:lineRule="auto"/>
        <w:jc w:val="both"/>
        <w:rPr>
          <w:rFonts w:ascii="Arial" w:eastAsia="Times New Roman" w:hAnsi="Arial" w:cs="Arial"/>
          <w:sz w:val="24"/>
          <w:szCs w:val="24"/>
          <w:lang w:eastAsia="en-GB"/>
        </w:rPr>
      </w:pPr>
    </w:p>
    <w:p w14:paraId="7A315883" w14:textId="77777777" w:rsidR="00A66685" w:rsidRPr="001743A8" w:rsidRDefault="00DC17A4" w:rsidP="00335134">
      <w:pPr>
        <w:spacing w:line="360" w:lineRule="auto"/>
        <w:jc w:val="both"/>
        <w:rPr>
          <w:rFonts w:ascii="Arial" w:hAnsi="Arial" w:cs="Arial"/>
          <w:sz w:val="24"/>
          <w:szCs w:val="24"/>
        </w:rPr>
      </w:pPr>
      <w:hyperlink r:id="rId18" w:tgtFrame="_blank" w:history="1">
        <w:r w:rsidR="006331AA" w:rsidRPr="001743A8">
          <w:rPr>
            <w:rFonts w:ascii="Arial" w:eastAsia="Times New Roman" w:hAnsi="Arial" w:cs="Arial"/>
            <w:sz w:val="24"/>
            <w:szCs w:val="24"/>
            <w:u w:val="single"/>
            <w:lang w:eastAsia="en-GB"/>
          </w:rPr>
          <w:t>Gap analysis on open data interconnectivity for disaster risk research</w:t>
        </w:r>
      </w:hyperlink>
      <w:r w:rsidR="00A66685" w:rsidRPr="001743A8">
        <w:rPr>
          <w:rFonts w:ascii="Arial" w:hAnsi="Arial" w:cs="Arial"/>
          <w:sz w:val="24"/>
          <w:szCs w:val="24"/>
        </w:rPr>
        <w:t xml:space="preserve"> </w:t>
      </w:r>
    </w:p>
    <w:p w14:paraId="534E399E" w14:textId="5FFBCA1A" w:rsidR="00A66685" w:rsidRPr="001743A8" w:rsidRDefault="00A66685" w:rsidP="00335134">
      <w:pPr>
        <w:spacing w:line="360" w:lineRule="auto"/>
        <w:jc w:val="both"/>
        <w:rPr>
          <w:rFonts w:ascii="Arial" w:hAnsi="Arial" w:cs="Arial"/>
          <w:sz w:val="24"/>
          <w:szCs w:val="24"/>
        </w:rPr>
      </w:pPr>
      <w:proofErr w:type="spellStart"/>
      <w:r w:rsidRPr="001743A8">
        <w:rPr>
          <w:rFonts w:ascii="Arial" w:hAnsi="Arial" w:cs="Arial"/>
          <w:sz w:val="24"/>
          <w:szCs w:val="24"/>
        </w:rPr>
        <w:t>Genoni</w:t>
      </w:r>
      <w:proofErr w:type="spellEnd"/>
      <w:r w:rsidRPr="001743A8">
        <w:rPr>
          <w:rFonts w:ascii="Arial" w:hAnsi="Arial" w:cs="Arial"/>
          <w:sz w:val="24"/>
          <w:szCs w:val="24"/>
        </w:rPr>
        <w:t>, P., &amp; Lodge, D. 2008. </w:t>
      </w:r>
      <w:r w:rsidRPr="001743A8">
        <w:rPr>
          <w:rFonts w:ascii="Arial" w:hAnsi="Arial" w:cs="Arial"/>
          <w:i/>
          <w:iCs/>
          <w:sz w:val="24"/>
          <w:szCs w:val="24"/>
        </w:rPr>
        <w:t>Qualifications - what is the preferred professional qualification</w:t>
      </w:r>
      <w:r w:rsidRPr="001743A8">
        <w:rPr>
          <w:rFonts w:ascii="Arial" w:hAnsi="Arial" w:cs="Arial"/>
          <w:sz w:val="24"/>
          <w:szCs w:val="24"/>
        </w:rPr>
        <w:t>. Presented at the ALIA Education and Workforce Summit 2008. </w:t>
      </w:r>
      <w:hyperlink r:id="rId19" w:tgtFrame="_blank" w:history="1">
        <w:r w:rsidRPr="001743A8">
          <w:rPr>
            <w:rFonts w:ascii="Arial" w:hAnsi="Arial" w:cs="Arial"/>
            <w:sz w:val="24"/>
            <w:szCs w:val="24"/>
            <w:u w:val="single"/>
          </w:rPr>
          <w:t>http://www.alia.org.au/education/summit08/revised.qualifications.19%20dec</w:t>
        </w:r>
      </w:hyperlink>
    </w:p>
    <w:p w14:paraId="2639CD09" w14:textId="77777777" w:rsidR="006331AA" w:rsidRPr="001743A8" w:rsidRDefault="006331AA"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proofErr w:type="spellStart"/>
      <w:r w:rsidRPr="001743A8">
        <w:rPr>
          <w:rFonts w:ascii="Arial" w:eastAsia="Times New Roman" w:hAnsi="Arial" w:cs="Arial"/>
          <w:sz w:val="24"/>
          <w:szCs w:val="24"/>
          <w:lang w:eastAsia="en-GB"/>
        </w:rPr>
        <w:t>Guoqing</w:t>
      </w:r>
      <w:proofErr w:type="spellEnd"/>
      <w:r w:rsidRPr="001743A8">
        <w:rPr>
          <w:rFonts w:ascii="Arial" w:eastAsia="Times New Roman" w:hAnsi="Arial" w:cs="Arial"/>
          <w:sz w:val="24"/>
          <w:szCs w:val="24"/>
          <w:lang w:eastAsia="en-GB"/>
        </w:rPr>
        <w:t xml:space="preserve"> Li et al., Geo-spatial Information Science, 2019</w:t>
      </w:r>
    </w:p>
    <w:p w14:paraId="127BA1FF" w14:textId="77777777"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Gillian Forster</w:t>
      </w:r>
      <w:r w:rsidRPr="001743A8">
        <w:rPr>
          <w:rStyle w:val="separator"/>
          <w:rFonts w:ascii="Arial" w:hAnsi="Arial" w:cs="Arial"/>
          <w:sz w:val="24"/>
          <w:szCs w:val="24"/>
        </w:rPr>
        <w:t>, </w:t>
      </w:r>
      <w:r w:rsidRPr="001743A8">
        <w:rPr>
          <w:rStyle w:val="hlfld-contribauthor"/>
          <w:rFonts w:ascii="Arial" w:hAnsi="Arial" w:cs="Arial"/>
          <w:sz w:val="24"/>
          <w:szCs w:val="24"/>
        </w:rPr>
        <w:t>Andrew Robson</w:t>
      </w:r>
      <w:r w:rsidRPr="001743A8">
        <w:rPr>
          <w:rFonts w:ascii="Arial" w:hAnsi="Arial" w:cs="Arial"/>
          <w:sz w:val="24"/>
          <w:szCs w:val="24"/>
        </w:rPr>
        <w:t>. 2019. Developing the ‘Oven-Ready’ Postgraduate: Squeezing a Quart into a Pint Pot to Meet the Employability Agenda. Employability via Higher Education: Sustainability as Scholarship, pages 349-372.</w:t>
      </w:r>
    </w:p>
    <w:p w14:paraId="2C02714E" w14:textId="77777777" w:rsidR="006331AA" w:rsidRPr="001743A8" w:rsidRDefault="00DC17A4" w:rsidP="00335134">
      <w:pPr>
        <w:spacing w:after="0" w:line="360" w:lineRule="auto"/>
        <w:jc w:val="both"/>
        <w:rPr>
          <w:rFonts w:ascii="Arial" w:eastAsia="Times New Roman" w:hAnsi="Arial" w:cs="Arial"/>
          <w:sz w:val="24"/>
          <w:szCs w:val="24"/>
          <w:lang w:eastAsia="en-GB"/>
        </w:rPr>
      </w:pPr>
      <w:hyperlink r:id="rId20" w:anchor="bbib0040" w:history="1">
        <w:r w:rsidR="006331AA" w:rsidRPr="001743A8">
          <w:rPr>
            <w:rFonts w:ascii="Arial" w:eastAsia="Times New Roman" w:hAnsi="Arial" w:cs="Arial"/>
            <w:sz w:val="24"/>
            <w:szCs w:val="24"/>
            <w:u w:val="single"/>
            <w:lang w:eastAsia="en-GB"/>
          </w:rPr>
          <w:t>Harvey et al., 2010</w:t>
        </w:r>
      </w:hyperlink>
    </w:p>
    <w:p w14:paraId="74C1839E" w14:textId="77777777" w:rsidR="006331AA" w:rsidRPr="001743A8" w:rsidRDefault="006331AA" w:rsidP="00335134">
      <w:pPr>
        <w:spacing w:after="0" w:line="360" w:lineRule="auto"/>
        <w:jc w:val="both"/>
        <w:rPr>
          <w:rFonts w:ascii="Arial" w:eastAsia="Times New Roman" w:hAnsi="Arial" w:cs="Arial"/>
          <w:i/>
          <w:iCs/>
          <w:sz w:val="24"/>
          <w:szCs w:val="24"/>
          <w:lang w:eastAsia="en-GB"/>
        </w:rPr>
      </w:pPr>
      <w:r w:rsidRPr="001743A8">
        <w:rPr>
          <w:rFonts w:ascii="Arial" w:eastAsia="Times New Roman" w:hAnsi="Arial" w:cs="Arial"/>
          <w:sz w:val="24"/>
          <w:szCs w:val="24"/>
          <w:lang w:eastAsia="en-GB"/>
        </w:rPr>
        <w:t xml:space="preserve">Harvey L, Moon S, </w:t>
      </w:r>
      <w:proofErr w:type="spellStart"/>
      <w:r w:rsidRPr="001743A8">
        <w:rPr>
          <w:rFonts w:ascii="Arial" w:eastAsia="Times New Roman" w:hAnsi="Arial" w:cs="Arial"/>
          <w:sz w:val="24"/>
          <w:szCs w:val="24"/>
          <w:lang w:eastAsia="en-GB"/>
        </w:rPr>
        <w:t>Geall</w:t>
      </w:r>
      <w:proofErr w:type="spellEnd"/>
      <w:r w:rsidRPr="001743A8">
        <w:rPr>
          <w:rFonts w:ascii="Arial" w:eastAsia="Times New Roman" w:hAnsi="Arial" w:cs="Arial"/>
          <w:sz w:val="24"/>
          <w:szCs w:val="24"/>
          <w:lang w:eastAsia="en-GB"/>
        </w:rPr>
        <w:t xml:space="preserve"> V.(2010). Graduates’ Work: Organisational Change and Students’ Attributes. Centre for Research into Quality. </w:t>
      </w:r>
      <w:r w:rsidRPr="001743A8">
        <w:rPr>
          <w:rFonts w:ascii="Arial" w:eastAsia="Times New Roman" w:hAnsi="Arial" w:cs="Arial"/>
          <w:i/>
          <w:iCs/>
          <w:sz w:val="24"/>
          <w:szCs w:val="24"/>
          <w:lang w:eastAsia="en-GB"/>
        </w:rPr>
        <w:t>Assessed from the World Wide Web, 17 May 2010:</w:t>
      </w:r>
    </w:p>
    <w:p w14:paraId="355C726E"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51AF0E3F" w14:textId="6BA3685C" w:rsidR="007872D9" w:rsidRPr="001743A8" w:rsidRDefault="00DC17A4" w:rsidP="00335134">
      <w:pPr>
        <w:spacing w:after="0" w:line="360" w:lineRule="auto"/>
        <w:jc w:val="both"/>
        <w:rPr>
          <w:rFonts w:ascii="Arial" w:eastAsia="Times New Roman" w:hAnsi="Arial" w:cs="Arial"/>
          <w:sz w:val="24"/>
          <w:szCs w:val="24"/>
          <w:lang w:eastAsia="en-GB"/>
        </w:rPr>
      </w:pPr>
      <w:hyperlink r:id="rId21" w:tgtFrame="_self" w:history="1">
        <w:r w:rsidR="006331AA" w:rsidRPr="001743A8">
          <w:rPr>
            <w:rFonts w:ascii="Arial" w:eastAsia="Times New Roman" w:hAnsi="Arial" w:cs="Arial"/>
            <w:sz w:val="24"/>
            <w:szCs w:val="24"/>
            <w:u w:val="single"/>
            <w:shd w:val="clear" w:color="auto" w:fill="FFFFFF"/>
            <w:lang w:eastAsia="en-GB"/>
          </w:rPr>
          <w:t>Internationalising hospitality management degree programmes</w:t>
        </w:r>
      </w:hyperlink>
      <w:r w:rsidR="006331AA" w:rsidRPr="001743A8">
        <w:rPr>
          <w:rFonts w:ascii="Arial" w:eastAsia="Times New Roman" w:hAnsi="Arial" w:cs="Arial"/>
          <w:sz w:val="24"/>
          <w:szCs w:val="24"/>
          <w:lang w:eastAsia="en-GB"/>
        </w:rPr>
        <w:t xml:space="preserve"> Maureen Brookes et al., International Journal of Contemporary Hospitality Management, 2011</w:t>
      </w:r>
    </w:p>
    <w:p w14:paraId="003A0F4A" w14:textId="77777777" w:rsidR="006331AA" w:rsidRPr="001743A8" w:rsidRDefault="006331AA" w:rsidP="00335134">
      <w:pPr>
        <w:spacing w:after="0" w:line="360" w:lineRule="auto"/>
        <w:jc w:val="both"/>
        <w:rPr>
          <w:rFonts w:ascii="Arial" w:hAnsi="Arial" w:cs="Arial"/>
          <w:sz w:val="24"/>
          <w:szCs w:val="24"/>
        </w:rPr>
      </w:pPr>
    </w:p>
    <w:p w14:paraId="4E694AB2" w14:textId="77777777" w:rsidR="006331AA" w:rsidRPr="001743A8" w:rsidRDefault="006331AA" w:rsidP="00335134">
      <w:pPr>
        <w:spacing w:after="0" w:line="360" w:lineRule="auto"/>
        <w:jc w:val="both"/>
        <w:rPr>
          <w:rFonts w:ascii="Arial" w:hAnsi="Arial" w:cs="Arial"/>
          <w:sz w:val="24"/>
          <w:szCs w:val="24"/>
        </w:rPr>
      </w:pPr>
      <w:r w:rsidRPr="001743A8">
        <w:rPr>
          <w:rStyle w:val="hlfld-contribauthor"/>
          <w:rFonts w:ascii="Arial" w:hAnsi="Arial" w:cs="Arial"/>
          <w:sz w:val="24"/>
          <w:szCs w:val="24"/>
        </w:rPr>
        <w:t>Jonathan Winterton</w:t>
      </w:r>
      <w:r w:rsidRPr="001743A8">
        <w:rPr>
          <w:rStyle w:val="separator"/>
          <w:rFonts w:ascii="Arial" w:hAnsi="Arial" w:cs="Arial"/>
          <w:sz w:val="24"/>
          <w:szCs w:val="24"/>
        </w:rPr>
        <w:t>, </w:t>
      </w:r>
      <w:r w:rsidRPr="001743A8">
        <w:rPr>
          <w:rStyle w:val="hlfld-contribauthor"/>
          <w:rFonts w:ascii="Arial" w:hAnsi="Arial" w:cs="Arial"/>
          <w:sz w:val="24"/>
          <w:szCs w:val="24"/>
        </w:rPr>
        <w:t>Jason J. Turner</w:t>
      </w:r>
      <w:r w:rsidRPr="001743A8">
        <w:rPr>
          <w:rFonts w:ascii="Arial" w:hAnsi="Arial" w:cs="Arial"/>
          <w:sz w:val="24"/>
          <w:szCs w:val="24"/>
        </w:rPr>
        <w:t>. (2019) Preparing graduates for work readiness: an overview and agenda. </w:t>
      </w:r>
      <w:r w:rsidRPr="001743A8">
        <w:rPr>
          <w:rStyle w:val="nlmsource"/>
          <w:rFonts w:ascii="Arial" w:hAnsi="Arial" w:cs="Arial"/>
          <w:i/>
          <w:iCs/>
          <w:sz w:val="24"/>
          <w:szCs w:val="24"/>
        </w:rPr>
        <w:t>Education + Training</w:t>
      </w:r>
      <w:r w:rsidRPr="001743A8">
        <w:rPr>
          <w:rFonts w:ascii="Arial" w:hAnsi="Arial" w:cs="Arial"/>
          <w:sz w:val="24"/>
          <w:szCs w:val="24"/>
        </w:rPr>
        <w:t> 61:5, pages 536-551.</w:t>
      </w:r>
    </w:p>
    <w:p w14:paraId="38636D13" w14:textId="77777777" w:rsidR="006331AA" w:rsidRPr="001743A8" w:rsidRDefault="006331AA" w:rsidP="00335134">
      <w:pPr>
        <w:shd w:val="clear" w:color="auto" w:fill="FFFFFF"/>
        <w:spacing w:after="0" w:line="360" w:lineRule="auto"/>
        <w:jc w:val="both"/>
        <w:rPr>
          <w:rStyle w:val="hlfld-contribauthor"/>
          <w:rFonts w:ascii="Arial" w:hAnsi="Arial" w:cs="Arial"/>
          <w:sz w:val="24"/>
          <w:szCs w:val="24"/>
        </w:rPr>
      </w:pPr>
    </w:p>
    <w:p w14:paraId="595C5508" w14:textId="77777777" w:rsidR="006331AA" w:rsidRPr="001743A8" w:rsidRDefault="006331AA" w:rsidP="00335134">
      <w:pPr>
        <w:shd w:val="clear" w:color="auto" w:fill="FFFFFF"/>
        <w:spacing w:after="0" w:line="360" w:lineRule="auto"/>
        <w:jc w:val="both"/>
        <w:rPr>
          <w:rFonts w:ascii="Arial" w:hAnsi="Arial" w:cs="Arial"/>
          <w:sz w:val="24"/>
          <w:szCs w:val="24"/>
        </w:rPr>
      </w:pPr>
      <w:r w:rsidRPr="001743A8">
        <w:rPr>
          <w:rStyle w:val="hlfld-contribauthor"/>
          <w:rFonts w:ascii="Arial" w:hAnsi="Arial" w:cs="Arial"/>
          <w:sz w:val="24"/>
          <w:szCs w:val="24"/>
        </w:rPr>
        <w:t>Joseph Chow</w:t>
      </w:r>
      <w:r w:rsidRPr="001743A8">
        <w:rPr>
          <w:rStyle w:val="separator"/>
          <w:rFonts w:ascii="Arial" w:hAnsi="Arial" w:cs="Arial"/>
          <w:sz w:val="24"/>
          <w:szCs w:val="24"/>
        </w:rPr>
        <w:t>, </w:t>
      </w:r>
      <w:r w:rsidRPr="001743A8">
        <w:rPr>
          <w:rStyle w:val="hlfld-contribauthor"/>
          <w:rFonts w:ascii="Arial" w:hAnsi="Arial" w:cs="Arial"/>
          <w:sz w:val="24"/>
          <w:szCs w:val="24"/>
        </w:rPr>
        <w:t xml:space="preserve">Ada </w:t>
      </w:r>
      <w:proofErr w:type="spellStart"/>
      <w:r w:rsidRPr="001743A8">
        <w:rPr>
          <w:rStyle w:val="hlfld-contribauthor"/>
          <w:rFonts w:ascii="Arial" w:hAnsi="Arial" w:cs="Arial"/>
          <w:sz w:val="24"/>
          <w:szCs w:val="24"/>
        </w:rPr>
        <w:t>Tse</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 xml:space="preserve">Christine </w:t>
      </w:r>
      <w:proofErr w:type="spellStart"/>
      <w:r w:rsidRPr="001743A8">
        <w:rPr>
          <w:rStyle w:val="hlfld-contribauthor"/>
          <w:rFonts w:ascii="Arial" w:hAnsi="Arial" w:cs="Arial"/>
          <w:sz w:val="24"/>
          <w:szCs w:val="24"/>
        </w:rPr>
        <w:t>Armatas</w:t>
      </w:r>
      <w:proofErr w:type="spellEnd"/>
      <w:r w:rsidRPr="001743A8">
        <w:rPr>
          <w:rFonts w:ascii="Arial" w:hAnsi="Arial" w:cs="Arial"/>
          <w:sz w:val="24"/>
          <w:szCs w:val="24"/>
        </w:rPr>
        <w:t>. (2020) Assessing the university student perceived learning gains in generic skills. </w:t>
      </w:r>
      <w:r w:rsidRPr="001743A8">
        <w:rPr>
          <w:rStyle w:val="nlmsource"/>
          <w:rFonts w:ascii="Arial" w:hAnsi="Arial" w:cs="Arial"/>
          <w:i/>
          <w:iCs/>
          <w:sz w:val="24"/>
          <w:szCs w:val="24"/>
        </w:rPr>
        <w:t>Journal of Applied Research in Higher Education</w:t>
      </w:r>
      <w:r w:rsidRPr="001743A8">
        <w:rPr>
          <w:rFonts w:ascii="Arial" w:hAnsi="Arial" w:cs="Arial"/>
          <w:sz w:val="24"/>
          <w:szCs w:val="24"/>
        </w:rPr>
        <w:t> </w:t>
      </w:r>
      <w:proofErr w:type="spellStart"/>
      <w:r w:rsidRPr="001743A8">
        <w:rPr>
          <w:rFonts w:ascii="Arial" w:hAnsi="Arial" w:cs="Arial"/>
          <w:sz w:val="24"/>
          <w:szCs w:val="24"/>
        </w:rPr>
        <w:t>ahead-of-print:ahead-of-print</w:t>
      </w:r>
      <w:proofErr w:type="spellEnd"/>
    </w:p>
    <w:p w14:paraId="4614957F" w14:textId="77777777" w:rsidR="006331AA" w:rsidRPr="001743A8" w:rsidRDefault="006331AA" w:rsidP="00335134">
      <w:pPr>
        <w:shd w:val="clear" w:color="auto" w:fill="FFFFFF"/>
        <w:spacing w:after="0" w:line="360" w:lineRule="auto"/>
        <w:jc w:val="both"/>
        <w:rPr>
          <w:rFonts w:ascii="Arial" w:hAnsi="Arial" w:cs="Arial"/>
          <w:sz w:val="24"/>
          <w:szCs w:val="24"/>
        </w:rPr>
      </w:pPr>
    </w:p>
    <w:p w14:paraId="1EB7FF75" w14:textId="77777777" w:rsidR="006331AA" w:rsidRPr="001743A8" w:rsidRDefault="006331AA" w:rsidP="00335134">
      <w:pPr>
        <w:shd w:val="clear" w:color="auto" w:fill="FFFFFF"/>
        <w:spacing w:after="0" w:line="360" w:lineRule="auto"/>
        <w:jc w:val="both"/>
        <w:rPr>
          <w:rFonts w:ascii="Arial" w:hAnsi="Arial" w:cs="Arial"/>
          <w:sz w:val="24"/>
          <w:szCs w:val="24"/>
        </w:rPr>
      </w:pPr>
      <w:r w:rsidRPr="001743A8">
        <w:rPr>
          <w:rStyle w:val="hlfld-contribauthor"/>
          <w:rFonts w:ascii="Arial" w:hAnsi="Arial" w:cs="Arial"/>
          <w:sz w:val="24"/>
          <w:szCs w:val="24"/>
        </w:rPr>
        <w:t>Jonathan Winterton</w:t>
      </w:r>
      <w:r w:rsidRPr="001743A8">
        <w:rPr>
          <w:rStyle w:val="separator"/>
          <w:rFonts w:ascii="Arial" w:hAnsi="Arial" w:cs="Arial"/>
          <w:sz w:val="24"/>
          <w:szCs w:val="24"/>
        </w:rPr>
        <w:t>, </w:t>
      </w:r>
      <w:r w:rsidRPr="001743A8">
        <w:rPr>
          <w:rStyle w:val="hlfld-contribauthor"/>
          <w:rFonts w:ascii="Arial" w:hAnsi="Arial" w:cs="Arial"/>
          <w:sz w:val="24"/>
          <w:szCs w:val="24"/>
        </w:rPr>
        <w:t>Jason J. Turner</w:t>
      </w:r>
      <w:r w:rsidRPr="001743A8">
        <w:rPr>
          <w:rFonts w:ascii="Arial" w:hAnsi="Arial" w:cs="Arial"/>
          <w:sz w:val="24"/>
          <w:szCs w:val="24"/>
        </w:rPr>
        <w:t>. (2019) Preparing graduates for work readiness: an overview and agenda. </w:t>
      </w:r>
      <w:r w:rsidRPr="001743A8">
        <w:rPr>
          <w:rStyle w:val="nlmsource"/>
          <w:rFonts w:ascii="Arial" w:hAnsi="Arial" w:cs="Arial"/>
          <w:i/>
          <w:iCs/>
          <w:sz w:val="24"/>
          <w:szCs w:val="24"/>
        </w:rPr>
        <w:t>Education + Training</w:t>
      </w:r>
      <w:r w:rsidRPr="001743A8">
        <w:rPr>
          <w:rFonts w:ascii="Arial" w:hAnsi="Arial" w:cs="Arial"/>
          <w:sz w:val="24"/>
          <w:szCs w:val="24"/>
        </w:rPr>
        <w:t> 61:5, pages 536-551.</w:t>
      </w:r>
    </w:p>
    <w:p w14:paraId="4323E0F4" w14:textId="77777777" w:rsidR="006331AA" w:rsidRPr="001743A8" w:rsidRDefault="006331AA" w:rsidP="00335134">
      <w:pPr>
        <w:shd w:val="clear" w:color="auto" w:fill="FFFFFF"/>
        <w:spacing w:after="0" w:line="360" w:lineRule="auto"/>
        <w:jc w:val="both"/>
        <w:rPr>
          <w:rFonts w:ascii="Arial" w:hAnsi="Arial" w:cs="Arial"/>
          <w:sz w:val="24"/>
          <w:szCs w:val="24"/>
        </w:rPr>
      </w:pPr>
    </w:p>
    <w:p w14:paraId="5279C875" w14:textId="77777777" w:rsidR="006331AA" w:rsidRPr="001743A8" w:rsidRDefault="006331AA" w:rsidP="00335134">
      <w:pPr>
        <w:shd w:val="clear" w:color="auto" w:fill="FFFFFF"/>
        <w:spacing w:after="0" w:line="360" w:lineRule="auto"/>
        <w:jc w:val="both"/>
        <w:rPr>
          <w:rFonts w:ascii="Arial" w:hAnsi="Arial" w:cs="Arial"/>
          <w:sz w:val="24"/>
          <w:szCs w:val="24"/>
        </w:rPr>
      </w:pPr>
      <w:r w:rsidRPr="001743A8">
        <w:rPr>
          <w:rStyle w:val="hlfld-contribauthor"/>
          <w:rFonts w:ascii="Arial" w:hAnsi="Arial" w:cs="Arial"/>
          <w:sz w:val="24"/>
          <w:szCs w:val="24"/>
        </w:rPr>
        <w:lastRenderedPageBreak/>
        <w:t xml:space="preserve">Karen </w:t>
      </w:r>
      <w:proofErr w:type="spellStart"/>
      <w:r w:rsidRPr="001743A8">
        <w:rPr>
          <w:rStyle w:val="hlfld-contribauthor"/>
          <w:rFonts w:ascii="Arial" w:hAnsi="Arial" w:cs="Arial"/>
          <w:sz w:val="24"/>
          <w:szCs w:val="24"/>
        </w:rPr>
        <w:t>Clinkard</w:t>
      </w:r>
      <w:proofErr w:type="spellEnd"/>
      <w:r w:rsidRPr="001743A8">
        <w:rPr>
          <w:rFonts w:ascii="Arial" w:hAnsi="Arial" w:cs="Arial"/>
          <w:sz w:val="24"/>
          <w:szCs w:val="24"/>
        </w:rPr>
        <w:t>. (2018) Are employability and entrepreneurial measures for higher education relevant? Introducing AGILE reflection. </w:t>
      </w:r>
      <w:r w:rsidRPr="001743A8">
        <w:rPr>
          <w:rStyle w:val="nlmsource"/>
          <w:rFonts w:ascii="Arial" w:hAnsi="Arial" w:cs="Arial"/>
          <w:i/>
          <w:iCs/>
          <w:sz w:val="24"/>
          <w:szCs w:val="24"/>
        </w:rPr>
        <w:t>Industry and Higher Education</w:t>
      </w:r>
      <w:r w:rsidRPr="001743A8">
        <w:rPr>
          <w:rFonts w:ascii="Arial" w:hAnsi="Arial" w:cs="Arial"/>
          <w:sz w:val="24"/>
          <w:szCs w:val="24"/>
        </w:rPr>
        <w:t> 32:6, pages 375-390.</w:t>
      </w:r>
    </w:p>
    <w:p w14:paraId="250C05D9" w14:textId="76E79179" w:rsidR="006331AA" w:rsidRPr="001743A8" w:rsidRDefault="006331AA" w:rsidP="00335134">
      <w:pPr>
        <w:shd w:val="clear" w:color="auto" w:fill="FFFFFF"/>
        <w:spacing w:after="0" w:line="360" w:lineRule="auto"/>
        <w:jc w:val="both"/>
        <w:rPr>
          <w:rFonts w:ascii="Arial" w:eastAsia="Times New Roman" w:hAnsi="Arial" w:cs="Arial"/>
          <w:sz w:val="24"/>
          <w:szCs w:val="24"/>
          <w:lang w:eastAsia="en-GB"/>
        </w:rPr>
      </w:pPr>
    </w:p>
    <w:p w14:paraId="4332DCE8" w14:textId="77777777" w:rsidR="007872D9" w:rsidRPr="001743A8" w:rsidRDefault="007872D9" w:rsidP="00335134">
      <w:pPr>
        <w:spacing w:after="0" w:line="360" w:lineRule="auto"/>
        <w:jc w:val="both"/>
        <w:rPr>
          <w:rFonts w:ascii="Arial" w:hAnsi="Arial" w:cs="Arial"/>
          <w:sz w:val="24"/>
          <w:szCs w:val="24"/>
        </w:rPr>
      </w:pPr>
      <w:r w:rsidRPr="001743A8">
        <w:rPr>
          <w:rStyle w:val="hlfld-contribauthor"/>
          <w:rFonts w:ascii="Arial" w:hAnsi="Arial" w:cs="Arial"/>
          <w:sz w:val="24"/>
          <w:szCs w:val="24"/>
        </w:rPr>
        <w:t xml:space="preserve">Katherine </w:t>
      </w:r>
      <w:proofErr w:type="spellStart"/>
      <w:r w:rsidRPr="001743A8">
        <w:rPr>
          <w:rStyle w:val="hlfld-contribauthor"/>
          <w:rFonts w:ascii="Arial" w:hAnsi="Arial" w:cs="Arial"/>
          <w:sz w:val="24"/>
          <w:szCs w:val="24"/>
        </w:rPr>
        <w:t>Bourne</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Clare Wilkinson</w:t>
      </w:r>
      <w:r w:rsidRPr="001743A8">
        <w:rPr>
          <w:rStyle w:val="separator"/>
          <w:rFonts w:ascii="Arial" w:hAnsi="Arial" w:cs="Arial"/>
          <w:sz w:val="24"/>
          <w:szCs w:val="24"/>
        </w:rPr>
        <w:t>, </w:t>
      </w:r>
      <w:r w:rsidRPr="001743A8">
        <w:rPr>
          <w:rStyle w:val="hlfld-contribauthor"/>
          <w:rFonts w:ascii="Arial" w:hAnsi="Arial" w:cs="Arial"/>
          <w:sz w:val="24"/>
          <w:szCs w:val="24"/>
        </w:rPr>
        <w:t>Mandy Bancroft</w:t>
      </w:r>
      <w:r w:rsidRPr="001743A8">
        <w:rPr>
          <w:rStyle w:val="separator"/>
          <w:rFonts w:ascii="Arial" w:hAnsi="Arial" w:cs="Arial"/>
          <w:sz w:val="24"/>
          <w:szCs w:val="24"/>
        </w:rPr>
        <w:t>, </w:t>
      </w:r>
      <w:r w:rsidRPr="001743A8">
        <w:rPr>
          <w:rStyle w:val="hlfld-contribauthor"/>
          <w:rFonts w:ascii="Arial" w:hAnsi="Arial" w:cs="Arial"/>
          <w:sz w:val="24"/>
          <w:szCs w:val="24"/>
        </w:rPr>
        <w:t>Gareth Robinson</w:t>
      </w:r>
      <w:r w:rsidRPr="001743A8">
        <w:rPr>
          <w:rStyle w:val="separator"/>
          <w:rFonts w:ascii="Arial" w:hAnsi="Arial" w:cs="Arial"/>
          <w:sz w:val="24"/>
          <w:szCs w:val="24"/>
        </w:rPr>
        <w:t>, </w:t>
      </w:r>
      <w:r w:rsidRPr="001743A8">
        <w:rPr>
          <w:rStyle w:val="hlfld-contribauthor"/>
          <w:rFonts w:ascii="Arial" w:hAnsi="Arial" w:cs="Arial"/>
          <w:sz w:val="24"/>
          <w:szCs w:val="24"/>
        </w:rPr>
        <w:t>Catherine Noel</w:t>
      </w:r>
      <w:r w:rsidRPr="001743A8">
        <w:rPr>
          <w:rStyle w:val="separator"/>
          <w:rFonts w:ascii="Arial" w:hAnsi="Arial" w:cs="Arial"/>
          <w:sz w:val="24"/>
          <w:szCs w:val="24"/>
        </w:rPr>
        <w:t>, </w:t>
      </w:r>
      <w:proofErr w:type="spellStart"/>
      <w:r w:rsidRPr="001743A8">
        <w:rPr>
          <w:rStyle w:val="hlfld-contribauthor"/>
          <w:rFonts w:ascii="Arial" w:hAnsi="Arial" w:cs="Arial"/>
          <w:sz w:val="24"/>
          <w:szCs w:val="24"/>
        </w:rPr>
        <w:t>Aniko</w:t>
      </w:r>
      <w:proofErr w:type="spellEnd"/>
      <w:r w:rsidRPr="001743A8">
        <w:rPr>
          <w:rStyle w:val="hlfld-contribauthor"/>
          <w:rFonts w:ascii="Arial" w:hAnsi="Arial" w:cs="Arial"/>
          <w:sz w:val="24"/>
          <w:szCs w:val="24"/>
        </w:rPr>
        <w:t xml:space="preserve"> </w:t>
      </w:r>
      <w:proofErr w:type="spellStart"/>
      <w:r w:rsidRPr="001743A8">
        <w:rPr>
          <w:rStyle w:val="hlfld-contribauthor"/>
          <w:rFonts w:ascii="Arial" w:hAnsi="Arial" w:cs="Arial"/>
          <w:sz w:val="24"/>
          <w:szCs w:val="24"/>
        </w:rPr>
        <w:t>Varadi</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Melanie Watson</w:t>
      </w:r>
      <w:r w:rsidRPr="001743A8">
        <w:rPr>
          <w:rStyle w:val="separator"/>
          <w:rFonts w:ascii="Arial" w:hAnsi="Arial" w:cs="Arial"/>
          <w:sz w:val="24"/>
          <w:szCs w:val="24"/>
        </w:rPr>
        <w:t>, </w:t>
      </w:r>
      <w:r w:rsidRPr="001743A8">
        <w:rPr>
          <w:rStyle w:val="hlfld-contribauthor"/>
          <w:rFonts w:ascii="Arial" w:hAnsi="Arial" w:cs="Arial"/>
          <w:sz w:val="24"/>
          <w:szCs w:val="24"/>
        </w:rPr>
        <w:t>Maxine Foster</w:t>
      </w:r>
      <w:r w:rsidRPr="001743A8">
        <w:rPr>
          <w:rStyle w:val="separator"/>
          <w:rFonts w:ascii="Arial" w:hAnsi="Arial" w:cs="Arial"/>
          <w:sz w:val="24"/>
          <w:szCs w:val="24"/>
        </w:rPr>
        <w:t>, </w:t>
      </w:r>
      <w:r w:rsidRPr="001743A8">
        <w:rPr>
          <w:rStyle w:val="hlfld-contribauthor"/>
          <w:rFonts w:ascii="Arial" w:hAnsi="Arial" w:cs="Arial"/>
          <w:sz w:val="24"/>
          <w:szCs w:val="24"/>
        </w:rPr>
        <w:t>Debbie Lewis</w:t>
      </w:r>
      <w:r w:rsidRPr="001743A8">
        <w:rPr>
          <w:rFonts w:ascii="Arial" w:hAnsi="Arial" w:cs="Arial"/>
          <w:sz w:val="24"/>
          <w:szCs w:val="24"/>
        </w:rPr>
        <w:t>. (2018) </w:t>
      </w:r>
      <w:hyperlink r:id="rId22" w:history="1">
        <w:r w:rsidRPr="001743A8">
          <w:rPr>
            <w:rStyle w:val="Hyperlink"/>
            <w:rFonts w:ascii="Arial" w:hAnsi="Arial" w:cs="Arial"/>
            <w:color w:val="auto"/>
            <w:sz w:val="24"/>
            <w:szCs w:val="24"/>
          </w:rPr>
          <w:t xml:space="preserve">UWE </w:t>
        </w:r>
        <w:proofErr w:type="spellStart"/>
        <w:r w:rsidRPr="001743A8">
          <w:rPr>
            <w:rStyle w:val="Hyperlink"/>
            <w:rFonts w:ascii="Arial" w:hAnsi="Arial" w:cs="Arial"/>
            <w:color w:val="auto"/>
            <w:sz w:val="24"/>
            <w:szCs w:val="24"/>
          </w:rPr>
          <w:t>BoxED</w:t>
        </w:r>
        <w:proofErr w:type="spellEnd"/>
        <w:r w:rsidRPr="001743A8">
          <w:rPr>
            <w:rStyle w:val="Hyperlink"/>
            <w:rFonts w:ascii="Arial" w:hAnsi="Arial" w:cs="Arial"/>
            <w:color w:val="auto"/>
            <w:sz w:val="24"/>
            <w:szCs w:val="24"/>
          </w:rPr>
          <w:t xml:space="preserve">: empowering students in the ‘real world’ – providing responsible research and innovation opportunities through the </w:t>
        </w:r>
        <w:proofErr w:type="spellStart"/>
        <w:r w:rsidRPr="001743A8">
          <w:rPr>
            <w:rStyle w:val="Hyperlink"/>
            <w:rFonts w:ascii="Arial" w:hAnsi="Arial" w:cs="Arial"/>
            <w:color w:val="auto"/>
            <w:sz w:val="24"/>
            <w:szCs w:val="24"/>
          </w:rPr>
          <w:t>BoxED</w:t>
        </w:r>
        <w:proofErr w:type="spellEnd"/>
        <w:r w:rsidRPr="001743A8">
          <w:rPr>
            <w:rStyle w:val="Hyperlink"/>
            <w:rFonts w:ascii="Arial" w:hAnsi="Arial" w:cs="Arial"/>
            <w:color w:val="auto"/>
            <w:sz w:val="24"/>
            <w:szCs w:val="24"/>
          </w:rPr>
          <w:t xml:space="preserve"> project</w:t>
        </w:r>
      </w:hyperlink>
      <w:r w:rsidRPr="001743A8">
        <w:rPr>
          <w:rFonts w:ascii="Arial" w:hAnsi="Arial" w:cs="Arial"/>
          <w:sz w:val="24"/>
          <w:szCs w:val="24"/>
        </w:rPr>
        <w:t>. </w:t>
      </w:r>
      <w:r w:rsidRPr="001743A8">
        <w:rPr>
          <w:rStyle w:val="nlmsource"/>
          <w:rFonts w:ascii="Arial" w:hAnsi="Arial" w:cs="Arial"/>
          <w:i/>
          <w:iCs/>
          <w:sz w:val="24"/>
          <w:szCs w:val="24"/>
        </w:rPr>
        <w:t>Higher Education Pedagogies</w:t>
      </w:r>
      <w:r w:rsidRPr="001743A8">
        <w:rPr>
          <w:rFonts w:ascii="Arial" w:hAnsi="Arial" w:cs="Arial"/>
          <w:sz w:val="24"/>
          <w:szCs w:val="24"/>
        </w:rPr>
        <w:t> 3:1, pages 451-462.</w:t>
      </w:r>
    </w:p>
    <w:p w14:paraId="2CC4C4AC" w14:textId="77777777" w:rsidR="007872D9" w:rsidRPr="001743A8" w:rsidRDefault="007872D9" w:rsidP="00335134">
      <w:pPr>
        <w:shd w:val="clear" w:color="auto" w:fill="FFFFFF"/>
        <w:spacing w:after="0" w:line="360" w:lineRule="auto"/>
        <w:jc w:val="both"/>
        <w:rPr>
          <w:rFonts w:ascii="Arial" w:eastAsia="Times New Roman" w:hAnsi="Arial" w:cs="Arial"/>
          <w:sz w:val="24"/>
          <w:szCs w:val="24"/>
          <w:lang w:eastAsia="en-GB"/>
        </w:rPr>
      </w:pPr>
    </w:p>
    <w:p w14:paraId="59492B66" w14:textId="3C84BE41" w:rsidR="006331AA" w:rsidRPr="001743A8" w:rsidRDefault="006331AA" w:rsidP="00335134">
      <w:pPr>
        <w:spacing w:before="100" w:beforeAutospacing="1" w:after="100" w:afterAutospacing="1" w:line="360" w:lineRule="auto"/>
        <w:jc w:val="both"/>
        <w:rPr>
          <w:rFonts w:ascii="Arial" w:eastAsia="Times New Roman" w:hAnsi="Arial" w:cs="Arial"/>
          <w:b/>
          <w:bCs/>
          <w:sz w:val="24"/>
          <w:szCs w:val="24"/>
          <w:lang w:eastAsia="en-GB"/>
        </w:rPr>
      </w:pPr>
      <w:r w:rsidRPr="001743A8">
        <w:rPr>
          <w:rFonts w:ascii="Arial" w:eastAsia="Times New Roman" w:hAnsi="Arial" w:cs="Arial"/>
          <w:sz w:val="24"/>
          <w:szCs w:val="24"/>
          <w:lang w:eastAsia="en-GB"/>
        </w:rPr>
        <w:t>Landry MD, Hack LM, Coulson E, Freburger J, Johnson MP, Katz R, Kerwin J, SmithMH, Wessman HCB, Venskus DG, Sinnott PL, Goldstein M 2016 Workforce projections 2010–2020: Annual supply and demand forecasting models for physical therapists across the United States. Physical Therapy 96: 71–</w:t>
      </w:r>
    </w:p>
    <w:p w14:paraId="6712D287"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58236327" w14:textId="77777777"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Leonard Holmes (2013) Competing perspectives on graduate employability: possession, position or process?, Studies in Higher Education, 38:4, 538-554, DOI: </w:t>
      </w:r>
      <w:hyperlink r:id="rId23" w:history="1">
        <w:r w:rsidRPr="001743A8">
          <w:rPr>
            <w:rFonts w:ascii="Arial" w:eastAsia="Times New Roman" w:hAnsi="Arial" w:cs="Arial"/>
            <w:sz w:val="24"/>
            <w:szCs w:val="24"/>
            <w:u w:val="single"/>
            <w:lang w:eastAsia="en-GB"/>
          </w:rPr>
          <w:t>10.1080/03075079.2011.587140</w:t>
        </w:r>
      </w:hyperlink>
    </w:p>
    <w:p w14:paraId="609FAE66"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70DA1BD5" w14:textId="77777777" w:rsidR="007872D9" w:rsidRPr="001743A8" w:rsidRDefault="007872D9"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 xml:space="preserve">Li </w:t>
      </w:r>
      <w:proofErr w:type="spellStart"/>
      <w:r w:rsidRPr="001743A8">
        <w:rPr>
          <w:rFonts w:ascii="Arial" w:eastAsia="Times New Roman" w:hAnsi="Arial" w:cs="Arial"/>
          <w:sz w:val="24"/>
          <w:szCs w:val="24"/>
          <w:lang w:eastAsia="en-GB"/>
        </w:rPr>
        <w:t>Zhongzhen</w:t>
      </w:r>
      <w:proofErr w:type="spellEnd"/>
      <w:r w:rsidRPr="001743A8">
        <w:rPr>
          <w:rFonts w:ascii="Arial" w:eastAsia="Times New Roman" w:hAnsi="Arial" w:cs="Arial"/>
          <w:sz w:val="24"/>
          <w:szCs w:val="24"/>
          <w:lang w:eastAsia="en-GB"/>
        </w:rPr>
        <w:t xml:space="preserve"> et al., Journal of Sichuan University (Natural Science Edition), 2018</w:t>
      </w:r>
    </w:p>
    <w:p w14:paraId="68F27A16"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39428193" w14:textId="77777777" w:rsidR="006331AA" w:rsidRPr="001743A8" w:rsidRDefault="006331AA" w:rsidP="00335134">
      <w:pPr>
        <w:spacing w:after="0" w:line="360" w:lineRule="auto"/>
        <w:jc w:val="both"/>
        <w:rPr>
          <w:rFonts w:ascii="Arial" w:eastAsia="Times New Roman" w:hAnsi="Arial" w:cs="Arial"/>
          <w:sz w:val="24"/>
          <w:szCs w:val="24"/>
          <w:lang w:eastAsia="en-GB"/>
        </w:rPr>
      </w:pPr>
      <w:bookmarkStart w:id="1" w:name="_Hlk49551680"/>
      <w:r w:rsidRPr="001743A8">
        <w:rPr>
          <w:rStyle w:val="hlfld-contribauthor"/>
          <w:rFonts w:ascii="Arial" w:hAnsi="Arial" w:cs="Arial"/>
          <w:sz w:val="24"/>
          <w:szCs w:val="24"/>
        </w:rPr>
        <w:t xml:space="preserve">Mansi </w:t>
      </w:r>
      <w:proofErr w:type="spellStart"/>
      <w:r w:rsidRPr="001743A8">
        <w:rPr>
          <w:rStyle w:val="hlfld-contribauthor"/>
          <w:rFonts w:ascii="Arial" w:hAnsi="Arial" w:cs="Arial"/>
          <w:sz w:val="24"/>
          <w:szCs w:val="24"/>
        </w:rPr>
        <w:t>Sood</w:t>
      </w:r>
      <w:proofErr w:type="spellEnd"/>
      <w:r w:rsidRPr="001743A8">
        <w:rPr>
          <w:rFonts w:ascii="Arial" w:hAnsi="Arial" w:cs="Arial"/>
          <w:sz w:val="24"/>
          <w:szCs w:val="24"/>
        </w:rPr>
        <w:t>. (2017</w:t>
      </w:r>
      <w:bookmarkEnd w:id="1"/>
      <w:r w:rsidRPr="001743A8">
        <w:rPr>
          <w:rFonts w:ascii="Arial" w:hAnsi="Arial" w:cs="Arial"/>
          <w:sz w:val="24"/>
          <w:szCs w:val="24"/>
        </w:rPr>
        <w:t>) Legal Education and Its Outcomes: Digging Deeper into the Successes and Failures of India's National Law Schools. </w:t>
      </w:r>
      <w:r w:rsidRPr="001743A8">
        <w:rPr>
          <w:rStyle w:val="nlmsource"/>
          <w:rFonts w:ascii="Arial" w:hAnsi="Arial" w:cs="Arial"/>
          <w:i/>
          <w:iCs/>
          <w:sz w:val="24"/>
          <w:szCs w:val="24"/>
        </w:rPr>
        <w:t>SSRN Electronic Journal</w:t>
      </w:r>
      <w:r w:rsidRPr="001743A8">
        <w:rPr>
          <w:rFonts w:ascii="Arial" w:hAnsi="Arial" w:cs="Arial"/>
          <w:sz w:val="24"/>
          <w:szCs w:val="24"/>
        </w:rPr>
        <w:t>.</w:t>
      </w:r>
    </w:p>
    <w:p w14:paraId="4771A73D" w14:textId="77777777" w:rsidR="006331AA" w:rsidRPr="001743A8" w:rsidRDefault="006331AA" w:rsidP="00335134">
      <w:pPr>
        <w:spacing w:after="0" w:line="360" w:lineRule="auto"/>
        <w:jc w:val="both"/>
        <w:rPr>
          <w:rStyle w:val="hlfld-contribauthor"/>
          <w:rFonts w:ascii="Arial" w:hAnsi="Arial" w:cs="Arial"/>
          <w:sz w:val="24"/>
          <w:szCs w:val="24"/>
        </w:rPr>
      </w:pPr>
    </w:p>
    <w:p w14:paraId="4F67B51F" w14:textId="394238AB"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Style w:val="hlfld-contribauthor"/>
          <w:rFonts w:ascii="Arial" w:hAnsi="Arial" w:cs="Arial"/>
          <w:sz w:val="24"/>
          <w:szCs w:val="24"/>
        </w:rPr>
        <w:t>Maher </w:t>
      </w:r>
      <w:r w:rsidRPr="001743A8">
        <w:rPr>
          <w:rStyle w:val="nlmgiven-names"/>
          <w:rFonts w:ascii="Arial" w:hAnsi="Arial" w:cs="Arial"/>
          <w:sz w:val="24"/>
          <w:szCs w:val="24"/>
        </w:rPr>
        <w:t>BM</w:t>
      </w:r>
      <w:r w:rsidRPr="001743A8">
        <w:rPr>
          <w:rFonts w:ascii="Arial" w:hAnsi="Arial" w:cs="Arial"/>
          <w:sz w:val="24"/>
          <w:szCs w:val="24"/>
        </w:rPr>
        <w:t>, </w:t>
      </w:r>
      <w:r w:rsidRPr="001743A8">
        <w:rPr>
          <w:rStyle w:val="hlfld-contribauthor"/>
          <w:rFonts w:ascii="Arial" w:hAnsi="Arial" w:cs="Arial"/>
          <w:sz w:val="24"/>
          <w:szCs w:val="24"/>
        </w:rPr>
        <w:t>Hynes </w:t>
      </w:r>
      <w:r w:rsidRPr="001743A8">
        <w:rPr>
          <w:rStyle w:val="nlmgiven-names"/>
          <w:rFonts w:ascii="Arial" w:hAnsi="Arial" w:cs="Arial"/>
          <w:sz w:val="24"/>
          <w:szCs w:val="24"/>
        </w:rPr>
        <w:t>H</w:t>
      </w:r>
      <w:r w:rsidRPr="001743A8">
        <w:rPr>
          <w:rFonts w:ascii="Arial" w:hAnsi="Arial" w:cs="Arial"/>
          <w:sz w:val="24"/>
          <w:szCs w:val="24"/>
        </w:rPr>
        <w:t>, </w:t>
      </w:r>
      <w:r w:rsidRPr="001743A8">
        <w:rPr>
          <w:rStyle w:val="hlfld-contribauthor"/>
          <w:rFonts w:ascii="Arial" w:hAnsi="Arial" w:cs="Arial"/>
          <w:sz w:val="24"/>
          <w:szCs w:val="24"/>
        </w:rPr>
        <w:t>Sweeney </w:t>
      </w:r>
      <w:r w:rsidRPr="001743A8">
        <w:rPr>
          <w:rStyle w:val="nlmgiven-names"/>
          <w:rFonts w:ascii="Arial" w:hAnsi="Arial" w:cs="Arial"/>
          <w:sz w:val="24"/>
          <w:szCs w:val="24"/>
        </w:rPr>
        <w:t>C</w:t>
      </w:r>
      <w:r w:rsidRPr="001743A8">
        <w:rPr>
          <w:rFonts w:ascii="Arial" w:hAnsi="Arial" w:cs="Arial"/>
          <w:sz w:val="24"/>
          <w:szCs w:val="24"/>
        </w:rPr>
        <w:t>, </w:t>
      </w:r>
      <w:r w:rsidRPr="001743A8">
        <w:rPr>
          <w:rStyle w:val="hlfld-contribauthor"/>
          <w:rFonts w:ascii="Arial" w:hAnsi="Arial" w:cs="Arial"/>
          <w:sz w:val="24"/>
          <w:szCs w:val="24"/>
        </w:rPr>
        <w:t>Khashan </w:t>
      </w:r>
      <w:r w:rsidRPr="001743A8">
        <w:rPr>
          <w:rStyle w:val="nlmgiven-names"/>
          <w:rFonts w:ascii="Arial" w:hAnsi="Arial" w:cs="Arial"/>
          <w:sz w:val="24"/>
          <w:szCs w:val="24"/>
        </w:rPr>
        <w:t>AS</w:t>
      </w:r>
      <w:r w:rsidRPr="001743A8">
        <w:rPr>
          <w:rFonts w:ascii="Arial" w:hAnsi="Arial" w:cs="Arial"/>
          <w:sz w:val="24"/>
          <w:szCs w:val="24"/>
        </w:rPr>
        <w:t>, </w:t>
      </w:r>
      <w:r w:rsidRPr="001743A8">
        <w:rPr>
          <w:rStyle w:val="hlfld-contribauthor"/>
          <w:rFonts w:ascii="Arial" w:hAnsi="Arial" w:cs="Arial"/>
          <w:sz w:val="24"/>
          <w:szCs w:val="24"/>
        </w:rPr>
        <w:t>O’Rourke </w:t>
      </w:r>
      <w:r w:rsidRPr="001743A8">
        <w:rPr>
          <w:rStyle w:val="nlmgiven-names"/>
          <w:rFonts w:ascii="Arial" w:hAnsi="Arial" w:cs="Arial"/>
          <w:sz w:val="24"/>
          <w:szCs w:val="24"/>
        </w:rPr>
        <w:t>M</w:t>
      </w:r>
      <w:r w:rsidRPr="001743A8">
        <w:rPr>
          <w:rFonts w:ascii="Arial" w:hAnsi="Arial" w:cs="Arial"/>
          <w:sz w:val="24"/>
          <w:szCs w:val="24"/>
        </w:rPr>
        <w:t>, </w:t>
      </w:r>
      <w:r w:rsidRPr="001743A8">
        <w:rPr>
          <w:rStyle w:val="hlfld-contribauthor"/>
          <w:rFonts w:ascii="Arial" w:hAnsi="Arial" w:cs="Arial"/>
          <w:sz w:val="24"/>
          <w:szCs w:val="24"/>
        </w:rPr>
        <w:t>Doran </w:t>
      </w:r>
      <w:r w:rsidRPr="001743A8">
        <w:rPr>
          <w:rStyle w:val="nlmgiven-names"/>
          <w:rFonts w:ascii="Arial" w:hAnsi="Arial" w:cs="Arial"/>
          <w:sz w:val="24"/>
          <w:szCs w:val="24"/>
        </w:rPr>
        <w:t>K</w:t>
      </w:r>
      <w:r w:rsidRPr="001743A8">
        <w:rPr>
          <w:rFonts w:ascii="Arial" w:hAnsi="Arial" w:cs="Arial"/>
          <w:sz w:val="24"/>
          <w:szCs w:val="24"/>
        </w:rPr>
        <w:t>, </w:t>
      </w:r>
      <w:r w:rsidRPr="001743A8">
        <w:rPr>
          <w:rStyle w:val="hlfld-contribauthor"/>
          <w:rFonts w:ascii="Arial" w:hAnsi="Arial" w:cs="Arial"/>
          <w:sz w:val="24"/>
          <w:szCs w:val="24"/>
        </w:rPr>
        <w:t>Harris </w:t>
      </w:r>
      <w:r w:rsidRPr="001743A8">
        <w:rPr>
          <w:rStyle w:val="nlmgiven-names"/>
          <w:rFonts w:ascii="Arial" w:hAnsi="Arial" w:cs="Arial"/>
          <w:sz w:val="24"/>
          <w:szCs w:val="24"/>
        </w:rPr>
        <w:t>A</w:t>
      </w:r>
      <w:r w:rsidRPr="001743A8">
        <w:rPr>
          <w:rFonts w:ascii="Arial" w:hAnsi="Arial" w:cs="Arial"/>
          <w:sz w:val="24"/>
          <w:szCs w:val="24"/>
        </w:rPr>
        <w:t>, </w:t>
      </w:r>
      <w:r w:rsidRPr="001743A8">
        <w:rPr>
          <w:rStyle w:val="hlfld-contribauthor"/>
          <w:rFonts w:ascii="Arial" w:hAnsi="Arial" w:cs="Arial"/>
          <w:sz w:val="24"/>
          <w:szCs w:val="24"/>
        </w:rPr>
        <w:t>O’Flynn </w:t>
      </w:r>
      <w:r w:rsidRPr="001743A8">
        <w:rPr>
          <w:rStyle w:val="nlmgiven-names"/>
          <w:rFonts w:ascii="Arial" w:hAnsi="Arial" w:cs="Arial"/>
          <w:sz w:val="24"/>
          <w:szCs w:val="24"/>
        </w:rPr>
        <w:t>S</w:t>
      </w:r>
      <w:r w:rsidRPr="001743A8">
        <w:rPr>
          <w:rFonts w:ascii="Arial" w:hAnsi="Arial" w:cs="Arial"/>
          <w:sz w:val="24"/>
          <w:szCs w:val="24"/>
        </w:rPr>
        <w:t> </w:t>
      </w:r>
      <w:r w:rsidRPr="001743A8">
        <w:rPr>
          <w:rStyle w:val="nlmyear"/>
          <w:rFonts w:ascii="Arial" w:hAnsi="Arial" w:cs="Arial"/>
          <w:sz w:val="24"/>
          <w:szCs w:val="24"/>
        </w:rPr>
        <w:t>2013</w:t>
      </w:r>
      <w:r w:rsidRPr="001743A8">
        <w:rPr>
          <w:rFonts w:ascii="Arial" w:hAnsi="Arial" w:cs="Arial"/>
          <w:sz w:val="24"/>
          <w:szCs w:val="24"/>
        </w:rPr>
        <w:t> </w:t>
      </w:r>
      <w:r w:rsidRPr="001743A8">
        <w:rPr>
          <w:rStyle w:val="nlmarticle-title"/>
          <w:rFonts w:ascii="Arial" w:hAnsi="Arial" w:cs="Arial"/>
          <w:sz w:val="24"/>
          <w:szCs w:val="24"/>
        </w:rPr>
        <w:t xml:space="preserve">Medical school attrition – Beyond the statistics a </w:t>
      </w:r>
      <w:proofErr w:type="gramStart"/>
      <w:r w:rsidRPr="001743A8">
        <w:rPr>
          <w:rStyle w:val="nlmarticle-title"/>
          <w:rFonts w:ascii="Arial" w:hAnsi="Arial" w:cs="Arial"/>
          <w:sz w:val="24"/>
          <w:szCs w:val="24"/>
        </w:rPr>
        <w:t>ten year</w:t>
      </w:r>
      <w:proofErr w:type="gramEnd"/>
      <w:r w:rsidRPr="001743A8">
        <w:rPr>
          <w:rStyle w:val="nlmarticle-title"/>
          <w:rFonts w:ascii="Arial" w:hAnsi="Arial" w:cs="Arial"/>
          <w:sz w:val="24"/>
          <w:szCs w:val="24"/>
        </w:rPr>
        <w:t xml:space="preserve"> retrospective study</w:t>
      </w:r>
      <w:r w:rsidRPr="001743A8">
        <w:rPr>
          <w:rFonts w:ascii="Arial" w:hAnsi="Arial" w:cs="Arial"/>
          <w:sz w:val="24"/>
          <w:szCs w:val="24"/>
        </w:rPr>
        <w:t>. BMC Medical Education 13: </w:t>
      </w:r>
      <w:r w:rsidRPr="001743A8">
        <w:rPr>
          <w:rStyle w:val="nlmfpage"/>
          <w:rFonts w:ascii="Arial" w:hAnsi="Arial" w:cs="Arial"/>
          <w:sz w:val="24"/>
          <w:szCs w:val="24"/>
        </w:rPr>
        <w:t>13</w:t>
      </w:r>
      <w:r w:rsidRPr="001743A8">
        <w:rPr>
          <w:rFonts w:ascii="Arial" w:hAnsi="Arial" w:cs="Arial"/>
          <w:sz w:val="24"/>
          <w:szCs w:val="24"/>
        </w:rPr>
        <w:t>.</w:t>
      </w:r>
    </w:p>
    <w:p w14:paraId="589C34B6"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667219B5" w14:textId="49B97AD2"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 xml:space="preserve">Matthew T. Hora, Ross J. Benbow, Bailey B. </w:t>
      </w:r>
      <w:proofErr w:type="spellStart"/>
      <w:r w:rsidRPr="001743A8">
        <w:rPr>
          <w:rFonts w:ascii="Arial" w:eastAsia="Times New Roman" w:hAnsi="Arial" w:cs="Arial"/>
          <w:sz w:val="24"/>
          <w:szCs w:val="24"/>
          <w:lang w:eastAsia="en-GB"/>
        </w:rPr>
        <w:t>Smolarek</w:t>
      </w:r>
      <w:proofErr w:type="spellEnd"/>
      <w:r w:rsidRPr="001743A8">
        <w:rPr>
          <w:rFonts w:ascii="Arial" w:eastAsia="Times New Roman" w:hAnsi="Arial" w:cs="Arial"/>
          <w:sz w:val="24"/>
          <w:szCs w:val="24"/>
          <w:lang w:eastAsia="en-GB"/>
        </w:rPr>
        <w:t>. (2018) </w:t>
      </w:r>
      <w:hyperlink r:id="rId24" w:history="1">
        <w:r w:rsidRPr="001743A8">
          <w:rPr>
            <w:rFonts w:ascii="Arial" w:eastAsia="Times New Roman" w:hAnsi="Arial" w:cs="Arial"/>
            <w:sz w:val="24"/>
            <w:szCs w:val="24"/>
            <w:u w:val="single"/>
            <w:lang w:eastAsia="en-GB"/>
          </w:rPr>
          <w:t>Re-thinking Soft Skills and Student Employability: A New Paradigm for Undergraduate Education</w:t>
        </w:r>
      </w:hyperlink>
      <w:r w:rsidRPr="001743A8">
        <w:rPr>
          <w:rFonts w:ascii="Arial" w:eastAsia="Times New Roman" w:hAnsi="Arial" w:cs="Arial"/>
          <w:sz w:val="24"/>
          <w:szCs w:val="24"/>
          <w:lang w:eastAsia="en-GB"/>
        </w:rPr>
        <w:t>. </w:t>
      </w:r>
      <w:r w:rsidRPr="001743A8">
        <w:rPr>
          <w:rFonts w:ascii="Arial" w:eastAsia="Times New Roman" w:hAnsi="Arial" w:cs="Arial"/>
          <w:i/>
          <w:iCs/>
          <w:sz w:val="24"/>
          <w:szCs w:val="24"/>
          <w:lang w:eastAsia="en-GB"/>
        </w:rPr>
        <w:t>Change: The Magazine of Higher Learning</w:t>
      </w:r>
      <w:r w:rsidRPr="001743A8">
        <w:rPr>
          <w:rFonts w:ascii="Arial" w:eastAsia="Times New Roman" w:hAnsi="Arial" w:cs="Arial"/>
          <w:sz w:val="24"/>
          <w:szCs w:val="24"/>
          <w:lang w:eastAsia="en-GB"/>
        </w:rPr>
        <w:t> 50:6, pages 30-37.</w:t>
      </w:r>
    </w:p>
    <w:p w14:paraId="42511530" w14:textId="77777777" w:rsidR="006331AA" w:rsidRPr="001743A8" w:rsidRDefault="006331AA" w:rsidP="00335134">
      <w:pPr>
        <w:spacing w:after="0" w:line="360" w:lineRule="auto"/>
        <w:jc w:val="both"/>
        <w:rPr>
          <w:rFonts w:ascii="Arial" w:hAnsi="Arial" w:cs="Arial"/>
          <w:sz w:val="24"/>
          <w:szCs w:val="24"/>
        </w:rPr>
      </w:pPr>
    </w:p>
    <w:p w14:paraId="3BA6A383" w14:textId="77777777" w:rsidR="006331AA" w:rsidRPr="001743A8" w:rsidRDefault="006331AA" w:rsidP="00335134">
      <w:pPr>
        <w:spacing w:after="0" w:line="360" w:lineRule="auto"/>
        <w:jc w:val="both"/>
        <w:rPr>
          <w:rFonts w:ascii="Arial" w:eastAsia="Times New Roman" w:hAnsi="Arial" w:cs="Arial"/>
          <w:sz w:val="24"/>
          <w:szCs w:val="24"/>
          <w:lang w:eastAsia="en-GB"/>
        </w:rPr>
      </w:pPr>
      <w:r w:rsidRPr="001743A8">
        <w:rPr>
          <w:rStyle w:val="hlfld-contribauthor"/>
          <w:rFonts w:ascii="Arial" w:hAnsi="Arial" w:cs="Arial"/>
          <w:sz w:val="24"/>
          <w:szCs w:val="24"/>
        </w:rPr>
        <w:t>Michelle A Hill</w:t>
      </w:r>
      <w:r w:rsidRPr="001743A8">
        <w:rPr>
          <w:rStyle w:val="separator"/>
          <w:rFonts w:ascii="Arial" w:hAnsi="Arial" w:cs="Arial"/>
          <w:sz w:val="24"/>
          <w:szCs w:val="24"/>
        </w:rPr>
        <w:t>, </w:t>
      </w:r>
      <w:r w:rsidRPr="001743A8">
        <w:rPr>
          <w:rStyle w:val="hlfld-contribauthor"/>
          <w:rFonts w:ascii="Arial" w:hAnsi="Arial" w:cs="Arial"/>
          <w:sz w:val="24"/>
          <w:szCs w:val="24"/>
        </w:rPr>
        <w:t>Tina Overton</w:t>
      </w:r>
      <w:r w:rsidRPr="001743A8">
        <w:rPr>
          <w:rStyle w:val="separator"/>
          <w:rFonts w:ascii="Arial" w:hAnsi="Arial" w:cs="Arial"/>
          <w:sz w:val="24"/>
          <w:szCs w:val="24"/>
        </w:rPr>
        <w:t>, </w:t>
      </w:r>
      <w:r w:rsidRPr="001743A8">
        <w:rPr>
          <w:rStyle w:val="hlfld-contribauthor"/>
          <w:rFonts w:ascii="Arial" w:hAnsi="Arial" w:cs="Arial"/>
          <w:sz w:val="24"/>
          <w:szCs w:val="24"/>
        </w:rPr>
        <w:t xml:space="preserve">Russell RA </w:t>
      </w:r>
      <w:proofErr w:type="spellStart"/>
      <w:r w:rsidRPr="001743A8">
        <w:rPr>
          <w:rStyle w:val="hlfld-contribauthor"/>
          <w:rFonts w:ascii="Arial" w:hAnsi="Arial" w:cs="Arial"/>
          <w:sz w:val="24"/>
          <w:szCs w:val="24"/>
        </w:rPr>
        <w:t>Kitson</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Christopher D Thompson</w:t>
      </w:r>
      <w:r w:rsidRPr="001743A8">
        <w:rPr>
          <w:rStyle w:val="separator"/>
          <w:rFonts w:ascii="Arial" w:hAnsi="Arial" w:cs="Arial"/>
          <w:sz w:val="24"/>
          <w:szCs w:val="24"/>
        </w:rPr>
        <w:t>, </w:t>
      </w:r>
      <w:r w:rsidRPr="001743A8">
        <w:rPr>
          <w:rStyle w:val="hlfld-contribauthor"/>
          <w:rFonts w:ascii="Arial" w:hAnsi="Arial" w:cs="Arial"/>
          <w:sz w:val="24"/>
          <w:szCs w:val="24"/>
        </w:rPr>
        <w:t>Rowan H Brookes</w:t>
      </w:r>
      <w:r w:rsidRPr="001743A8">
        <w:rPr>
          <w:rStyle w:val="separator"/>
          <w:rFonts w:ascii="Arial" w:hAnsi="Arial" w:cs="Arial"/>
          <w:sz w:val="24"/>
          <w:szCs w:val="24"/>
        </w:rPr>
        <w:t>, </w:t>
      </w:r>
      <w:r w:rsidRPr="001743A8">
        <w:rPr>
          <w:rStyle w:val="hlfld-contribauthor"/>
          <w:rFonts w:ascii="Arial" w:hAnsi="Arial" w:cs="Arial"/>
          <w:sz w:val="24"/>
          <w:szCs w:val="24"/>
        </w:rPr>
        <w:t xml:space="preserve">Paolo </w:t>
      </w:r>
      <w:proofErr w:type="spellStart"/>
      <w:r w:rsidRPr="001743A8">
        <w:rPr>
          <w:rStyle w:val="hlfld-contribauthor"/>
          <w:rFonts w:ascii="Arial" w:hAnsi="Arial" w:cs="Arial"/>
          <w:sz w:val="24"/>
          <w:szCs w:val="24"/>
        </w:rPr>
        <w:t>Coppo</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Lynne Bayley</w:t>
      </w:r>
      <w:r w:rsidRPr="001743A8">
        <w:rPr>
          <w:rFonts w:ascii="Arial" w:hAnsi="Arial" w:cs="Arial"/>
          <w:sz w:val="24"/>
          <w:szCs w:val="24"/>
        </w:rPr>
        <w:t>. (2020) ‘They help us realise what we’re actually gaining’: The impact on undergraduates and teaching staff of displaying transferable skills badges. </w:t>
      </w:r>
      <w:r w:rsidRPr="001743A8">
        <w:rPr>
          <w:rStyle w:val="nlmsource"/>
          <w:rFonts w:ascii="Arial" w:hAnsi="Arial" w:cs="Arial"/>
          <w:i/>
          <w:iCs/>
          <w:sz w:val="24"/>
          <w:szCs w:val="24"/>
        </w:rPr>
        <w:t>Active Learning in Higher Education</w:t>
      </w:r>
      <w:r w:rsidRPr="001743A8">
        <w:rPr>
          <w:rFonts w:ascii="Arial" w:hAnsi="Arial" w:cs="Arial"/>
          <w:sz w:val="24"/>
          <w:szCs w:val="24"/>
        </w:rPr>
        <w:t> 29, pages 146978741989802.</w:t>
      </w:r>
    </w:p>
    <w:p w14:paraId="02DBA09A" w14:textId="77777777" w:rsidR="006331AA" w:rsidRPr="001743A8" w:rsidRDefault="006331AA" w:rsidP="00335134">
      <w:pPr>
        <w:spacing w:after="0" w:line="360" w:lineRule="auto"/>
        <w:jc w:val="both"/>
        <w:rPr>
          <w:rFonts w:ascii="Arial" w:eastAsia="Times New Roman" w:hAnsi="Arial" w:cs="Arial"/>
          <w:i/>
          <w:iCs/>
          <w:sz w:val="24"/>
          <w:szCs w:val="24"/>
          <w:lang w:eastAsia="en-GB"/>
        </w:rPr>
      </w:pPr>
    </w:p>
    <w:p w14:paraId="3EACD66A" w14:textId="0F3C9D1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M Yorke, ‘Employability in higher education: what it is – what it is not.’ (Learning and Employability Series One, ESECT and HEA, 2006) 8</w:t>
      </w:r>
      <w:r w:rsidR="007872D9" w:rsidRPr="001743A8">
        <w:rPr>
          <w:rFonts w:ascii="Arial" w:hAnsi="Arial" w:cs="Arial"/>
          <w:sz w:val="24"/>
          <w:szCs w:val="24"/>
        </w:rPr>
        <w:br/>
      </w:r>
    </w:p>
    <w:p w14:paraId="07AA6945" w14:textId="14FFED42" w:rsidR="006331AA" w:rsidRPr="001743A8" w:rsidRDefault="006331AA" w:rsidP="00335134">
      <w:pPr>
        <w:spacing w:line="360" w:lineRule="auto"/>
        <w:jc w:val="both"/>
        <w:rPr>
          <w:rFonts w:ascii="Arial" w:hAnsi="Arial" w:cs="Arial"/>
          <w:sz w:val="24"/>
          <w:szCs w:val="24"/>
        </w:rPr>
      </w:pPr>
      <w:r w:rsidRPr="001743A8">
        <w:rPr>
          <w:rStyle w:val="hlfld-contribauthor"/>
          <w:rFonts w:ascii="Arial" w:hAnsi="Arial" w:cs="Arial"/>
          <w:sz w:val="24"/>
          <w:szCs w:val="24"/>
        </w:rPr>
        <w:t>Marlene Amorim</w:t>
      </w:r>
      <w:r w:rsidRPr="001743A8">
        <w:rPr>
          <w:rStyle w:val="separator"/>
          <w:rFonts w:ascii="Arial" w:hAnsi="Arial" w:cs="Arial"/>
          <w:sz w:val="24"/>
          <w:szCs w:val="24"/>
        </w:rPr>
        <w:t>, </w:t>
      </w:r>
      <w:r w:rsidRPr="001743A8">
        <w:rPr>
          <w:rStyle w:val="hlfld-contribauthor"/>
          <w:rFonts w:ascii="Arial" w:hAnsi="Arial" w:cs="Arial"/>
          <w:sz w:val="24"/>
          <w:szCs w:val="24"/>
        </w:rPr>
        <w:t>Marta Ferreira Dias</w:t>
      </w:r>
      <w:r w:rsidRPr="001743A8">
        <w:rPr>
          <w:rStyle w:val="separator"/>
          <w:rFonts w:ascii="Arial" w:hAnsi="Arial" w:cs="Arial"/>
          <w:sz w:val="24"/>
          <w:szCs w:val="24"/>
        </w:rPr>
        <w:t>, </w:t>
      </w:r>
      <w:r w:rsidRPr="001743A8">
        <w:rPr>
          <w:rStyle w:val="hlfld-contribauthor"/>
          <w:rFonts w:ascii="Arial" w:hAnsi="Arial" w:cs="Arial"/>
          <w:sz w:val="24"/>
          <w:szCs w:val="24"/>
        </w:rPr>
        <w:t>Helena Silva</w:t>
      </w:r>
      <w:r w:rsidRPr="001743A8">
        <w:rPr>
          <w:rStyle w:val="separator"/>
          <w:rFonts w:ascii="Arial" w:hAnsi="Arial" w:cs="Arial"/>
          <w:sz w:val="24"/>
          <w:szCs w:val="24"/>
        </w:rPr>
        <w:t>, </w:t>
      </w:r>
      <w:r w:rsidRPr="001743A8">
        <w:rPr>
          <w:rStyle w:val="hlfld-contribauthor"/>
          <w:rFonts w:ascii="Arial" w:hAnsi="Arial" w:cs="Arial"/>
          <w:sz w:val="24"/>
          <w:szCs w:val="24"/>
        </w:rPr>
        <w:t>Diego Galego</w:t>
      </w:r>
      <w:r w:rsidRPr="001743A8">
        <w:rPr>
          <w:rStyle w:val="separator"/>
          <w:rFonts w:ascii="Arial" w:hAnsi="Arial" w:cs="Arial"/>
          <w:sz w:val="24"/>
          <w:szCs w:val="24"/>
        </w:rPr>
        <w:t>, </w:t>
      </w:r>
      <w:r w:rsidRPr="001743A8">
        <w:rPr>
          <w:rStyle w:val="hlfld-contribauthor"/>
          <w:rFonts w:ascii="Arial" w:hAnsi="Arial" w:cs="Arial"/>
          <w:sz w:val="24"/>
          <w:szCs w:val="24"/>
        </w:rPr>
        <w:t xml:space="preserve">Maria </w:t>
      </w:r>
      <w:proofErr w:type="spellStart"/>
      <w:r w:rsidRPr="001743A8">
        <w:rPr>
          <w:rStyle w:val="hlfld-contribauthor"/>
          <w:rFonts w:ascii="Arial" w:hAnsi="Arial" w:cs="Arial"/>
          <w:sz w:val="24"/>
          <w:szCs w:val="24"/>
        </w:rPr>
        <w:t>Sarmento</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Carina Pimentel</w:t>
      </w:r>
      <w:r w:rsidRPr="001743A8">
        <w:rPr>
          <w:rFonts w:ascii="Arial" w:hAnsi="Arial" w:cs="Arial"/>
          <w:sz w:val="24"/>
          <w:szCs w:val="24"/>
        </w:rPr>
        <w:t>. 2018. Assessing Entrepreneurial Profiles: A Study of Transversal Competence Gaps in Four European Countries. Entrepreneurship and the Industry Life Cycle, pages 359-376.</w:t>
      </w:r>
    </w:p>
    <w:p w14:paraId="393DB459" w14:textId="77777777" w:rsidR="007872D9" w:rsidRPr="001743A8" w:rsidRDefault="007872D9" w:rsidP="00335134">
      <w:pPr>
        <w:spacing w:line="360" w:lineRule="auto"/>
        <w:jc w:val="both"/>
        <w:rPr>
          <w:rFonts w:ascii="Arial" w:hAnsi="Arial" w:cs="Arial"/>
          <w:sz w:val="24"/>
          <w:szCs w:val="24"/>
        </w:rPr>
      </w:pPr>
    </w:p>
    <w:p w14:paraId="61554529" w14:textId="294FCEFE"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 xml:space="preserve">Murphy S, Dalton M, Dawes D. Assessing physical therapy students' performance during clinical practice. </w:t>
      </w:r>
      <w:proofErr w:type="spellStart"/>
      <w:r w:rsidRPr="001743A8">
        <w:rPr>
          <w:rFonts w:ascii="Arial" w:hAnsi="Arial" w:cs="Arial"/>
          <w:sz w:val="24"/>
          <w:szCs w:val="24"/>
        </w:rPr>
        <w:t>Physiother</w:t>
      </w:r>
      <w:proofErr w:type="spellEnd"/>
      <w:r w:rsidRPr="001743A8">
        <w:rPr>
          <w:rFonts w:ascii="Arial" w:hAnsi="Arial" w:cs="Arial"/>
          <w:sz w:val="24"/>
          <w:szCs w:val="24"/>
        </w:rPr>
        <w:t xml:space="preserve"> Can. 2014;66(2):169–76</w:t>
      </w:r>
    </w:p>
    <w:p w14:paraId="75C4ABCE" w14:textId="77777777" w:rsidR="007872D9" w:rsidRPr="001743A8" w:rsidRDefault="007872D9" w:rsidP="00335134">
      <w:pPr>
        <w:spacing w:line="360" w:lineRule="auto"/>
        <w:jc w:val="both"/>
        <w:rPr>
          <w:rFonts w:ascii="Arial" w:hAnsi="Arial" w:cs="Arial"/>
          <w:sz w:val="24"/>
          <w:szCs w:val="24"/>
        </w:rPr>
      </w:pPr>
    </w:p>
    <w:p w14:paraId="4F7B1069" w14:textId="63123B34" w:rsidR="006331AA" w:rsidRPr="001743A8" w:rsidRDefault="006331AA" w:rsidP="00335134">
      <w:pPr>
        <w:spacing w:line="360" w:lineRule="auto"/>
        <w:jc w:val="both"/>
        <w:rPr>
          <w:rFonts w:ascii="Arial" w:hAnsi="Arial" w:cs="Arial"/>
          <w:b/>
          <w:bCs/>
          <w:sz w:val="24"/>
          <w:szCs w:val="24"/>
          <w:u w:val="single"/>
        </w:rPr>
      </w:pPr>
      <w:proofErr w:type="spellStart"/>
      <w:r w:rsidRPr="001743A8">
        <w:rPr>
          <w:rFonts w:ascii="Arial" w:hAnsi="Arial" w:cs="Arial"/>
          <w:sz w:val="24"/>
          <w:szCs w:val="24"/>
        </w:rPr>
        <w:t>Panzarella</w:t>
      </w:r>
      <w:proofErr w:type="spellEnd"/>
      <w:r w:rsidRPr="001743A8">
        <w:rPr>
          <w:rFonts w:ascii="Arial" w:hAnsi="Arial" w:cs="Arial"/>
          <w:sz w:val="24"/>
          <w:szCs w:val="24"/>
        </w:rPr>
        <w:t xml:space="preserve"> KJ, </w:t>
      </w:r>
      <w:proofErr w:type="spellStart"/>
      <w:r w:rsidRPr="001743A8">
        <w:rPr>
          <w:rFonts w:ascii="Arial" w:hAnsi="Arial" w:cs="Arial"/>
          <w:sz w:val="24"/>
          <w:szCs w:val="24"/>
        </w:rPr>
        <w:t>Manyon</w:t>
      </w:r>
      <w:proofErr w:type="spellEnd"/>
      <w:r w:rsidRPr="001743A8">
        <w:rPr>
          <w:rFonts w:ascii="Arial" w:hAnsi="Arial" w:cs="Arial"/>
          <w:sz w:val="24"/>
          <w:szCs w:val="24"/>
        </w:rPr>
        <w:t xml:space="preserve"> AT. Using the integrated standardized patient examination to assess clinical competence in physical therapist students. J Phys </w:t>
      </w:r>
      <w:proofErr w:type="spellStart"/>
      <w:r w:rsidRPr="001743A8">
        <w:rPr>
          <w:rFonts w:ascii="Arial" w:hAnsi="Arial" w:cs="Arial"/>
          <w:sz w:val="24"/>
          <w:szCs w:val="24"/>
        </w:rPr>
        <w:t>Ther</w:t>
      </w:r>
      <w:proofErr w:type="spellEnd"/>
      <w:r w:rsidRPr="001743A8">
        <w:rPr>
          <w:rFonts w:ascii="Arial" w:hAnsi="Arial" w:cs="Arial"/>
          <w:sz w:val="24"/>
          <w:szCs w:val="24"/>
        </w:rPr>
        <w:t xml:space="preserve"> Educ. 2008;22(3):24–32.</w:t>
      </w:r>
    </w:p>
    <w:p w14:paraId="3F316AB4" w14:textId="77777777" w:rsidR="006331AA" w:rsidRPr="001743A8" w:rsidRDefault="006331AA" w:rsidP="00335134">
      <w:pPr>
        <w:spacing w:after="0" w:line="360" w:lineRule="auto"/>
        <w:jc w:val="both"/>
        <w:rPr>
          <w:rFonts w:ascii="Arial" w:hAnsi="Arial" w:cs="Arial"/>
          <w:sz w:val="24"/>
          <w:szCs w:val="24"/>
        </w:rPr>
      </w:pPr>
    </w:p>
    <w:p w14:paraId="65D75E12" w14:textId="77777777" w:rsidR="006331AA" w:rsidRPr="001743A8" w:rsidRDefault="00DC17A4" w:rsidP="00335134">
      <w:pPr>
        <w:spacing w:after="0" w:line="360" w:lineRule="auto"/>
        <w:jc w:val="both"/>
        <w:rPr>
          <w:rFonts w:ascii="Arial" w:eastAsia="Times New Roman" w:hAnsi="Arial" w:cs="Arial"/>
          <w:sz w:val="24"/>
          <w:szCs w:val="24"/>
          <w:lang w:eastAsia="en-GB"/>
        </w:rPr>
      </w:pPr>
      <w:hyperlink r:id="rId25" w:tooltip="Mike Raybould" w:history="1">
        <w:r w:rsidR="006331AA" w:rsidRPr="001743A8">
          <w:rPr>
            <w:rFonts w:ascii="Arial" w:hAnsi="Arial" w:cs="Arial"/>
            <w:sz w:val="24"/>
            <w:szCs w:val="24"/>
            <w:u w:val="single"/>
            <w:shd w:val="clear" w:color="auto" w:fill="FFFFFF"/>
          </w:rPr>
          <w:t>Raybould, M.</w:t>
        </w:r>
      </w:hyperlink>
      <w:r w:rsidR="006331AA" w:rsidRPr="001743A8">
        <w:rPr>
          <w:rFonts w:ascii="Arial" w:hAnsi="Arial" w:cs="Arial"/>
          <w:sz w:val="24"/>
          <w:szCs w:val="24"/>
          <w:shd w:val="clear" w:color="auto" w:fill="FFFFFF"/>
        </w:rPr>
        <w:t> and </w:t>
      </w:r>
      <w:hyperlink r:id="rId26" w:tooltip="Hugh Wilkins" w:history="1">
        <w:r w:rsidR="006331AA" w:rsidRPr="001743A8">
          <w:rPr>
            <w:rFonts w:ascii="Arial" w:hAnsi="Arial" w:cs="Arial"/>
            <w:sz w:val="24"/>
            <w:szCs w:val="24"/>
            <w:u w:val="single"/>
            <w:shd w:val="clear" w:color="auto" w:fill="FFFFFF"/>
          </w:rPr>
          <w:t>Wilkins, H.</w:t>
        </w:r>
      </w:hyperlink>
      <w:r w:rsidR="006331AA" w:rsidRPr="001743A8">
        <w:rPr>
          <w:rFonts w:ascii="Arial" w:hAnsi="Arial" w:cs="Arial"/>
          <w:sz w:val="24"/>
          <w:szCs w:val="24"/>
          <w:shd w:val="clear" w:color="auto" w:fill="FFFFFF"/>
        </w:rPr>
        <w:t> (2005), "Over qualified and under experienced: Turning graduates into hospitality managers", </w:t>
      </w:r>
      <w:hyperlink r:id="rId27" w:history="1">
        <w:r w:rsidR="006331AA" w:rsidRPr="001743A8">
          <w:rPr>
            <w:rFonts w:ascii="Arial" w:hAnsi="Arial" w:cs="Arial"/>
            <w:i/>
            <w:iCs/>
            <w:sz w:val="24"/>
            <w:szCs w:val="24"/>
            <w:u w:val="single"/>
          </w:rPr>
          <w:t>International Journal of Contemporary Hospitality Management</w:t>
        </w:r>
      </w:hyperlink>
      <w:r w:rsidR="006331AA" w:rsidRPr="001743A8">
        <w:rPr>
          <w:rFonts w:ascii="Arial" w:hAnsi="Arial" w:cs="Arial"/>
          <w:sz w:val="24"/>
          <w:szCs w:val="24"/>
          <w:shd w:val="clear" w:color="auto" w:fill="FFFFFF"/>
        </w:rPr>
        <w:t>, Vol. 17 No. 3, pp. 203-216. </w:t>
      </w:r>
      <w:hyperlink r:id="rId28" w:tooltip="DOI: https://doi.org/10.1108/09596110510591891" w:history="1">
        <w:r w:rsidR="006331AA" w:rsidRPr="001743A8">
          <w:rPr>
            <w:rFonts w:ascii="Arial" w:hAnsi="Arial" w:cs="Arial"/>
            <w:sz w:val="24"/>
            <w:szCs w:val="24"/>
            <w:u w:val="single"/>
            <w:shd w:val="clear" w:color="auto" w:fill="FFFFFF"/>
          </w:rPr>
          <w:t>https://doi.org/10.1108/09596110510591891</w:t>
        </w:r>
      </w:hyperlink>
    </w:p>
    <w:p w14:paraId="1240BAD9" w14:textId="77777777" w:rsidR="006331AA" w:rsidRPr="001743A8" w:rsidRDefault="006331AA" w:rsidP="00335134">
      <w:pPr>
        <w:spacing w:after="0" w:line="360" w:lineRule="auto"/>
        <w:jc w:val="both"/>
        <w:rPr>
          <w:rFonts w:ascii="Arial" w:eastAsia="Times New Roman" w:hAnsi="Arial" w:cs="Arial"/>
          <w:sz w:val="24"/>
          <w:szCs w:val="24"/>
          <w:lang w:eastAsia="en-GB"/>
        </w:rPr>
      </w:pPr>
    </w:p>
    <w:p w14:paraId="584CD64C" w14:textId="77777777" w:rsidR="006331AA" w:rsidRPr="001743A8" w:rsidRDefault="006331AA" w:rsidP="00335134">
      <w:pPr>
        <w:spacing w:after="0" w:line="360" w:lineRule="auto"/>
        <w:jc w:val="both"/>
        <w:rPr>
          <w:rFonts w:ascii="Arial" w:hAnsi="Arial" w:cs="Arial"/>
          <w:sz w:val="24"/>
          <w:szCs w:val="24"/>
        </w:rPr>
      </w:pPr>
      <w:r w:rsidRPr="001743A8">
        <w:rPr>
          <w:rStyle w:val="hlfld-contribauthor"/>
          <w:rFonts w:ascii="Arial" w:hAnsi="Arial" w:cs="Arial"/>
          <w:sz w:val="24"/>
          <w:szCs w:val="24"/>
        </w:rPr>
        <w:t>Suzanne M. Ruder</w:t>
      </w:r>
      <w:r w:rsidRPr="001743A8">
        <w:rPr>
          <w:rStyle w:val="separator"/>
          <w:rFonts w:ascii="Arial" w:hAnsi="Arial" w:cs="Arial"/>
          <w:sz w:val="24"/>
          <w:szCs w:val="24"/>
        </w:rPr>
        <w:t>, </w:t>
      </w:r>
      <w:r w:rsidRPr="001743A8">
        <w:rPr>
          <w:rStyle w:val="hlfld-contribauthor"/>
          <w:rFonts w:ascii="Arial" w:hAnsi="Arial" w:cs="Arial"/>
          <w:sz w:val="24"/>
          <w:szCs w:val="24"/>
        </w:rPr>
        <w:t>Courtney Stanford</w:t>
      </w:r>
      <w:r w:rsidRPr="001743A8">
        <w:rPr>
          <w:rFonts w:ascii="Arial" w:hAnsi="Arial" w:cs="Arial"/>
          <w:sz w:val="24"/>
          <w:szCs w:val="24"/>
        </w:rPr>
        <w:t xml:space="preserve">. (2020) Training Undergraduate Teaching Assistants to Facilitate and Assess Process Skills in Large </w:t>
      </w:r>
      <w:proofErr w:type="spellStart"/>
      <w:r w:rsidRPr="001743A8">
        <w:rPr>
          <w:rFonts w:ascii="Arial" w:hAnsi="Arial" w:cs="Arial"/>
          <w:sz w:val="24"/>
          <w:szCs w:val="24"/>
        </w:rPr>
        <w:t>Enrollment</w:t>
      </w:r>
      <w:proofErr w:type="spellEnd"/>
      <w:r w:rsidRPr="001743A8">
        <w:rPr>
          <w:rFonts w:ascii="Arial" w:hAnsi="Arial" w:cs="Arial"/>
          <w:sz w:val="24"/>
          <w:szCs w:val="24"/>
        </w:rPr>
        <w:t xml:space="preserve"> Courses. </w:t>
      </w:r>
      <w:r w:rsidRPr="001743A8">
        <w:rPr>
          <w:rStyle w:val="nlmsource"/>
          <w:rFonts w:ascii="Arial" w:hAnsi="Arial" w:cs="Arial"/>
          <w:i/>
          <w:iCs/>
          <w:sz w:val="24"/>
          <w:szCs w:val="24"/>
        </w:rPr>
        <w:t>Journal of Chemical Education</w:t>
      </w:r>
      <w:r w:rsidRPr="001743A8">
        <w:rPr>
          <w:rFonts w:ascii="Arial" w:hAnsi="Arial" w:cs="Arial"/>
          <w:sz w:val="24"/>
          <w:szCs w:val="24"/>
        </w:rPr>
        <w:t>.</w:t>
      </w:r>
    </w:p>
    <w:p w14:paraId="16C5F5AF" w14:textId="77777777" w:rsidR="006331AA" w:rsidRPr="001743A8" w:rsidRDefault="006331AA" w:rsidP="00335134">
      <w:pPr>
        <w:spacing w:after="0" w:line="360" w:lineRule="auto"/>
        <w:jc w:val="both"/>
        <w:rPr>
          <w:rFonts w:ascii="Arial" w:hAnsi="Arial" w:cs="Arial"/>
          <w:sz w:val="24"/>
          <w:szCs w:val="24"/>
        </w:rPr>
      </w:pPr>
    </w:p>
    <w:p w14:paraId="436EE668" w14:textId="77777777" w:rsidR="006331AA" w:rsidRPr="001743A8" w:rsidRDefault="006331AA" w:rsidP="00335134">
      <w:pPr>
        <w:spacing w:after="0" w:line="360" w:lineRule="auto"/>
        <w:jc w:val="both"/>
        <w:rPr>
          <w:rFonts w:ascii="Arial" w:hAnsi="Arial" w:cs="Arial"/>
          <w:sz w:val="24"/>
          <w:szCs w:val="24"/>
        </w:rPr>
      </w:pPr>
      <w:r w:rsidRPr="001743A8">
        <w:rPr>
          <w:rStyle w:val="hlfld-contribauthor"/>
          <w:rFonts w:ascii="Arial" w:hAnsi="Arial" w:cs="Arial"/>
          <w:sz w:val="24"/>
          <w:szCs w:val="24"/>
        </w:rPr>
        <w:lastRenderedPageBreak/>
        <w:t xml:space="preserve">Simon </w:t>
      </w:r>
      <w:proofErr w:type="spellStart"/>
      <w:r w:rsidRPr="001743A8">
        <w:rPr>
          <w:rStyle w:val="hlfld-contribauthor"/>
          <w:rFonts w:ascii="Arial" w:hAnsi="Arial" w:cs="Arial"/>
          <w:sz w:val="24"/>
          <w:szCs w:val="24"/>
        </w:rPr>
        <w:t>Brooman</w:t>
      </w:r>
      <w:proofErr w:type="spellEnd"/>
      <w:r w:rsidRPr="001743A8">
        <w:rPr>
          <w:rStyle w:val="separator"/>
          <w:rFonts w:ascii="Arial" w:hAnsi="Arial" w:cs="Arial"/>
          <w:sz w:val="24"/>
          <w:szCs w:val="24"/>
        </w:rPr>
        <w:t>, </w:t>
      </w:r>
      <w:r w:rsidRPr="001743A8">
        <w:rPr>
          <w:rStyle w:val="hlfld-contribauthor"/>
          <w:rFonts w:ascii="Arial" w:hAnsi="Arial" w:cs="Arial"/>
          <w:sz w:val="24"/>
          <w:szCs w:val="24"/>
        </w:rPr>
        <w:t>Sarah Stirk</w:t>
      </w:r>
      <w:r w:rsidRPr="001743A8">
        <w:rPr>
          <w:rFonts w:ascii="Arial" w:hAnsi="Arial" w:cs="Arial"/>
          <w:sz w:val="24"/>
          <w:szCs w:val="24"/>
        </w:rPr>
        <w:t xml:space="preserve">. (2020) Who Am </w:t>
      </w:r>
      <w:proofErr w:type="gramStart"/>
      <w:r w:rsidRPr="001743A8">
        <w:rPr>
          <w:rFonts w:ascii="Arial" w:hAnsi="Arial" w:cs="Arial"/>
          <w:sz w:val="24"/>
          <w:szCs w:val="24"/>
        </w:rPr>
        <w:t>I?:</w:t>
      </w:r>
      <w:proofErr w:type="gramEnd"/>
      <w:r w:rsidRPr="001743A8">
        <w:rPr>
          <w:rFonts w:ascii="Arial" w:hAnsi="Arial" w:cs="Arial"/>
          <w:sz w:val="24"/>
          <w:szCs w:val="24"/>
        </w:rPr>
        <w:t xml:space="preserve"> Using Reflective Practice and Self-determination to Redefine ‘Employability’ in Legal Education. </w:t>
      </w:r>
      <w:r w:rsidRPr="001743A8">
        <w:rPr>
          <w:rStyle w:val="nlmsource"/>
          <w:rFonts w:ascii="Arial" w:hAnsi="Arial" w:cs="Arial"/>
          <w:i/>
          <w:iCs/>
          <w:sz w:val="24"/>
          <w:szCs w:val="24"/>
        </w:rPr>
        <w:t>Liverpool Law Review</w:t>
      </w:r>
      <w:r w:rsidRPr="001743A8">
        <w:rPr>
          <w:rFonts w:ascii="Arial" w:hAnsi="Arial" w:cs="Arial"/>
          <w:sz w:val="24"/>
          <w:szCs w:val="24"/>
        </w:rPr>
        <w:t> 41:1, pages 79-98.</w:t>
      </w:r>
    </w:p>
    <w:p w14:paraId="432F7C92" w14:textId="77777777" w:rsidR="000467EF" w:rsidRPr="001743A8" w:rsidRDefault="000467EF" w:rsidP="00335134">
      <w:pPr>
        <w:spacing w:after="0" w:line="360" w:lineRule="auto"/>
        <w:jc w:val="both"/>
        <w:rPr>
          <w:rFonts w:ascii="Arial" w:hAnsi="Arial" w:cs="Arial"/>
          <w:sz w:val="24"/>
          <w:szCs w:val="24"/>
        </w:rPr>
      </w:pPr>
    </w:p>
    <w:p w14:paraId="618F47C2" w14:textId="240EAE4D" w:rsidR="006331AA" w:rsidRPr="001743A8" w:rsidRDefault="000467EF" w:rsidP="00335134">
      <w:pPr>
        <w:spacing w:after="0" w:line="360" w:lineRule="auto"/>
        <w:jc w:val="both"/>
        <w:rPr>
          <w:rFonts w:ascii="Arial" w:eastAsia="Times New Roman" w:hAnsi="Arial" w:cs="Arial"/>
          <w:sz w:val="24"/>
          <w:szCs w:val="24"/>
          <w:lang w:eastAsia="en-GB"/>
        </w:rPr>
      </w:pPr>
      <w:r w:rsidRPr="001743A8">
        <w:rPr>
          <w:rFonts w:ascii="Arial" w:eastAsia="Times New Roman" w:hAnsi="Arial" w:cs="Arial"/>
          <w:sz w:val="24"/>
          <w:szCs w:val="24"/>
          <w:lang w:eastAsia="en-GB"/>
        </w:rPr>
        <w:t>Skills You Need Limited. July 2020. ISBN: 978-1-911084-25-9</w:t>
      </w:r>
    </w:p>
    <w:p w14:paraId="62418A3A" w14:textId="77777777" w:rsidR="000467EF" w:rsidRPr="001743A8" w:rsidRDefault="000467EF" w:rsidP="00335134">
      <w:pPr>
        <w:spacing w:after="0" w:line="360" w:lineRule="auto"/>
        <w:jc w:val="both"/>
        <w:rPr>
          <w:rFonts w:ascii="Arial" w:hAnsi="Arial" w:cs="Arial"/>
          <w:sz w:val="24"/>
          <w:szCs w:val="24"/>
        </w:rPr>
      </w:pPr>
    </w:p>
    <w:p w14:paraId="5BCE48D4" w14:textId="4914E008" w:rsidR="006331AA" w:rsidRPr="001743A8" w:rsidRDefault="00DC17A4" w:rsidP="00335134">
      <w:pPr>
        <w:spacing w:line="360" w:lineRule="auto"/>
        <w:jc w:val="both"/>
        <w:rPr>
          <w:rFonts w:ascii="Arial" w:eastAsia="Times New Roman" w:hAnsi="Arial" w:cs="Arial"/>
          <w:sz w:val="24"/>
          <w:szCs w:val="24"/>
          <w:lang w:eastAsia="en-GB"/>
        </w:rPr>
      </w:pPr>
      <w:hyperlink r:id="rId29" w:history="1">
        <w:r w:rsidR="006331AA" w:rsidRPr="001743A8">
          <w:rPr>
            <w:rFonts w:ascii="Arial" w:eastAsia="Times New Roman" w:hAnsi="Arial" w:cs="Arial"/>
            <w:sz w:val="24"/>
            <w:szCs w:val="24"/>
            <w:shd w:val="clear" w:color="auto" w:fill="FFFFFF"/>
            <w:lang w:eastAsia="en-GB"/>
          </w:rPr>
          <w:t>Tim Moore</w:t>
        </w:r>
      </w:hyperlink>
      <w:r w:rsidR="006331AA" w:rsidRPr="001743A8">
        <w:rPr>
          <w:rFonts w:ascii="Arial" w:eastAsia="Times New Roman" w:hAnsi="Arial" w:cs="Arial"/>
          <w:sz w:val="24"/>
          <w:szCs w:val="24"/>
          <w:shd w:val="clear" w:color="auto" w:fill="FFFFFF"/>
          <w:lang w:eastAsia="en-GB"/>
        </w:rPr>
        <w:t> et al.</w:t>
      </w:r>
      <w:r w:rsidR="000467EF"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Studies in Higher Education</w:t>
      </w:r>
      <w:r w:rsidR="000467EF"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Volume 42, 2017 - Issue 3</w:t>
      </w:r>
    </w:p>
    <w:p w14:paraId="13CCCAFB" w14:textId="77777777" w:rsidR="006331AA" w:rsidRPr="001743A8" w:rsidRDefault="006331AA" w:rsidP="00335134">
      <w:pPr>
        <w:shd w:val="clear" w:color="auto" w:fill="FFFFFF"/>
        <w:spacing w:after="0" w:line="360" w:lineRule="auto"/>
        <w:jc w:val="both"/>
        <w:rPr>
          <w:rFonts w:ascii="Arial" w:eastAsia="Times New Roman" w:hAnsi="Arial" w:cs="Arial"/>
          <w:sz w:val="24"/>
          <w:szCs w:val="24"/>
          <w:lang w:eastAsia="en-GB"/>
        </w:rPr>
      </w:pPr>
    </w:p>
    <w:p w14:paraId="3293AA1E" w14:textId="77777777" w:rsidR="006331AA" w:rsidRPr="001743A8" w:rsidRDefault="006331AA" w:rsidP="00335134">
      <w:pPr>
        <w:shd w:val="clear" w:color="auto" w:fill="FFFFFF"/>
        <w:spacing w:after="0" w:line="360" w:lineRule="auto"/>
        <w:jc w:val="both"/>
        <w:rPr>
          <w:rFonts w:ascii="Arial" w:hAnsi="Arial" w:cs="Arial"/>
          <w:sz w:val="24"/>
          <w:szCs w:val="24"/>
        </w:rPr>
      </w:pPr>
      <w:r w:rsidRPr="001743A8">
        <w:rPr>
          <w:rFonts w:ascii="Arial" w:hAnsi="Arial" w:cs="Arial"/>
          <w:sz w:val="24"/>
          <w:szCs w:val="24"/>
        </w:rPr>
        <w:t xml:space="preserve">The Chartered Society of Physiotherapy. Working as a volunteer abroad. 2014. URL: </w:t>
      </w:r>
      <w:hyperlink r:id="rId30" w:history="1">
        <w:r w:rsidRPr="001743A8">
          <w:rPr>
            <w:rStyle w:val="Hyperlink"/>
            <w:rFonts w:ascii="Arial" w:hAnsi="Arial" w:cs="Arial"/>
            <w:color w:val="auto"/>
            <w:sz w:val="24"/>
            <w:szCs w:val="24"/>
          </w:rPr>
          <w:t>http://www.csp.org.uk/publications/working-volunteer-abroad</w:t>
        </w:r>
      </w:hyperlink>
    </w:p>
    <w:p w14:paraId="65F21DCF" w14:textId="77777777" w:rsidR="006331AA" w:rsidRPr="001743A8" w:rsidRDefault="006331AA" w:rsidP="00335134">
      <w:pPr>
        <w:shd w:val="clear" w:color="auto" w:fill="FFFFFF"/>
        <w:spacing w:after="0" w:line="360" w:lineRule="auto"/>
        <w:jc w:val="both"/>
        <w:rPr>
          <w:rFonts w:ascii="Arial" w:hAnsi="Arial" w:cs="Arial"/>
          <w:sz w:val="24"/>
          <w:szCs w:val="24"/>
        </w:rPr>
      </w:pPr>
    </w:p>
    <w:p w14:paraId="146E7108" w14:textId="77777777" w:rsidR="006331AA" w:rsidRPr="001743A8" w:rsidRDefault="006331AA" w:rsidP="00335134">
      <w:pPr>
        <w:shd w:val="clear" w:color="auto" w:fill="FFFFFF"/>
        <w:spacing w:after="0" w:line="360" w:lineRule="auto"/>
        <w:jc w:val="both"/>
        <w:rPr>
          <w:rFonts w:ascii="Arial" w:hAnsi="Arial" w:cs="Arial"/>
          <w:sz w:val="24"/>
          <w:szCs w:val="24"/>
        </w:rPr>
      </w:pPr>
      <w:r w:rsidRPr="001743A8">
        <w:rPr>
          <w:rFonts w:ascii="Arial" w:hAnsi="Arial" w:cs="Arial"/>
          <w:sz w:val="24"/>
          <w:szCs w:val="24"/>
        </w:rPr>
        <w:t>The Chartered Society of Physiotherapy. Code of Members' Professional Values and Behaviour. London: The Chartered Society of Physiotherapy; 2011</w:t>
      </w:r>
    </w:p>
    <w:p w14:paraId="6BF309C8" w14:textId="77777777" w:rsidR="006331AA" w:rsidRPr="001743A8" w:rsidRDefault="006331AA" w:rsidP="00335134">
      <w:pPr>
        <w:shd w:val="clear" w:color="auto" w:fill="FFFFFF"/>
        <w:spacing w:after="0" w:line="360" w:lineRule="auto"/>
        <w:jc w:val="both"/>
        <w:rPr>
          <w:rFonts w:ascii="Arial" w:hAnsi="Arial" w:cs="Arial"/>
          <w:sz w:val="24"/>
          <w:szCs w:val="24"/>
        </w:rPr>
      </w:pPr>
    </w:p>
    <w:p w14:paraId="65CB419A" w14:textId="77777777" w:rsidR="006331AA" w:rsidRPr="001743A8" w:rsidRDefault="006331AA" w:rsidP="00335134">
      <w:pPr>
        <w:shd w:val="clear" w:color="auto" w:fill="FFFFFF"/>
        <w:spacing w:after="0" w:line="360" w:lineRule="auto"/>
        <w:jc w:val="both"/>
        <w:rPr>
          <w:rFonts w:ascii="Arial" w:eastAsia="Times New Roman" w:hAnsi="Arial" w:cs="Arial"/>
          <w:sz w:val="24"/>
          <w:szCs w:val="24"/>
          <w:lang w:eastAsia="en-GB"/>
        </w:rPr>
      </w:pPr>
      <w:r w:rsidRPr="001743A8">
        <w:rPr>
          <w:rFonts w:ascii="Arial" w:hAnsi="Arial" w:cs="Arial"/>
          <w:sz w:val="24"/>
          <w:szCs w:val="24"/>
        </w:rPr>
        <w:t>The Chartered Society of Physiotherapy. Scope of practice http://www.csp.org.uk/professional-union/professionalism/csps-approachprofessionalism/scope-practice The Chartered Society of Physiotherapy; 2015.</w:t>
      </w:r>
    </w:p>
    <w:p w14:paraId="41A0AC34" w14:textId="77777777" w:rsidR="006331AA" w:rsidRPr="001743A8" w:rsidRDefault="006331AA" w:rsidP="00335134">
      <w:pPr>
        <w:shd w:val="clear" w:color="auto" w:fill="FFFFFF"/>
        <w:spacing w:after="0" w:line="360" w:lineRule="auto"/>
        <w:jc w:val="both"/>
        <w:rPr>
          <w:rFonts w:ascii="Arial" w:eastAsia="Times New Roman" w:hAnsi="Arial" w:cs="Arial"/>
          <w:sz w:val="24"/>
          <w:szCs w:val="24"/>
          <w:lang w:eastAsia="en-GB"/>
        </w:rPr>
      </w:pPr>
    </w:p>
    <w:p w14:paraId="195BB3F6" w14:textId="77777777" w:rsidR="006331AA" w:rsidRPr="001743A8" w:rsidRDefault="006331AA" w:rsidP="00335134">
      <w:pPr>
        <w:shd w:val="clear" w:color="auto" w:fill="FFFFFF"/>
        <w:spacing w:after="0" w:line="360" w:lineRule="auto"/>
        <w:jc w:val="both"/>
        <w:rPr>
          <w:rFonts w:ascii="Arial" w:eastAsia="Times New Roman" w:hAnsi="Arial" w:cs="Arial"/>
          <w:sz w:val="24"/>
          <w:szCs w:val="24"/>
          <w:lang w:eastAsia="en-GB"/>
        </w:rPr>
      </w:pPr>
      <w:bookmarkStart w:id="2" w:name="_Hlk49546521"/>
      <w:r w:rsidRPr="001743A8">
        <w:rPr>
          <w:rFonts w:ascii="Arial" w:eastAsia="Times New Roman" w:hAnsi="Arial" w:cs="Arial"/>
          <w:sz w:val="24"/>
          <w:szCs w:val="24"/>
          <w:lang w:eastAsia="en-GB"/>
        </w:rPr>
        <w:t xml:space="preserve">Venetia Saunders &amp; Katherine </w:t>
      </w:r>
      <w:proofErr w:type="spellStart"/>
      <w:r w:rsidRPr="001743A8">
        <w:rPr>
          <w:rFonts w:ascii="Arial" w:eastAsia="Times New Roman" w:hAnsi="Arial" w:cs="Arial"/>
          <w:sz w:val="24"/>
          <w:szCs w:val="24"/>
          <w:lang w:eastAsia="en-GB"/>
        </w:rPr>
        <w:t>Zuzel</w:t>
      </w:r>
      <w:proofErr w:type="spellEnd"/>
      <w:r w:rsidRPr="001743A8">
        <w:rPr>
          <w:rFonts w:ascii="Arial" w:eastAsia="Times New Roman" w:hAnsi="Arial" w:cs="Arial"/>
          <w:sz w:val="24"/>
          <w:szCs w:val="24"/>
          <w:lang w:eastAsia="en-GB"/>
        </w:rPr>
        <w:t> (2010) </w:t>
      </w:r>
      <w:bookmarkEnd w:id="2"/>
      <w:r w:rsidRPr="001743A8">
        <w:rPr>
          <w:rFonts w:ascii="Arial" w:eastAsia="Times New Roman" w:hAnsi="Arial" w:cs="Arial"/>
          <w:sz w:val="24"/>
          <w:szCs w:val="24"/>
          <w:lang w:eastAsia="en-GB"/>
        </w:rPr>
        <w:t>Evaluating Employability Skills: Employer and Student Perceptions, Bioscience Education, 15:1, 1-15, DOI: </w:t>
      </w:r>
      <w:hyperlink r:id="rId31" w:history="1">
        <w:r w:rsidRPr="001743A8">
          <w:rPr>
            <w:rFonts w:ascii="Arial" w:eastAsia="Times New Roman" w:hAnsi="Arial" w:cs="Arial"/>
            <w:sz w:val="24"/>
            <w:szCs w:val="24"/>
            <w:u w:val="single"/>
            <w:lang w:eastAsia="en-GB"/>
          </w:rPr>
          <w:t>10.3108/beej.15.2</w:t>
        </w:r>
      </w:hyperlink>
    </w:p>
    <w:p w14:paraId="6E13B284" w14:textId="77777777" w:rsidR="006331AA" w:rsidRPr="001743A8" w:rsidRDefault="006331AA" w:rsidP="00335134">
      <w:pPr>
        <w:spacing w:line="360" w:lineRule="auto"/>
        <w:jc w:val="both"/>
        <w:rPr>
          <w:rFonts w:ascii="Arial" w:hAnsi="Arial" w:cs="Arial"/>
          <w:sz w:val="24"/>
          <w:szCs w:val="24"/>
        </w:rPr>
      </w:pPr>
    </w:p>
    <w:p w14:paraId="04B45D1B" w14:textId="247FF2C1" w:rsidR="006331AA" w:rsidRPr="001743A8" w:rsidRDefault="00DC17A4" w:rsidP="00335134">
      <w:pPr>
        <w:spacing w:line="360" w:lineRule="auto"/>
        <w:jc w:val="both"/>
        <w:rPr>
          <w:rFonts w:ascii="Arial" w:hAnsi="Arial" w:cs="Arial"/>
          <w:sz w:val="24"/>
          <w:szCs w:val="24"/>
        </w:rPr>
      </w:pPr>
      <w:hyperlink r:id="rId32" w:history="1">
        <w:r w:rsidR="006331AA" w:rsidRPr="001743A8">
          <w:rPr>
            <w:rStyle w:val="Hyperlink"/>
            <w:rFonts w:ascii="Arial" w:hAnsi="Arial" w:cs="Arial"/>
            <w:color w:val="auto"/>
            <w:sz w:val="24"/>
            <w:szCs w:val="24"/>
            <w:shd w:val="clear" w:color="auto" w:fill="F5F5F5"/>
          </w:rPr>
          <w:t>www.skillsyouneed.com/ips/what-is-communication.html</w:t>
        </w:r>
      </w:hyperlink>
      <w:r w:rsidR="006331AA" w:rsidRPr="001743A8">
        <w:rPr>
          <w:rFonts w:ascii="Arial" w:hAnsi="Arial" w:cs="Arial"/>
          <w:sz w:val="24"/>
          <w:szCs w:val="24"/>
          <w:shd w:val="clear" w:color="auto" w:fill="F5F5F5"/>
        </w:rPr>
        <w:t xml:space="preserve"> (Accessed October </w:t>
      </w:r>
      <w:proofErr w:type="gramStart"/>
      <w:r w:rsidR="006331AA" w:rsidRPr="001743A8">
        <w:rPr>
          <w:rFonts w:ascii="Arial" w:hAnsi="Arial" w:cs="Arial"/>
          <w:sz w:val="24"/>
          <w:szCs w:val="24"/>
          <w:shd w:val="clear" w:color="auto" w:fill="F5F5F5"/>
        </w:rPr>
        <w:t>19</w:t>
      </w:r>
      <w:proofErr w:type="gramEnd"/>
      <w:r w:rsidR="006331AA" w:rsidRPr="001743A8">
        <w:rPr>
          <w:rFonts w:ascii="Arial" w:hAnsi="Arial" w:cs="Arial"/>
          <w:sz w:val="24"/>
          <w:szCs w:val="24"/>
          <w:shd w:val="clear" w:color="auto" w:fill="F5F5F5"/>
        </w:rPr>
        <w:t xml:space="preserve"> 2019)</w:t>
      </w:r>
      <w:r w:rsidR="006331AA" w:rsidRPr="001743A8">
        <w:rPr>
          <w:rFonts w:ascii="Arial" w:hAnsi="Arial" w:cs="Arial"/>
          <w:sz w:val="24"/>
          <w:szCs w:val="24"/>
        </w:rPr>
        <w:br/>
      </w:r>
    </w:p>
    <w:p w14:paraId="16647EB2" w14:textId="77777777" w:rsidR="006331AA" w:rsidRPr="001743A8" w:rsidRDefault="00DC17A4" w:rsidP="00335134">
      <w:pPr>
        <w:shd w:val="clear" w:color="auto" w:fill="FFFFFF"/>
        <w:spacing w:before="100" w:beforeAutospacing="1" w:after="100" w:afterAutospacing="1" w:line="360" w:lineRule="auto"/>
        <w:jc w:val="both"/>
        <w:rPr>
          <w:rFonts w:ascii="Arial" w:eastAsia="Times New Roman" w:hAnsi="Arial" w:cs="Arial"/>
          <w:sz w:val="24"/>
          <w:szCs w:val="24"/>
          <w:lang w:eastAsia="en-GB"/>
        </w:rPr>
      </w:pPr>
      <w:hyperlink r:id="rId33" w:tgtFrame="_blank" w:history="1">
        <w:r w:rsidR="006331AA" w:rsidRPr="001743A8">
          <w:rPr>
            <w:rFonts w:ascii="Arial" w:eastAsia="Times New Roman" w:hAnsi="Arial" w:cs="Arial"/>
            <w:sz w:val="24"/>
            <w:szCs w:val="24"/>
            <w:u w:val="single"/>
            <w:bdr w:val="single" w:sz="6" w:space="0" w:color="FFFFFF" w:frame="1"/>
            <w:lang w:eastAsia="en-GB"/>
          </w:rPr>
          <w:t>Student Status Management System based on Blockchain Technology</w:t>
        </w:r>
      </w:hyperlink>
    </w:p>
    <w:p w14:paraId="1BA38130" w14:textId="77777777" w:rsidR="006331AA" w:rsidRPr="001743A8" w:rsidRDefault="006331AA" w:rsidP="00335134">
      <w:pPr>
        <w:spacing w:line="360" w:lineRule="auto"/>
        <w:jc w:val="both"/>
        <w:rPr>
          <w:rFonts w:ascii="Arial" w:hAnsi="Arial" w:cs="Arial"/>
          <w:sz w:val="24"/>
          <w:szCs w:val="24"/>
        </w:rPr>
      </w:pPr>
      <w:r w:rsidRPr="001743A8">
        <w:rPr>
          <w:rFonts w:ascii="Arial" w:hAnsi="Arial" w:cs="Arial"/>
          <w:sz w:val="24"/>
          <w:szCs w:val="24"/>
        </w:rPr>
        <w:t>Wright A, et al. A profession-wide collaboration to embed role-play simulation into Australian entry-level physiotherapy clinical training. Physiotherapy. 2015;101(Supplement 1):e1047</w:t>
      </w:r>
    </w:p>
    <w:p w14:paraId="6400488F" w14:textId="56E3F622" w:rsidR="006331AA" w:rsidRPr="001743A8" w:rsidRDefault="00DC17A4" w:rsidP="00335134">
      <w:pPr>
        <w:spacing w:after="0" w:line="360" w:lineRule="auto"/>
        <w:jc w:val="both"/>
        <w:rPr>
          <w:rFonts w:ascii="Arial" w:eastAsia="Times New Roman" w:hAnsi="Arial" w:cs="Arial"/>
          <w:sz w:val="24"/>
          <w:szCs w:val="24"/>
          <w:lang w:eastAsia="en-GB"/>
        </w:rPr>
      </w:pPr>
      <w:hyperlink r:id="rId34" w:history="1">
        <w:r w:rsidR="006331AA" w:rsidRPr="001743A8">
          <w:rPr>
            <w:rFonts w:ascii="Arial" w:eastAsia="Times New Roman" w:hAnsi="Arial" w:cs="Arial"/>
            <w:sz w:val="24"/>
            <w:szCs w:val="24"/>
            <w:shd w:val="clear" w:color="auto" w:fill="FFFFFF"/>
            <w:lang w:eastAsia="en-GB"/>
          </w:rPr>
          <w:t>Yet-</w:t>
        </w:r>
        <w:proofErr w:type="spellStart"/>
        <w:r w:rsidR="006331AA" w:rsidRPr="001743A8">
          <w:rPr>
            <w:rFonts w:ascii="Arial" w:eastAsia="Times New Roman" w:hAnsi="Arial" w:cs="Arial"/>
            <w:sz w:val="24"/>
            <w:szCs w:val="24"/>
            <w:shd w:val="clear" w:color="auto" w:fill="FFFFFF"/>
            <w:lang w:eastAsia="en-GB"/>
          </w:rPr>
          <w:t>Mee</w:t>
        </w:r>
        <w:proofErr w:type="spellEnd"/>
        <w:r w:rsidR="006331AA" w:rsidRPr="001743A8">
          <w:rPr>
            <w:rFonts w:ascii="Arial" w:eastAsia="Times New Roman" w:hAnsi="Arial" w:cs="Arial"/>
            <w:sz w:val="24"/>
            <w:szCs w:val="24"/>
            <w:shd w:val="clear" w:color="auto" w:fill="FFFFFF"/>
            <w:lang w:eastAsia="en-GB"/>
          </w:rPr>
          <w:t xml:space="preserve"> Lim</w:t>
        </w:r>
      </w:hyperlink>
      <w:r w:rsidR="006331AA" w:rsidRPr="001743A8">
        <w:rPr>
          <w:rFonts w:ascii="Arial" w:eastAsia="Times New Roman" w:hAnsi="Arial" w:cs="Arial"/>
          <w:sz w:val="24"/>
          <w:szCs w:val="24"/>
          <w:shd w:val="clear" w:color="auto" w:fill="FFFFFF"/>
          <w:lang w:eastAsia="en-GB"/>
        </w:rPr>
        <w:t> et al.</w:t>
      </w:r>
      <w:r w:rsidR="007872D9"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Journal of Education for Business</w:t>
      </w:r>
      <w:r w:rsidR="007872D9" w:rsidRPr="001743A8">
        <w:rPr>
          <w:rFonts w:ascii="Arial" w:eastAsia="Times New Roman" w:hAnsi="Arial" w:cs="Arial"/>
          <w:sz w:val="24"/>
          <w:szCs w:val="24"/>
          <w:lang w:eastAsia="en-GB"/>
        </w:rPr>
        <w:t xml:space="preserve">. </w:t>
      </w:r>
      <w:r w:rsidR="006331AA" w:rsidRPr="001743A8">
        <w:rPr>
          <w:rFonts w:ascii="Arial" w:eastAsia="Times New Roman" w:hAnsi="Arial" w:cs="Arial"/>
          <w:sz w:val="24"/>
          <w:szCs w:val="24"/>
          <w:lang w:eastAsia="en-GB"/>
        </w:rPr>
        <w:t>Volume 91, 2016 - Issue 4</w:t>
      </w:r>
    </w:p>
    <w:p w14:paraId="79EC939A" w14:textId="77777777" w:rsidR="006331AA" w:rsidRPr="001743A8" w:rsidRDefault="006331AA" w:rsidP="00335134">
      <w:pPr>
        <w:spacing w:line="360" w:lineRule="auto"/>
        <w:jc w:val="both"/>
        <w:rPr>
          <w:rFonts w:ascii="Arial" w:hAnsi="Arial" w:cs="Arial"/>
          <w:sz w:val="24"/>
          <w:szCs w:val="24"/>
        </w:rPr>
      </w:pPr>
    </w:p>
    <w:p w14:paraId="03E76C3E" w14:textId="77777777" w:rsidR="006331AA" w:rsidRPr="001743A8" w:rsidRDefault="006331AA" w:rsidP="00335134">
      <w:pPr>
        <w:spacing w:line="360" w:lineRule="auto"/>
        <w:jc w:val="both"/>
        <w:rPr>
          <w:rFonts w:ascii="Arial" w:hAnsi="Arial" w:cs="Arial"/>
          <w:sz w:val="24"/>
          <w:szCs w:val="24"/>
        </w:rPr>
      </w:pPr>
    </w:p>
    <w:p w14:paraId="60302C36" w14:textId="77777777" w:rsidR="006331AA" w:rsidRPr="001743A8" w:rsidRDefault="006331AA" w:rsidP="00335134">
      <w:pPr>
        <w:spacing w:line="360" w:lineRule="auto"/>
        <w:jc w:val="both"/>
        <w:rPr>
          <w:rFonts w:ascii="Arial" w:hAnsi="Arial" w:cs="Arial"/>
          <w:sz w:val="24"/>
          <w:szCs w:val="24"/>
        </w:rPr>
      </w:pPr>
    </w:p>
    <w:p w14:paraId="331CFB78" w14:textId="77777777" w:rsidR="006331AA" w:rsidRPr="001743A8" w:rsidRDefault="006331AA" w:rsidP="00335134">
      <w:pPr>
        <w:spacing w:line="360" w:lineRule="auto"/>
        <w:jc w:val="both"/>
        <w:rPr>
          <w:rFonts w:ascii="Arial" w:hAnsi="Arial" w:cs="Arial"/>
          <w:sz w:val="24"/>
          <w:szCs w:val="24"/>
        </w:rPr>
      </w:pPr>
    </w:p>
    <w:p w14:paraId="025E3F9E" w14:textId="74BB545B" w:rsidR="006A640D" w:rsidRPr="001743A8" w:rsidRDefault="006A640D" w:rsidP="00335134">
      <w:pPr>
        <w:spacing w:line="360" w:lineRule="auto"/>
        <w:jc w:val="both"/>
        <w:rPr>
          <w:rFonts w:ascii="Arial" w:hAnsi="Arial" w:cs="Arial"/>
          <w:sz w:val="24"/>
          <w:szCs w:val="24"/>
        </w:rPr>
      </w:pPr>
    </w:p>
    <w:p w14:paraId="51A01D99" w14:textId="069C4EC7" w:rsidR="006A640D" w:rsidRPr="001743A8" w:rsidRDefault="006A640D" w:rsidP="00335134">
      <w:pPr>
        <w:spacing w:line="360" w:lineRule="auto"/>
        <w:jc w:val="both"/>
        <w:rPr>
          <w:rFonts w:ascii="Arial" w:hAnsi="Arial" w:cs="Arial"/>
          <w:sz w:val="24"/>
          <w:szCs w:val="24"/>
        </w:rPr>
      </w:pPr>
    </w:p>
    <w:p w14:paraId="3586D3C1" w14:textId="10765414" w:rsidR="006A640D" w:rsidRPr="001743A8" w:rsidRDefault="006A640D" w:rsidP="00335134">
      <w:pPr>
        <w:spacing w:line="360" w:lineRule="auto"/>
        <w:jc w:val="both"/>
        <w:rPr>
          <w:rFonts w:ascii="Arial" w:hAnsi="Arial" w:cs="Arial"/>
          <w:sz w:val="24"/>
          <w:szCs w:val="24"/>
        </w:rPr>
      </w:pPr>
    </w:p>
    <w:p w14:paraId="26844940" w14:textId="3BFAE8C1" w:rsidR="006A640D" w:rsidRPr="001743A8" w:rsidRDefault="006A640D" w:rsidP="00335134">
      <w:pPr>
        <w:spacing w:line="360" w:lineRule="auto"/>
        <w:jc w:val="both"/>
        <w:rPr>
          <w:rFonts w:ascii="Arial" w:hAnsi="Arial" w:cs="Arial"/>
          <w:sz w:val="24"/>
          <w:szCs w:val="24"/>
        </w:rPr>
      </w:pPr>
    </w:p>
    <w:p w14:paraId="23BFF90D" w14:textId="16C21F66" w:rsidR="006A640D" w:rsidRPr="001743A8" w:rsidRDefault="006A640D" w:rsidP="00335134">
      <w:pPr>
        <w:spacing w:line="360" w:lineRule="auto"/>
        <w:jc w:val="both"/>
        <w:rPr>
          <w:rFonts w:ascii="Arial" w:hAnsi="Arial" w:cs="Arial"/>
          <w:sz w:val="24"/>
          <w:szCs w:val="24"/>
        </w:rPr>
      </w:pPr>
    </w:p>
    <w:p w14:paraId="303B3DF5" w14:textId="6BC4B8CB" w:rsidR="006A640D" w:rsidRPr="001743A8" w:rsidRDefault="006A640D" w:rsidP="00335134">
      <w:pPr>
        <w:spacing w:line="360" w:lineRule="auto"/>
        <w:jc w:val="both"/>
        <w:rPr>
          <w:rFonts w:ascii="Arial" w:hAnsi="Arial" w:cs="Arial"/>
          <w:sz w:val="24"/>
          <w:szCs w:val="24"/>
        </w:rPr>
      </w:pPr>
    </w:p>
    <w:p w14:paraId="74F226F3" w14:textId="08CD2501" w:rsidR="006A640D" w:rsidRPr="001743A8" w:rsidRDefault="006A640D" w:rsidP="00335134">
      <w:pPr>
        <w:spacing w:line="360" w:lineRule="auto"/>
        <w:jc w:val="both"/>
        <w:rPr>
          <w:rFonts w:ascii="Arial" w:hAnsi="Arial" w:cs="Arial"/>
          <w:sz w:val="24"/>
          <w:szCs w:val="24"/>
        </w:rPr>
      </w:pPr>
    </w:p>
    <w:p w14:paraId="41113A0E" w14:textId="4CED08BF" w:rsidR="006A640D" w:rsidRPr="001743A8" w:rsidRDefault="006A640D" w:rsidP="00335134">
      <w:pPr>
        <w:spacing w:line="360" w:lineRule="auto"/>
        <w:jc w:val="both"/>
        <w:rPr>
          <w:rFonts w:ascii="Arial" w:hAnsi="Arial" w:cs="Arial"/>
          <w:sz w:val="24"/>
          <w:szCs w:val="24"/>
        </w:rPr>
      </w:pPr>
    </w:p>
    <w:p w14:paraId="3C75632D" w14:textId="7E6A7C60" w:rsidR="006A640D" w:rsidRPr="001743A8" w:rsidRDefault="006A640D" w:rsidP="00335134">
      <w:pPr>
        <w:spacing w:line="360" w:lineRule="auto"/>
        <w:jc w:val="both"/>
        <w:rPr>
          <w:rFonts w:ascii="Arial" w:hAnsi="Arial" w:cs="Arial"/>
          <w:sz w:val="24"/>
          <w:szCs w:val="24"/>
        </w:rPr>
      </w:pPr>
    </w:p>
    <w:p w14:paraId="56327692" w14:textId="68FB9714" w:rsidR="006A640D" w:rsidRPr="001743A8" w:rsidRDefault="006A640D" w:rsidP="00335134">
      <w:pPr>
        <w:spacing w:line="360" w:lineRule="auto"/>
        <w:jc w:val="both"/>
        <w:rPr>
          <w:rFonts w:ascii="Arial" w:hAnsi="Arial" w:cs="Arial"/>
          <w:sz w:val="24"/>
          <w:szCs w:val="24"/>
        </w:rPr>
      </w:pPr>
    </w:p>
    <w:p w14:paraId="5C4EEF41" w14:textId="5B3D7CBC" w:rsidR="006A640D" w:rsidRPr="001743A8" w:rsidRDefault="006A640D" w:rsidP="00335134">
      <w:pPr>
        <w:spacing w:line="360" w:lineRule="auto"/>
        <w:jc w:val="both"/>
        <w:rPr>
          <w:rFonts w:ascii="Arial" w:hAnsi="Arial" w:cs="Arial"/>
          <w:sz w:val="24"/>
          <w:szCs w:val="24"/>
        </w:rPr>
      </w:pPr>
    </w:p>
    <w:p w14:paraId="60E71641" w14:textId="77777777" w:rsidR="006A640D" w:rsidRPr="001743A8" w:rsidRDefault="006A640D" w:rsidP="00335134">
      <w:pPr>
        <w:spacing w:line="360" w:lineRule="auto"/>
        <w:jc w:val="both"/>
        <w:rPr>
          <w:rFonts w:ascii="Arial" w:hAnsi="Arial" w:cs="Arial"/>
          <w:sz w:val="24"/>
          <w:szCs w:val="24"/>
        </w:rPr>
      </w:pPr>
    </w:p>
    <w:sectPr w:rsidR="006A640D" w:rsidRPr="001743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66024" w14:textId="77777777" w:rsidR="00DC17A4" w:rsidRDefault="00DC17A4" w:rsidP="00D428FD">
      <w:pPr>
        <w:spacing w:after="0" w:line="240" w:lineRule="auto"/>
      </w:pPr>
      <w:r>
        <w:separator/>
      </w:r>
    </w:p>
  </w:endnote>
  <w:endnote w:type="continuationSeparator" w:id="0">
    <w:p w14:paraId="2D0C526C" w14:textId="77777777" w:rsidR="00DC17A4" w:rsidRDefault="00DC17A4" w:rsidP="00D4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4C977" w14:textId="77777777" w:rsidR="00DC17A4" w:rsidRDefault="00DC17A4" w:rsidP="00D428FD">
      <w:pPr>
        <w:spacing w:after="0" w:line="240" w:lineRule="auto"/>
      </w:pPr>
      <w:r>
        <w:separator/>
      </w:r>
    </w:p>
  </w:footnote>
  <w:footnote w:type="continuationSeparator" w:id="0">
    <w:p w14:paraId="72B95B2A" w14:textId="77777777" w:rsidR="00DC17A4" w:rsidRDefault="00DC17A4" w:rsidP="00D42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F694E"/>
    <w:multiLevelType w:val="hybridMultilevel"/>
    <w:tmpl w:val="4F02945C"/>
    <w:lvl w:ilvl="0" w:tplc="BCE652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50B61"/>
    <w:multiLevelType w:val="multilevel"/>
    <w:tmpl w:val="89C0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5F4ADA"/>
    <w:multiLevelType w:val="multilevel"/>
    <w:tmpl w:val="D3560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80791F"/>
    <w:multiLevelType w:val="multilevel"/>
    <w:tmpl w:val="BE984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F32204"/>
    <w:multiLevelType w:val="hybridMultilevel"/>
    <w:tmpl w:val="7D709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47E52"/>
    <w:multiLevelType w:val="hybridMultilevel"/>
    <w:tmpl w:val="46E40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E2740B"/>
    <w:multiLevelType w:val="hybridMultilevel"/>
    <w:tmpl w:val="4ACA8428"/>
    <w:lvl w:ilvl="0" w:tplc="BCE652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3248AE"/>
    <w:multiLevelType w:val="multilevel"/>
    <w:tmpl w:val="DC042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573C34"/>
    <w:multiLevelType w:val="multilevel"/>
    <w:tmpl w:val="D3560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6"/>
  </w:num>
  <w:num w:numId="4">
    <w:abstractNumId w:val="0"/>
  </w:num>
  <w:num w:numId="5">
    <w:abstractNumId w:val="4"/>
  </w:num>
  <w:num w:numId="6">
    <w:abstractNumId w:val="7"/>
  </w:num>
  <w:num w:numId="7">
    <w:abstractNumId w:val="8"/>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I0NDQztjAwNjSztDBT0lEKTi0uzszPAykwrQUAegMK2iwAAAA="/>
  </w:docVars>
  <w:rsids>
    <w:rsidRoot w:val="00F80827"/>
    <w:rsid w:val="00001C09"/>
    <w:rsid w:val="000033F9"/>
    <w:rsid w:val="00012CE1"/>
    <w:rsid w:val="00014213"/>
    <w:rsid w:val="00015CBE"/>
    <w:rsid w:val="00020DD8"/>
    <w:rsid w:val="0002198F"/>
    <w:rsid w:val="00021C14"/>
    <w:rsid w:val="00025141"/>
    <w:rsid w:val="00032E7E"/>
    <w:rsid w:val="00036985"/>
    <w:rsid w:val="000467EF"/>
    <w:rsid w:val="000568BF"/>
    <w:rsid w:val="000619E5"/>
    <w:rsid w:val="0006264C"/>
    <w:rsid w:val="00065263"/>
    <w:rsid w:val="0006672E"/>
    <w:rsid w:val="00070D1A"/>
    <w:rsid w:val="00075A2C"/>
    <w:rsid w:val="000776D3"/>
    <w:rsid w:val="00080C55"/>
    <w:rsid w:val="0008163D"/>
    <w:rsid w:val="00083AF8"/>
    <w:rsid w:val="000844D4"/>
    <w:rsid w:val="0009197E"/>
    <w:rsid w:val="0009265D"/>
    <w:rsid w:val="000A5767"/>
    <w:rsid w:val="000B714F"/>
    <w:rsid w:val="000C009B"/>
    <w:rsid w:val="000C130C"/>
    <w:rsid w:val="000C45A7"/>
    <w:rsid w:val="000D0D58"/>
    <w:rsid w:val="000D0E9D"/>
    <w:rsid w:val="000D331B"/>
    <w:rsid w:val="000D7F41"/>
    <w:rsid w:val="000E0ADB"/>
    <w:rsid w:val="000E3D8E"/>
    <w:rsid w:val="000E4041"/>
    <w:rsid w:val="000E456E"/>
    <w:rsid w:val="000E6453"/>
    <w:rsid w:val="000E6E09"/>
    <w:rsid w:val="000F5BAC"/>
    <w:rsid w:val="000F5BD4"/>
    <w:rsid w:val="00105588"/>
    <w:rsid w:val="00106FC7"/>
    <w:rsid w:val="00112325"/>
    <w:rsid w:val="0011270B"/>
    <w:rsid w:val="00114D68"/>
    <w:rsid w:val="00120551"/>
    <w:rsid w:val="0012517A"/>
    <w:rsid w:val="001360DB"/>
    <w:rsid w:val="00151883"/>
    <w:rsid w:val="00154DDF"/>
    <w:rsid w:val="001609CF"/>
    <w:rsid w:val="00165289"/>
    <w:rsid w:val="001662D5"/>
    <w:rsid w:val="00166B71"/>
    <w:rsid w:val="0017131E"/>
    <w:rsid w:val="00171C33"/>
    <w:rsid w:val="0017283E"/>
    <w:rsid w:val="00172BE9"/>
    <w:rsid w:val="001743A8"/>
    <w:rsid w:val="001745BF"/>
    <w:rsid w:val="00176118"/>
    <w:rsid w:val="00180D9C"/>
    <w:rsid w:val="00187DDD"/>
    <w:rsid w:val="0019055E"/>
    <w:rsid w:val="001962CD"/>
    <w:rsid w:val="0019674E"/>
    <w:rsid w:val="001A0D48"/>
    <w:rsid w:val="001A4E9D"/>
    <w:rsid w:val="001A7444"/>
    <w:rsid w:val="001B147D"/>
    <w:rsid w:val="001B7621"/>
    <w:rsid w:val="001C309E"/>
    <w:rsid w:val="001D1930"/>
    <w:rsid w:val="001D52CB"/>
    <w:rsid w:val="001E4CAB"/>
    <w:rsid w:val="001E5673"/>
    <w:rsid w:val="001E7B88"/>
    <w:rsid w:val="001F4430"/>
    <w:rsid w:val="001F4A9E"/>
    <w:rsid w:val="001F589F"/>
    <w:rsid w:val="001F708F"/>
    <w:rsid w:val="00200C77"/>
    <w:rsid w:val="0020131B"/>
    <w:rsid w:val="00201BDA"/>
    <w:rsid w:val="0020513A"/>
    <w:rsid w:val="00206C94"/>
    <w:rsid w:val="002149A7"/>
    <w:rsid w:val="002157A6"/>
    <w:rsid w:val="0021613B"/>
    <w:rsid w:val="00221E9D"/>
    <w:rsid w:val="00224213"/>
    <w:rsid w:val="00226BF9"/>
    <w:rsid w:val="00226EC6"/>
    <w:rsid w:val="002273A0"/>
    <w:rsid w:val="00231BA4"/>
    <w:rsid w:val="002421AA"/>
    <w:rsid w:val="00242D20"/>
    <w:rsid w:val="002447A4"/>
    <w:rsid w:val="002536F4"/>
    <w:rsid w:val="00257707"/>
    <w:rsid w:val="00261894"/>
    <w:rsid w:val="00263AD4"/>
    <w:rsid w:val="00264BAC"/>
    <w:rsid w:val="00265E5B"/>
    <w:rsid w:val="00266073"/>
    <w:rsid w:val="00266150"/>
    <w:rsid w:val="0026789A"/>
    <w:rsid w:val="00271AAE"/>
    <w:rsid w:val="002729A9"/>
    <w:rsid w:val="002773A1"/>
    <w:rsid w:val="00277A5E"/>
    <w:rsid w:val="00277B02"/>
    <w:rsid w:val="0028194F"/>
    <w:rsid w:val="00281EC8"/>
    <w:rsid w:val="002859AA"/>
    <w:rsid w:val="00286108"/>
    <w:rsid w:val="002948D2"/>
    <w:rsid w:val="00295EAE"/>
    <w:rsid w:val="00296E3D"/>
    <w:rsid w:val="002A4ACA"/>
    <w:rsid w:val="002B3BC7"/>
    <w:rsid w:val="002B625F"/>
    <w:rsid w:val="002C3B49"/>
    <w:rsid w:val="002D1306"/>
    <w:rsid w:val="002D24B1"/>
    <w:rsid w:val="002D3663"/>
    <w:rsid w:val="002D55F5"/>
    <w:rsid w:val="002D5C24"/>
    <w:rsid w:val="002E0DA3"/>
    <w:rsid w:val="002E1DF1"/>
    <w:rsid w:val="002E4414"/>
    <w:rsid w:val="002F1769"/>
    <w:rsid w:val="002F240B"/>
    <w:rsid w:val="002F42D0"/>
    <w:rsid w:val="00302B2C"/>
    <w:rsid w:val="003072E8"/>
    <w:rsid w:val="003104F1"/>
    <w:rsid w:val="00310658"/>
    <w:rsid w:val="00314A3D"/>
    <w:rsid w:val="00316C95"/>
    <w:rsid w:val="00321FF5"/>
    <w:rsid w:val="0032425D"/>
    <w:rsid w:val="00325C4B"/>
    <w:rsid w:val="00326DCE"/>
    <w:rsid w:val="0032754B"/>
    <w:rsid w:val="003344AF"/>
    <w:rsid w:val="003349BA"/>
    <w:rsid w:val="00335134"/>
    <w:rsid w:val="00335F55"/>
    <w:rsid w:val="00342398"/>
    <w:rsid w:val="00345921"/>
    <w:rsid w:val="0034666F"/>
    <w:rsid w:val="0034741E"/>
    <w:rsid w:val="00352607"/>
    <w:rsid w:val="00352F7A"/>
    <w:rsid w:val="00360931"/>
    <w:rsid w:val="0036182A"/>
    <w:rsid w:val="0036244F"/>
    <w:rsid w:val="0036415D"/>
    <w:rsid w:val="00370F20"/>
    <w:rsid w:val="0037613D"/>
    <w:rsid w:val="003817E9"/>
    <w:rsid w:val="00381FF4"/>
    <w:rsid w:val="00384117"/>
    <w:rsid w:val="0038626D"/>
    <w:rsid w:val="00394FA1"/>
    <w:rsid w:val="00395CC6"/>
    <w:rsid w:val="00395DF8"/>
    <w:rsid w:val="003A4F6C"/>
    <w:rsid w:val="003A6DCF"/>
    <w:rsid w:val="003A74A7"/>
    <w:rsid w:val="003B57A3"/>
    <w:rsid w:val="003B7F11"/>
    <w:rsid w:val="003C11EF"/>
    <w:rsid w:val="003C365C"/>
    <w:rsid w:val="003C53C1"/>
    <w:rsid w:val="003C54C7"/>
    <w:rsid w:val="003D42A0"/>
    <w:rsid w:val="003E7B07"/>
    <w:rsid w:val="003F309D"/>
    <w:rsid w:val="00405D8C"/>
    <w:rsid w:val="00407A66"/>
    <w:rsid w:val="00410340"/>
    <w:rsid w:val="004141F3"/>
    <w:rsid w:val="004200FF"/>
    <w:rsid w:val="00420AA4"/>
    <w:rsid w:val="00424650"/>
    <w:rsid w:val="0042657C"/>
    <w:rsid w:val="00431981"/>
    <w:rsid w:val="00432A1A"/>
    <w:rsid w:val="00435B64"/>
    <w:rsid w:val="004450AD"/>
    <w:rsid w:val="00446A0B"/>
    <w:rsid w:val="004502F1"/>
    <w:rsid w:val="004507F6"/>
    <w:rsid w:val="00460FC8"/>
    <w:rsid w:val="00461959"/>
    <w:rsid w:val="00464386"/>
    <w:rsid w:val="00481257"/>
    <w:rsid w:val="00481BC1"/>
    <w:rsid w:val="0048315D"/>
    <w:rsid w:val="00484642"/>
    <w:rsid w:val="004869B0"/>
    <w:rsid w:val="00487879"/>
    <w:rsid w:val="00491198"/>
    <w:rsid w:val="00495E2E"/>
    <w:rsid w:val="004A2BF3"/>
    <w:rsid w:val="004A6BEF"/>
    <w:rsid w:val="004A6F52"/>
    <w:rsid w:val="004B5315"/>
    <w:rsid w:val="004B59B5"/>
    <w:rsid w:val="004B5A90"/>
    <w:rsid w:val="004B7418"/>
    <w:rsid w:val="004B7681"/>
    <w:rsid w:val="004C3474"/>
    <w:rsid w:val="004C6D88"/>
    <w:rsid w:val="004C7093"/>
    <w:rsid w:val="004D1C9F"/>
    <w:rsid w:val="004D3F2E"/>
    <w:rsid w:val="004D4067"/>
    <w:rsid w:val="004E74C7"/>
    <w:rsid w:val="004F1F60"/>
    <w:rsid w:val="004F3EAD"/>
    <w:rsid w:val="00500CA7"/>
    <w:rsid w:val="00501518"/>
    <w:rsid w:val="00510DB0"/>
    <w:rsid w:val="00520A71"/>
    <w:rsid w:val="005234A4"/>
    <w:rsid w:val="005253EF"/>
    <w:rsid w:val="00531177"/>
    <w:rsid w:val="00531CA4"/>
    <w:rsid w:val="00532E6A"/>
    <w:rsid w:val="00533286"/>
    <w:rsid w:val="00534F5D"/>
    <w:rsid w:val="00536350"/>
    <w:rsid w:val="00546835"/>
    <w:rsid w:val="005512BA"/>
    <w:rsid w:val="00551358"/>
    <w:rsid w:val="005575C2"/>
    <w:rsid w:val="00566C07"/>
    <w:rsid w:val="00567584"/>
    <w:rsid w:val="00567CE5"/>
    <w:rsid w:val="00570747"/>
    <w:rsid w:val="00571680"/>
    <w:rsid w:val="0058147F"/>
    <w:rsid w:val="0058430A"/>
    <w:rsid w:val="0059117F"/>
    <w:rsid w:val="005911BF"/>
    <w:rsid w:val="0059386C"/>
    <w:rsid w:val="00593FDE"/>
    <w:rsid w:val="005A3DC9"/>
    <w:rsid w:val="005A5D44"/>
    <w:rsid w:val="005A78BD"/>
    <w:rsid w:val="005A7E50"/>
    <w:rsid w:val="005B3315"/>
    <w:rsid w:val="005B60C6"/>
    <w:rsid w:val="005B6E71"/>
    <w:rsid w:val="005C1692"/>
    <w:rsid w:val="005C2975"/>
    <w:rsid w:val="005C30C3"/>
    <w:rsid w:val="005C404B"/>
    <w:rsid w:val="005C4250"/>
    <w:rsid w:val="005C523E"/>
    <w:rsid w:val="005C7BEF"/>
    <w:rsid w:val="005D1275"/>
    <w:rsid w:val="005D2B8F"/>
    <w:rsid w:val="005D4FDC"/>
    <w:rsid w:val="005D5286"/>
    <w:rsid w:val="005D54B5"/>
    <w:rsid w:val="005D5509"/>
    <w:rsid w:val="005D731B"/>
    <w:rsid w:val="005E1D2B"/>
    <w:rsid w:val="005E29B5"/>
    <w:rsid w:val="005E4ED0"/>
    <w:rsid w:val="005E7329"/>
    <w:rsid w:val="005F013D"/>
    <w:rsid w:val="005F262E"/>
    <w:rsid w:val="005F3211"/>
    <w:rsid w:val="005F59A1"/>
    <w:rsid w:val="005F69C3"/>
    <w:rsid w:val="005F7D7B"/>
    <w:rsid w:val="006064B4"/>
    <w:rsid w:val="00607895"/>
    <w:rsid w:val="00607F35"/>
    <w:rsid w:val="00611370"/>
    <w:rsid w:val="00615D48"/>
    <w:rsid w:val="00617B82"/>
    <w:rsid w:val="00621990"/>
    <w:rsid w:val="00621D7D"/>
    <w:rsid w:val="00631026"/>
    <w:rsid w:val="00631701"/>
    <w:rsid w:val="0063216F"/>
    <w:rsid w:val="006331AA"/>
    <w:rsid w:val="006338EC"/>
    <w:rsid w:val="00635ABF"/>
    <w:rsid w:val="00636E70"/>
    <w:rsid w:val="00643055"/>
    <w:rsid w:val="0064348F"/>
    <w:rsid w:val="00643BD5"/>
    <w:rsid w:val="006450F7"/>
    <w:rsid w:val="00645C22"/>
    <w:rsid w:val="00650083"/>
    <w:rsid w:val="00650D47"/>
    <w:rsid w:val="00653D65"/>
    <w:rsid w:val="0066603B"/>
    <w:rsid w:val="006665CF"/>
    <w:rsid w:val="006701BC"/>
    <w:rsid w:val="006721C9"/>
    <w:rsid w:val="00674E64"/>
    <w:rsid w:val="0067670D"/>
    <w:rsid w:val="006831E6"/>
    <w:rsid w:val="006871B2"/>
    <w:rsid w:val="00687267"/>
    <w:rsid w:val="00694663"/>
    <w:rsid w:val="0069508F"/>
    <w:rsid w:val="006A640D"/>
    <w:rsid w:val="006A7310"/>
    <w:rsid w:val="006B0E68"/>
    <w:rsid w:val="006C1EE6"/>
    <w:rsid w:val="006C68C8"/>
    <w:rsid w:val="006D1627"/>
    <w:rsid w:val="006D1E74"/>
    <w:rsid w:val="006D2617"/>
    <w:rsid w:val="006D4779"/>
    <w:rsid w:val="006D48EB"/>
    <w:rsid w:val="006D6609"/>
    <w:rsid w:val="006D7A00"/>
    <w:rsid w:val="006E1DF1"/>
    <w:rsid w:val="006E2EB0"/>
    <w:rsid w:val="006E371E"/>
    <w:rsid w:val="006F2A8B"/>
    <w:rsid w:val="006F6D0B"/>
    <w:rsid w:val="006F7182"/>
    <w:rsid w:val="006F74AF"/>
    <w:rsid w:val="007062B1"/>
    <w:rsid w:val="0071008B"/>
    <w:rsid w:val="007123EF"/>
    <w:rsid w:val="00712529"/>
    <w:rsid w:val="00714A6F"/>
    <w:rsid w:val="00714FA9"/>
    <w:rsid w:val="00715E43"/>
    <w:rsid w:val="00716A0E"/>
    <w:rsid w:val="00716AFC"/>
    <w:rsid w:val="00720072"/>
    <w:rsid w:val="00722F94"/>
    <w:rsid w:val="0072620C"/>
    <w:rsid w:val="00727F5A"/>
    <w:rsid w:val="00727F78"/>
    <w:rsid w:val="007309EE"/>
    <w:rsid w:val="0073739E"/>
    <w:rsid w:val="007377B3"/>
    <w:rsid w:val="007432E5"/>
    <w:rsid w:val="0074644D"/>
    <w:rsid w:val="007609FD"/>
    <w:rsid w:val="00762786"/>
    <w:rsid w:val="0076370D"/>
    <w:rsid w:val="007643BE"/>
    <w:rsid w:val="00772A2A"/>
    <w:rsid w:val="00775A7A"/>
    <w:rsid w:val="00775B62"/>
    <w:rsid w:val="00780940"/>
    <w:rsid w:val="007809A2"/>
    <w:rsid w:val="0078189B"/>
    <w:rsid w:val="0078482C"/>
    <w:rsid w:val="007848C0"/>
    <w:rsid w:val="007853C9"/>
    <w:rsid w:val="007872D9"/>
    <w:rsid w:val="0079110D"/>
    <w:rsid w:val="00791409"/>
    <w:rsid w:val="00794B54"/>
    <w:rsid w:val="007955FA"/>
    <w:rsid w:val="00797DBA"/>
    <w:rsid w:val="007A14B2"/>
    <w:rsid w:val="007A3AE3"/>
    <w:rsid w:val="007A619E"/>
    <w:rsid w:val="007A6535"/>
    <w:rsid w:val="007B191C"/>
    <w:rsid w:val="007B2929"/>
    <w:rsid w:val="007B4E2B"/>
    <w:rsid w:val="007B6677"/>
    <w:rsid w:val="007B6F65"/>
    <w:rsid w:val="007C1AD8"/>
    <w:rsid w:val="007C27F1"/>
    <w:rsid w:val="007C57C5"/>
    <w:rsid w:val="007D36B7"/>
    <w:rsid w:val="007D4A2D"/>
    <w:rsid w:val="007D4EFC"/>
    <w:rsid w:val="007D6E6A"/>
    <w:rsid w:val="007E09EC"/>
    <w:rsid w:val="007E29AC"/>
    <w:rsid w:val="008009F5"/>
    <w:rsid w:val="00801802"/>
    <w:rsid w:val="008041A5"/>
    <w:rsid w:val="00806742"/>
    <w:rsid w:val="0081738F"/>
    <w:rsid w:val="008173AA"/>
    <w:rsid w:val="00822898"/>
    <w:rsid w:val="008239DF"/>
    <w:rsid w:val="008278C9"/>
    <w:rsid w:val="008315D0"/>
    <w:rsid w:val="008338E5"/>
    <w:rsid w:val="0084269C"/>
    <w:rsid w:val="008456D3"/>
    <w:rsid w:val="00851388"/>
    <w:rsid w:val="0085301D"/>
    <w:rsid w:val="008549D8"/>
    <w:rsid w:val="00855BBF"/>
    <w:rsid w:val="00857389"/>
    <w:rsid w:val="00862F62"/>
    <w:rsid w:val="00863F3C"/>
    <w:rsid w:val="00864FE5"/>
    <w:rsid w:val="00871229"/>
    <w:rsid w:val="008721E4"/>
    <w:rsid w:val="0087337A"/>
    <w:rsid w:val="00877A3F"/>
    <w:rsid w:val="00883723"/>
    <w:rsid w:val="008A35F4"/>
    <w:rsid w:val="008A5B21"/>
    <w:rsid w:val="008B100F"/>
    <w:rsid w:val="008B225F"/>
    <w:rsid w:val="008B3BE4"/>
    <w:rsid w:val="008B4F63"/>
    <w:rsid w:val="008B7683"/>
    <w:rsid w:val="008D0DB8"/>
    <w:rsid w:val="008D31D8"/>
    <w:rsid w:val="008D452A"/>
    <w:rsid w:val="008D6453"/>
    <w:rsid w:val="008D79A5"/>
    <w:rsid w:val="008E1D3B"/>
    <w:rsid w:val="008E2137"/>
    <w:rsid w:val="008E51B7"/>
    <w:rsid w:val="008F3760"/>
    <w:rsid w:val="008F48FB"/>
    <w:rsid w:val="008F5BC8"/>
    <w:rsid w:val="008F615E"/>
    <w:rsid w:val="008F7DEB"/>
    <w:rsid w:val="00902357"/>
    <w:rsid w:val="0090260D"/>
    <w:rsid w:val="00902D23"/>
    <w:rsid w:val="00911F83"/>
    <w:rsid w:val="00914BD6"/>
    <w:rsid w:val="00915691"/>
    <w:rsid w:val="00915C3E"/>
    <w:rsid w:val="00920A80"/>
    <w:rsid w:val="009220F4"/>
    <w:rsid w:val="00923C0C"/>
    <w:rsid w:val="00924CF5"/>
    <w:rsid w:val="00924E70"/>
    <w:rsid w:val="009254BF"/>
    <w:rsid w:val="00935A4C"/>
    <w:rsid w:val="00937619"/>
    <w:rsid w:val="00941125"/>
    <w:rsid w:val="00942879"/>
    <w:rsid w:val="00944D08"/>
    <w:rsid w:val="00945CB9"/>
    <w:rsid w:val="0094646B"/>
    <w:rsid w:val="00947219"/>
    <w:rsid w:val="00954486"/>
    <w:rsid w:val="009546D9"/>
    <w:rsid w:val="00954BA1"/>
    <w:rsid w:val="00961F19"/>
    <w:rsid w:val="00964304"/>
    <w:rsid w:val="0097234A"/>
    <w:rsid w:val="0097766C"/>
    <w:rsid w:val="00986B09"/>
    <w:rsid w:val="00987BF0"/>
    <w:rsid w:val="00990010"/>
    <w:rsid w:val="00993724"/>
    <w:rsid w:val="009A0528"/>
    <w:rsid w:val="009A3068"/>
    <w:rsid w:val="009A59FC"/>
    <w:rsid w:val="009A745F"/>
    <w:rsid w:val="009C75E0"/>
    <w:rsid w:val="009C7680"/>
    <w:rsid w:val="009C7EC6"/>
    <w:rsid w:val="009D0A8F"/>
    <w:rsid w:val="009D5777"/>
    <w:rsid w:val="009E15F9"/>
    <w:rsid w:val="009E4EC6"/>
    <w:rsid w:val="009E75AA"/>
    <w:rsid w:val="009F4D28"/>
    <w:rsid w:val="009F5BE2"/>
    <w:rsid w:val="009F6344"/>
    <w:rsid w:val="009F7FA7"/>
    <w:rsid w:val="00A0285F"/>
    <w:rsid w:val="00A060FD"/>
    <w:rsid w:val="00A07FA9"/>
    <w:rsid w:val="00A1115F"/>
    <w:rsid w:val="00A13BA4"/>
    <w:rsid w:val="00A14118"/>
    <w:rsid w:val="00A16A49"/>
    <w:rsid w:val="00A20EA9"/>
    <w:rsid w:val="00A26ABA"/>
    <w:rsid w:val="00A270AB"/>
    <w:rsid w:val="00A36C6A"/>
    <w:rsid w:val="00A379C5"/>
    <w:rsid w:val="00A40327"/>
    <w:rsid w:val="00A40C24"/>
    <w:rsid w:val="00A44EFD"/>
    <w:rsid w:val="00A5001B"/>
    <w:rsid w:val="00A50338"/>
    <w:rsid w:val="00A55CFA"/>
    <w:rsid w:val="00A57B03"/>
    <w:rsid w:val="00A604D6"/>
    <w:rsid w:val="00A66685"/>
    <w:rsid w:val="00A70C39"/>
    <w:rsid w:val="00A72107"/>
    <w:rsid w:val="00A74267"/>
    <w:rsid w:val="00A75682"/>
    <w:rsid w:val="00A75E28"/>
    <w:rsid w:val="00A76300"/>
    <w:rsid w:val="00A82A07"/>
    <w:rsid w:val="00A84F10"/>
    <w:rsid w:val="00A921C3"/>
    <w:rsid w:val="00A93217"/>
    <w:rsid w:val="00A966E1"/>
    <w:rsid w:val="00A96750"/>
    <w:rsid w:val="00AA2698"/>
    <w:rsid w:val="00AA4F5A"/>
    <w:rsid w:val="00AA5130"/>
    <w:rsid w:val="00AA5D7D"/>
    <w:rsid w:val="00AA6ECD"/>
    <w:rsid w:val="00AA760E"/>
    <w:rsid w:val="00AA7CCA"/>
    <w:rsid w:val="00AB16E5"/>
    <w:rsid w:val="00AB2CE6"/>
    <w:rsid w:val="00AB57DD"/>
    <w:rsid w:val="00AB6FCF"/>
    <w:rsid w:val="00AB726C"/>
    <w:rsid w:val="00AC088F"/>
    <w:rsid w:val="00AC3A57"/>
    <w:rsid w:val="00AD5288"/>
    <w:rsid w:val="00AD666C"/>
    <w:rsid w:val="00AF4606"/>
    <w:rsid w:val="00AF5014"/>
    <w:rsid w:val="00AF553F"/>
    <w:rsid w:val="00B01CE0"/>
    <w:rsid w:val="00B02CD7"/>
    <w:rsid w:val="00B047E7"/>
    <w:rsid w:val="00B062E6"/>
    <w:rsid w:val="00B11E65"/>
    <w:rsid w:val="00B14276"/>
    <w:rsid w:val="00B22EC4"/>
    <w:rsid w:val="00B23385"/>
    <w:rsid w:val="00B30578"/>
    <w:rsid w:val="00B36755"/>
    <w:rsid w:val="00B40CEC"/>
    <w:rsid w:val="00B43624"/>
    <w:rsid w:val="00B46050"/>
    <w:rsid w:val="00B467EA"/>
    <w:rsid w:val="00B521D1"/>
    <w:rsid w:val="00B52F2B"/>
    <w:rsid w:val="00B53F50"/>
    <w:rsid w:val="00B55AF2"/>
    <w:rsid w:val="00B61589"/>
    <w:rsid w:val="00B63821"/>
    <w:rsid w:val="00B66D9C"/>
    <w:rsid w:val="00B712D7"/>
    <w:rsid w:val="00B74519"/>
    <w:rsid w:val="00B7472D"/>
    <w:rsid w:val="00B7791F"/>
    <w:rsid w:val="00B81A50"/>
    <w:rsid w:val="00B828B8"/>
    <w:rsid w:val="00B83933"/>
    <w:rsid w:val="00B84492"/>
    <w:rsid w:val="00B84E9C"/>
    <w:rsid w:val="00B870E5"/>
    <w:rsid w:val="00B90925"/>
    <w:rsid w:val="00B96DA5"/>
    <w:rsid w:val="00BA0E48"/>
    <w:rsid w:val="00BA1F71"/>
    <w:rsid w:val="00BA4069"/>
    <w:rsid w:val="00BB3D28"/>
    <w:rsid w:val="00BB49DD"/>
    <w:rsid w:val="00BB6C3C"/>
    <w:rsid w:val="00BC0D94"/>
    <w:rsid w:val="00BC1230"/>
    <w:rsid w:val="00BC51A0"/>
    <w:rsid w:val="00BD1537"/>
    <w:rsid w:val="00BD3C3B"/>
    <w:rsid w:val="00BD44C6"/>
    <w:rsid w:val="00BE3A4D"/>
    <w:rsid w:val="00BE4D79"/>
    <w:rsid w:val="00BE62BD"/>
    <w:rsid w:val="00BF03C0"/>
    <w:rsid w:val="00BF1195"/>
    <w:rsid w:val="00BF1BE6"/>
    <w:rsid w:val="00BF3C04"/>
    <w:rsid w:val="00BF6274"/>
    <w:rsid w:val="00BF6327"/>
    <w:rsid w:val="00BF7F08"/>
    <w:rsid w:val="00C07670"/>
    <w:rsid w:val="00C17A95"/>
    <w:rsid w:val="00C245E5"/>
    <w:rsid w:val="00C2591F"/>
    <w:rsid w:val="00C26FA5"/>
    <w:rsid w:val="00C3261B"/>
    <w:rsid w:val="00C3267D"/>
    <w:rsid w:val="00C35136"/>
    <w:rsid w:val="00C3519B"/>
    <w:rsid w:val="00C36DD6"/>
    <w:rsid w:val="00C53E03"/>
    <w:rsid w:val="00C66BA6"/>
    <w:rsid w:val="00C72156"/>
    <w:rsid w:val="00C740CF"/>
    <w:rsid w:val="00C74D11"/>
    <w:rsid w:val="00C75857"/>
    <w:rsid w:val="00C76E51"/>
    <w:rsid w:val="00C77FDF"/>
    <w:rsid w:val="00C802C6"/>
    <w:rsid w:val="00C82224"/>
    <w:rsid w:val="00C8643B"/>
    <w:rsid w:val="00C87465"/>
    <w:rsid w:val="00C87DBB"/>
    <w:rsid w:val="00C919B1"/>
    <w:rsid w:val="00C94859"/>
    <w:rsid w:val="00C95FB8"/>
    <w:rsid w:val="00C9608E"/>
    <w:rsid w:val="00CA014A"/>
    <w:rsid w:val="00CA5989"/>
    <w:rsid w:val="00CA7C4B"/>
    <w:rsid w:val="00CB10C0"/>
    <w:rsid w:val="00CB26D8"/>
    <w:rsid w:val="00CB3E37"/>
    <w:rsid w:val="00CC0165"/>
    <w:rsid w:val="00CC063B"/>
    <w:rsid w:val="00CC0926"/>
    <w:rsid w:val="00CC20BA"/>
    <w:rsid w:val="00CC29CA"/>
    <w:rsid w:val="00CD2459"/>
    <w:rsid w:val="00CD2E12"/>
    <w:rsid w:val="00CD370E"/>
    <w:rsid w:val="00CD3947"/>
    <w:rsid w:val="00CD3AED"/>
    <w:rsid w:val="00CE3231"/>
    <w:rsid w:val="00CE5CF4"/>
    <w:rsid w:val="00CE60AC"/>
    <w:rsid w:val="00CE770E"/>
    <w:rsid w:val="00CF46C3"/>
    <w:rsid w:val="00D002A0"/>
    <w:rsid w:val="00D02A2E"/>
    <w:rsid w:val="00D04018"/>
    <w:rsid w:val="00D102B7"/>
    <w:rsid w:val="00D10A96"/>
    <w:rsid w:val="00D12D87"/>
    <w:rsid w:val="00D15976"/>
    <w:rsid w:val="00D17DAD"/>
    <w:rsid w:val="00D202C8"/>
    <w:rsid w:val="00D25162"/>
    <w:rsid w:val="00D26576"/>
    <w:rsid w:val="00D27EC1"/>
    <w:rsid w:val="00D4005F"/>
    <w:rsid w:val="00D428FD"/>
    <w:rsid w:val="00D475E1"/>
    <w:rsid w:val="00D506B1"/>
    <w:rsid w:val="00D56003"/>
    <w:rsid w:val="00D579E2"/>
    <w:rsid w:val="00D6178D"/>
    <w:rsid w:val="00D61AF9"/>
    <w:rsid w:val="00D61CE2"/>
    <w:rsid w:val="00D62CD7"/>
    <w:rsid w:val="00D71B6A"/>
    <w:rsid w:val="00D7423B"/>
    <w:rsid w:val="00D74E17"/>
    <w:rsid w:val="00D77717"/>
    <w:rsid w:val="00D8283F"/>
    <w:rsid w:val="00D831E6"/>
    <w:rsid w:val="00D86E0A"/>
    <w:rsid w:val="00D87409"/>
    <w:rsid w:val="00D9532C"/>
    <w:rsid w:val="00D954D5"/>
    <w:rsid w:val="00D979A5"/>
    <w:rsid w:val="00DA0E0C"/>
    <w:rsid w:val="00DA4828"/>
    <w:rsid w:val="00DA6637"/>
    <w:rsid w:val="00DB0509"/>
    <w:rsid w:val="00DB5082"/>
    <w:rsid w:val="00DB618F"/>
    <w:rsid w:val="00DB7451"/>
    <w:rsid w:val="00DB74BD"/>
    <w:rsid w:val="00DC0366"/>
    <w:rsid w:val="00DC17A4"/>
    <w:rsid w:val="00DC39AF"/>
    <w:rsid w:val="00DC3AD0"/>
    <w:rsid w:val="00DD0052"/>
    <w:rsid w:val="00DD3845"/>
    <w:rsid w:val="00DD3954"/>
    <w:rsid w:val="00DD4F57"/>
    <w:rsid w:val="00DD68B0"/>
    <w:rsid w:val="00DD7130"/>
    <w:rsid w:val="00DE22DB"/>
    <w:rsid w:val="00DE4506"/>
    <w:rsid w:val="00DE571C"/>
    <w:rsid w:val="00DF0F15"/>
    <w:rsid w:val="00DF3BA0"/>
    <w:rsid w:val="00E003E7"/>
    <w:rsid w:val="00E00B61"/>
    <w:rsid w:val="00E00F3B"/>
    <w:rsid w:val="00E03EE3"/>
    <w:rsid w:val="00E13E75"/>
    <w:rsid w:val="00E16EE4"/>
    <w:rsid w:val="00E17C2C"/>
    <w:rsid w:val="00E22337"/>
    <w:rsid w:val="00E24816"/>
    <w:rsid w:val="00E26503"/>
    <w:rsid w:val="00E308D8"/>
    <w:rsid w:val="00E332CA"/>
    <w:rsid w:val="00E37177"/>
    <w:rsid w:val="00E376DA"/>
    <w:rsid w:val="00E37ABD"/>
    <w:rsid w:val="00E53F4C"/>
    <w:rsid w:val="00E54D31"/>
    <w:rsid w:val="00E600CA"/>
    <w:rsid w:val="00E62417"/>
    <w:rsid w:val="00E639A2"/>
    <w:rsid w:val="00E64C7B"/>
    <w:rsid w:val="00E663E5"/>
    <w:rsid w:val="00E66581"/>
    <w:rsid w:val="00E667E0"/>
    <w:rsid w:val="00E70E9E"/>
    <w:rsid w:val="00E71717"/>
    <w:rsid w:val="00E74354"/>
    <w:rsid w:val="00E75821"/>
    <w:rsid w:val="00E758D0"/>
    <w:rsid w:val="00E77DE6"/>
    <w:rsid w:val="00E8533D"/>
    <w:rsid w:val="00E916EE"/>
    <w:rsid w:val="00E923F2"/>
    <w:rsid w:val="00E96071"/>
    <w:rsid w:val="00EA62C3"/>
    <w:rsid w:val="00EB2AB8"/>
    <w:rsid w:val="00EB7DF0"/>
    <w:rsid w:val="00EC1B44"/>
    <w:rsid w:val="00EC3AD2"/>
    <w:rsid w:val="00ED1873"/>
    <w:rsid w:val="00ED2126"/>
    <w:rsid w:val="00ED2CFC"/>
    <w:rsid w:val="00ED44D3"/>
    <w:rsid w:val="00EE089B"/>
    <w:rsid w:val="00EE3264"/>
    <w:rsid w:val="00EE37F8"/>
    <w:rsid w:val="00EE3A1A"/>
    <w:rsid w:val="00EE3A20"/>
    <w:rsid w:val="00EE4973"/>
    <w:rsid w:val="00EE61E7"/>
    <w:rsid w:val="00EE7D58"/>
    <w:rsid w:val="00EF342C"/>
    <w:rsid w:val="00EF4885"/>
    <w:rsid w:val="00EF4EF9"/>
    <w:rsid w:val="00F038AA"/>
    <w:rsid w:val="00F07E3A"/>
    <w:rsid w:val="00F10D17"/>
    <w:rsid w:val="00F172C7"/>
    <w:rsid w:val="00F210FD"/>
    <w:rsid w:val="00F21C18"/>
    <w:rsid w:val="00F266CB"/>
    <w:rsid w:val="00F26ED6"/>
    <w:rsid w:val="00F27455"/>
    <w:rsid w:val="00F27767"/>
    <w:rsid w:val="00F27EE6"/>
    <w:rsid w:val="00F32095"/>
    <w:rsid w:val="00F334F2"/>
    <w:rsid w:val="00F4154F"/>
    <w:rsid w:val="00F4272F"/>
    <w:rsid w:val="00F43BDC"/>
    <w:rsid w:val="00F47C00"/>
    <w:rsid w:val="00F51AA0"/>
    <w:rsid w:val="00F526FD"/>
    <w:rsid w:val="00F549D7"/>
    <w:rsid w:val="00F57E62"/>
    <w:rsid w:val="00F66B46"/>
    <w:rsid w:val="00F75B3E"/>
    <w:rsid w:val="00F76D57"/>
    <w:rsid w:val="00F76FBE"/>
    <w:rsid w:val="00F80827"/>
    <w:rsid w:val="00F81595"/>
    <w:rsid w:val="00F84C07"/>
    <w:rsid w:val="00F8520F"/>
    <w:rsid w:val="00F85E0A"/>
    <w:rsid w:val="00F872C4"/>
    <w:rsid w:val="00F8785C"/>
    <w:rsid w:val="00F878C8"/>
    <w:rsid w:val="00F9549F"/>
    <w:rsid w:val="00F965B6"/>
    <w:rsid w:val="00FB39D5"/>
    <w:rsid w:val="00FB3F10"/>
    <w:rsid w:val="00FB534D"/>
    <w:rsid w:val="00FC1D9E"/>
    <w:rsid w:val="00FC2C12"/>
    <w:rsid w:val="00FC4D8B"/>
    <w:rsid w:val="00FC66BE"/>
    <w:rsid w:val="00FD0D8B"/>
    <w:rsid w:val="00FD1059"/>
    <w:rsid w:val="00FD5A0B"/>
    <w:rsid w:val="00FD7617"/>
    <w:rsid w:val="00FE19CD"/>
    <w:rsid w:val="00FE49DF"/>
    <w:rsid w:val="00FF1534"/>
    <w:rsid w:val="00FF5A96"/>
    <w:rsid w:val="00FF6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3EEB8"/>
  <w15:chartTrackingRefBased/>
  <w15:docId w15:val="{627DCE2A-EEE5-4BCF-BDEE-52AD4E5D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8FD"/>
  </w:style>
  <w:style w:type="paragraph" w:styleId="Footer">
    <w:name w:val="footer"/>
    <w:basedOn w:val="Normal"/>
    <w:link w:val="FooterChar"/>
    <w:uiPriority w:val="99"/>
    <w:unhideWhenUsed/>
    <w:rsid w:val="00D4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8FD"/>
  </w:style>
  <w:style w:type="paragraph" w:styleId="ListParagraph">
    <w:name w:val="List Paragraph"/>
    <w:basedOn w:val="Normal"/>
    <w:uiPriority w:val="34"/>
    <w:qFormat/>
    <w:rsid w:val="00AB16E5"/>
    <w:pPr>
      <w:ind w:left="720"/>
      <w:contextualSpacing/>
    </w:pPr>
  </w:style>
  <w:style w:type="character" w:styleId="Hyperlink">
    <w:name w:val="Hyperlink"/>
    <w:basedOn w:val="DefaultParagraphFont"/>
    <w:uiPriority w:val="99"/>
    <w:unhideWhenUsed/>
    <w:rsid w:val="003A6DCF"/>
    <w:rPr>
      <w:color w:val="0000FF"/>
      <w:u w:val="single"/>
    </w:rPr>
  </w:style>
  <w:style w:type="character" w:customStyle="1" w:styleId="hgkelc">
    <w:name w:val="hgkelc"/>
    <w:basedOn w:val="DefaultParagraphFont"/>
    <w:rsid w:val="00A14118"/>
  </w:style>
  <w:style w:type="character" w:customStyle="1" w:styleId="kx21rb">
    <w:name w:val="kx21rb"/>
    <w:basedOn w:val="DefaultParagraphFont"/>
    <w:rsid w:val="00A14118"/>
  </w:style>
  <w:style w:type="character" w:customStyle="1" w:styleId="hlfld-contribauthor">
    <w:name w:val="hlfld-contribauthor"/>
    <w:basedOn w:val="DefaultParagraphFont"/>
    <w:rsid w:val="0063216F"/>
  </w:style>
  <w:style w:type="character" w:customStyle="1" w:styleId="nlmgiven-names">
    <w:name w:val="nlm_given-names"/>
    <w:basedOn w:val="DefaultParagraphFont"/>
    <w:rsid w:val="0063216F"/>
  </w:style>
  <w:style w:type="character" w:customStyle="1" w:styleId="nlmyear">
    <w:name w:val="nlm_year"/>
    <w:basedOn w:val="DefaultParagraphFont"/>
    <w:rsid w:val="0063216F"/>
  </w:style>
  <w:style w:type="character" w:customStyle="1" w:styleId="nlmpublisher-loc">
    <w:name w:val="nlm_publisher-loc"/>
    <w:basedOn w:val="DefaultParagraphFont"/>
    <w:rsid w:val="0063216F"/>
  </w:style>
  <w:style w:type="character" w:customStyle="1" w:styleId="nlmpublisher-name">
    <w:name w:val="nlm_publisher-name"/>
    <w:basedOn w:val="DefaultParagraphFont"/>
    <w:rsid w:val="0063216F"/>
  </w:style>
  <w:style w:type="character" w:styleId="Emphasis">
    <w:name w:val="Emphasis"/>
    <w:basedOn w:val="DefaultParagraphFont"/>
    <w:uiPriority w:val="20"/>
    <w:qFormat/>
    <w:rsid w:val="00B43624"/>
    <w:rPr>
      <w:i/>
      <w:iCs/>
    </w:rPr>
  </w:style>
  <w:style w:type="character" w:styleId="CommentReference">
    <w:name w:val="annotation reference"/>
    <w:basedOn w:val="DefaultParagraphFont"/>
    <w:uiPriority w:val="99"/>
    <w:semiHidden/>
    <w:unhideWhenUsed/>
    <w:rsid w:val="003E7B07"/>
    <w:rPr>
      <w:sz w:val="16"/>
      <w:szCs w:val="16"/>
    </w:rPr>
  </w:style>
  <w:style w:type="paragraph" w:styleId="CommentText">
    <w:name w:val="annotation text"/>
    <w:basedOn w:val="Normal"/>
    <w:link w:val="CommentTextChar"/>
    <w:uiPriority w:val="99"/>
    <w:semiHidden/>
    <w:unhideWhenUsed/>
    <w:rsid w:val="003E7B07"/>
    <w:pPr>
      <w:spacing w:line="240" w:lineRule="auto"/>
    </w:pPr>
    <w:rPr>
      <w:sz w:val="20"/>
      <w:szCs w:val="20"/>
    </w:rPr>
  </w:style>
  <w:style w:type="character" w:customStyle="1" w:styleId="CommentTextChar">
    <w:name w:val="Comment Text Char"/>
    <w:basedOn w:val="DefaultParagraphFont"/>
    <w:link w:val="CommentText"/>
    <w:uiPriority w:val="99"/>
    <w:semiHidden/>
    <w:rsid w:val="003E7B07"/>
    <w:rPr>
      <w:sz w:val="20"/>
      <w:szCs w:val="20"/>
    </w:rPr>
  </w:style>
  <w:style w:type="paragraph" w:styleId="CommentSubject">
    <w:name w:val="annotation subject"/>
    <w:basedOn w:val="CommentText"/>
    <w:next w:val="CommentText"/>
    <w:link w:val="CommentSubjectChar"/>
    <w:uiPriority w:val="99"/>
    <w:semiHidden/>
    <w:unhideWhenUsed/>
    <w:rsid w:val="003E7B07"/>
    <w:rPr>
      <w:b/>
      <w:bCs/>
    </w:rPr>
  </w:style>
  <w:style w:type="character" w:customStyle="1" w:styleId="CommentSubjectChar">
    <w:name w:val="Comment Subject Char"/>
    <w:basedOn w:val="CommentTextChar"/>
    <w:link w:val="CommentSubject"/>
    <w:uiPriority w:val="99"/>
    <w:semiHidden/>
    <w:rsid w:val="003E7B07"/>
    <w:rPr>
      <w:b/>
      <w:bCs/>
      <w:sz w:val="20"/>
      <w:szCs w:val="20"/>
    </w:rPr>
  </w:style>
  <w:style w:type="paragraph" w:styleId="BalloonText">
    <w:name w:val="Balloon Text"/>
    <w:basedOn w:val="Normal"/>
    <w:link w:val="BalloonTextChar"/>
    <w:uiPriority w:val="99"/>
    <w:semiHidden/>
    <w:unhideWhenUsed/>
    <w:rsid w:val="003E7B0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E7B07"/>
    <w:rPr>
      <w:rFonts w:ascii="Times New Roman" w:hAnsi="Times New Roman" w:cs="Times New Roman"/>
      <w:sz w:val="18"/>
      <w:szCs w:val="18"/>
    </w:rPr>
  </w:style>
  <w:style w:type="paragraph" w:styleId="Revision">
    <w:name w:val="Revision"/>
    <w:hidden/>
    <w:uiPriority w:val="99"/>
    <w:semiHidden/>
    <w:rsid w:val="003E7B07"/>
    <w:pPr>
      <w:spacing w:after="0" w:line="240" w:lineRule="auto"/>
    </w:pPr>
  </w:style>
  <w:style w:type="character" w:styleId="UnresolvedMention">
    <w:name w:val="Unresolved Mention"/>
    <w:basedOn w:val="DefaultParagraphFont"/>
    <w:uiPriority w:val="99"/>
    <w:semiHidden/>
    <w:unhideWhenUsed/>
    <w:rsid w:val="005C7BEF"/>
    <w:rPr>
      <w:color w:val="605E5C"/>
      <w:shd w:val="clear" w:color="auto" w:fill="E1DFDD"/>
    </w:rPr>
  </w:style>
  <w:style w:type="character" w:customStyle="1" w:styleId="nlmsource">
    <w:name w:val="nlm_source"/>
    <w:basedOn w:val="DefaultParagraphFont"/>
    <w:rsid w:val="002D24B1"/>
  </w:style>
  <w:style w:type="character" w:customStyle="1" w:styleId="separator">
    <w:name w:val="separator"/>
    <w:basedOn w:val="DefaultParagraphFont"/>
    <w:rsid w:val="001D52CB"/>
  </w:style>
  <w:style w:type="paragraph" w:customStyle="1" w:styleId="muted">
    <w:name w:val="muted"/>
    <w:basedOn w:val="Normal"/>
    <w:rsid w:val="00AB2C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2CE6"/>
    <w:rPr>
      <w:b/>
      <w:bCs/>
    </w:rPr>
  </w:style>
  <w:style w:type="character" w:customStyle="1" w:styleId="nlmarticle-title">
    <w:name w:val="nlm_article-title"/>
    <w:basedOn w:val="DefaultParagraphFont"/>
    <w:rsid w:val="00EE3A20"/>
  </w:style>
  <w:style w:type="character" w:customStyle="1" w:styleId="nlmfpage">
    <w:name w:val="nlm_fpage"/>
    <w:basedOn w:val="DefaultParagraphFont"/>
    <w:rsid w:val="00EE3A20"/>
  </w:style>
  <w:style w:type="paragraph" w:styleId="NormalWeb">
    <w:name w:val="Normal (Web)"/>
    <w:basedOn w:val="Normal"/>
    <w:uiPriority w:val="99"/>
    <w:semiHidden/>
    <w:unhideWhenUsed/>
    <w:rsid w:val="00435B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095669">
      <w:bodyDiv w:val="1"/>
      <w:marLeft w:val="0"/>
      <w:marRight w:val="0"/>
      <w:marTop w:val="0"/>
      <w:marBottom w:val="0"/>
      <w:divBdr>
        <w:top w:val="none" w:sz="0" w:space="0" w:color="auto"/>
        <w:left w:val="none" w:sz="0" w:space="0" w:color="auto"/>
        <w:bottom w:val="none" w:sz="0" w:space="0" w:color="auto"/>
        <w:right w:val="none" w:sz="0" w:space="0" w:color="auto"/>
      </w:divBdr>
      <w:divsChild>
        <w:div w:id="1341201764">
          <w:marLeft w:val="0"/>
          <w:marRight w:val="0"/>
          <w:marTop w:val="0"/>
          <w:marBottom w:val="0"/>
          <w:divBdr>
            <w:top w:val="none" w:sz="0" w:space="0" w:color="auto"/>
            <w:left w:val="none" w:sz="0" w:space="0" w:color="auto"/>
            <w:bottom w:val="none" w:sz="0" w:space="0" w:color="auto"/>
            <w:right w:val="none" w:sz="0" w:space="0" w:color="auto"/>
          </w:divBdr>
        </w:div>
        <w:div w:id="658071515">
          <w:marLeft w:val="0"/>
          <w:marRight w:val="0"/>
          <w:marTop w:val="0"/>
          <w:marBottom w:val="0"/>
          <w:divBdr>
            <w:top w:val="none" w:sz="0" w:space="0" w:color="auto"/>
            <w:left w:val="none" w:sz="0" w:space="0" w:color="auto"/>
            <w:bottom w:val="none" w:sz="0" w:space="0" w:color="auto"/>
            <w:right w:val="none" w:sz="0" w:space="0" w:color="auto"/>
          </w:divBdr>
        </w:div>
      </w:divsChild>
    </w:div>
    <w:div w:id="357050340">
      <w:bodyDiv w:val="1"/>
      <w:marLeft w:val="0"/>
      <w:marRight w:val="0"/>
      <w:marTop w:val="0"/>
      <w:marBottom w:val="0"/>
      <w:divBdr>
        <w:top w:val="none" w:sz="0" w:space="0" w:color="auto"/>
        <w:left w:val="none" w:sz="0" w:space="0" w:color="auto"/>
        <w:bottom w:val="none" w:sz="0" w:space="0" w:color="auto"/>
        <w:right w:val="none" w:sz="0" w:space="0" w:color="auto"/>
      </w:divBdr>
      <w:divsChild>
        <w:div w:id="864563283">
          <w:marLeft w:val="0"/>
          <w:marRight w:val="0"/>
          <w:marTop w:val="0"/>
          <w:marBottom w:val="0"/>
          <w:divBdr>
            <w:top w:val="none" w:sz="0" w:space="0" w:color="auto"/>
            <w:left w:val="none" w:sz="0" w:space="0" w:color="auto"/>
            <w:bottom w:val="none" w:sz="0" w:space="0" w:color="auto"/>
            <w:right w:val="none" w:sz="0" w:space="0" w:color="auto"/>
          </w:divBdr>
        </w:div>
        <w:div w:id="1795322932">
          <w:marLeft w:val="0"/>
          <w:marRight w:val="0"/>
          <w:marTop w:val="0"/>
          <w:marBottom w:val="0"/>
          <w:divBdr>
            <w:top w:val="none" w:sz="0" w:space="0" w:color="auto"/>
            <w:left w:val="none" w:sz="0" w:space="0" w:color="auto"/>
            <w:bottom w:val="none" w:sz="0" w:space="0" w:color="auto"/>
            <w:right w:val="none" w:sz="0" w:space="0" w:color="auto"/>
          </w:divBdr>
        </w:div>
      </w:divsChild>
    </w:div>
    <w:div w:id="389619787">
      <w:bodyDiv w:val="1"/>
      <w:marLeft w:val="0"/>
      <w:marRight w:val="0"/>
      <w:marTop w:val="0"/>
      <w:marBottom w:val="0"/>
      <w:divBdr>
        <w:top w:val="none" w:sz="0" w:space="0" w:color="auto"/>
        <w:left w:val="none" w:sz="0" w:space="0" w:color="auto"/>
        <w:bottom w:val="none" w:sz="0" w:space="0" w:color="auto"/>
        <w:right w:val="none" w:sz="0" w:space="0" w:color="auto"/>
      </w:divBdr>
    </w:div>
    <w:div w:id="444929770">
      <w:bodyDiv w:val="1"/>
      <w:marLeft w:val="0"/>
      <w:marRight w:val="0"/>
      <w:marTop w:val="0"/>
      <w:marBottom w:val="0"/>
      <w:divBdr>
        <w:top w:val="none" w:sz="0" w:space="0" w:color="auto"/>
        <w:left w:val="none" w:sz="0" w:space="0" w:color="auto"/>
        <w:bottom w:val="none" w:sz="0" w:space="0" w:color="auto"/>
        <w:right w:val="none" w:sz="0" w:space="0" w:color="auto"/>
      </w:divBdr>
    </w:div>
    <w:div w:id="686710805">
      <w:bodyDiv w:val="1"/>
      <w:marLeft w:val="0"/>
      <w:marRight w:val="0"/>
      <w:marTop w:val="0"/>
      <w:marBottom w:val="0"/>
      <w:divBdr>
        <w:top w:val="none" w:sz="0" w:space="0" w:color="auto"/>
        <w:left w:val="none" w:sz="0" w:space="0" w:color="auto"/>
        <w:bottom w:val="none" w:sz="0" w:space="0" w:color="auto"/>
        <w:right w:val="none" w:sz="0" w:space="0" w:color="auto"/>
      </w:divBdr>
    </w:div>
    <w:div w:id="695277638">
      <w:bodyDiv w:val="1"/>
      <w:marLeft w:val="0"/>
      <w:marRight w:val="0"/>
      <w:marTop w:val="0"/>
      <w:marBottom w:val="0"/>
      <w:divBdr>
        <w:top w:val="none" w:sz="0" w:space="0" w:color="auto"/>
        <w:left w:val="none" w:sz="0" w:space="0" w:color="auto"/>
        <w:bottom w:val="none" w:sz="0" w:space="0" w:color="auto"/>
        <w:right w:val="none" w:sz="0" w:space="0" w:color="auto"/>
      </w:divBdr>
      <w:divsChild>
        <w:div w:id="1122771523">
          <w:marLeft w:val="0"/>
          <w:marRight w:val="0"/>
          <w:marTop w:val="0"/>
          <w:marBottom w:val="0"/>
          <w:divBdr>
            <w:top w:val="none" w:sz="0" w:space="0" w:color="auto"/>
            <w:left w:val="none" w:sz="0" w:space="0" w:color="auto"/>
            <w:bottom w:val="none" w:sz="0" w:space="0" w:color="auto"/>
            <w:right w:val="none" w:sz="0" w:space="0" w:color="auto"/>
          </w:divBdr>
        </w:div>
      </w:divsChild>
    </w:div>
    <w:div w:id="749353598">
      <w:bodyDiv w:val="1"/>
      <w:marLeft w:val="0"/>
      <w:marRight w:val="0"/>
      <w:marTop w:val="0"/>
      <w:marBottom w:val="0"/>
      <w:divBdr>
        <w:top w:val="none" w:sz="0" w:space="0" w:color="auto"/>
        <w:left w:val="none" w:sz="0" w:space="0" w:color="auto"/>
        <w:bottom w:val="none" w:sz="0" w:space="0" w:color="auto"/>
        <w:right w:val="none" w:sz="0" w:space="0" w:color="auto"/>
      </w:divBdr>
    </w:div>
    <w:div w:id="901601994">
      <w:bodyDiv w:val="1"/>
      <w:marLeft w:val="0"/>
      <w:marRight w:val="0"/>
      <w:marTop w:val="0"/>
      <w:marBottom w:val="0"/>
      <w:divBdr>
        <w:top w:val="none" w:sz="0" w:space="0" w:color="auto"/>
        <w:left w:val="none" w:sz="0" w:space="0" w:color="auto"/>
        <w:bottom w:val="none" w:sz="0" w:space="0" w:color="auto"/>
        <w:right w:val="none" w:sz="0" w:space="0" w:color="auto"/>
      </w:divBdr>
    </w:div>
    <w:div w:id="934559659">
      <w:bodyDiv w:val="1"/>
      <w:marLeft w:val="0"/>
      <w:marRight w:val="0"/>
      <w:marTop w:val="0"/>
      <w:marBottom w:val="0"/>
      <w:divBdr>
        <w:top w:val="none" w:sz="0" w:space="0" w:color="auto"/>
        <w:left w:val="none" w:sz="0" w:space="0" w:color="auto"/>
        <w:bottom w:val="none" w:sz="0" w:space="0" w:color="auto"/>
        <w:right w:val="none" w:sz="0" w:space="0" w:color="auto"/>
      </w:divBdr>
      <w:divsChild>
        <w:div w:id="2048021057">
          <w:marLeft w:val="0"/>
          <w:marRight w:val="0"/>
          <w:marTop w:val="150"/>
          <w:marBottom w:val="0"/>
          <w:divBdr>
            <w:top w:val="none" w:sz="0" w:space="0" w:color="auto"/>
            <w:left w:val="none" w:sz="0" w:space="0" w:color="auto"/>
            <w:bottom w:val="none" w:sz="0" w:space="0" w:color="auto"/>
            <w:right w:val="none" w:sz="0" w:space="0" w:color="auto"/>
          </w:divBdr>
          <w:divsChild>
            <w:div w:id="164385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912159">
      <w:bodyDiv w:val="1"/>
      <w:marLeft w:val="0"/>
      <w:marRight w:val="0"/>
      <w:marTop w:val="0"/>
      <w:marBottom w:val="0"/>
      <w:divBdr>
        <w:top w:val="none" w:sz="0" w:space="0" w:color="auto"/>
        <w:left w:val="none" w:sz="0" w:space="0" w:color="auto"/>
        <w:bottom w:val="none" w:sz="0" w:space="0" w:color="auto"/>
        <w:right w:val="none" w:sz="0" w:space="0" w:color="auto"/>
      </w:divBdr>
    </w:div>
    <w:div w:id="999651564">
      <w:bodyDiv w:val="1"/>
      <w:marLeft w:val="0"/>
      <w:marRight w:val="0"/>
      <w:marTop w:val="0"/>
      <w:marBottom w:val="0"/>
      <w:divBdr>
        <w:top w:val="none" w:sz="0" w:space="0" w:color="auto"/>
        <w:left w:val="none" w:sz="0" w:space="0" w:color="auto"/>
        <w:bottom w:val="none" w:sz="0" w:space="0" w:color="auto"/>
        <w:right w:val="none" w:sz="0" w:space="0" w:color="auto"/>
      </w:divBdr>
    </w:div>
    <w:div w:id="1130628660">
      <w:bodyDiv w:val="1"/>
      <w:marLeft w:val="0"/>
      <w:marRight w:val="0"/>
      <w:marTop w:val="0"/>
      <w:marBottom w:val="0"/>
      <w:divBdr>
        <w:top w:val="none" w:sz="0" w:space="0" w:color="auto"/>
        <w:left w:val="none" w:sz="0" w:space="0" w:color="auto"/>
        <w:bottom w:val="none" w:sz="0" w:space="0" w:color="auto"/>
        <w:right w:val="none" w:sz="0" w:space="0" w:color="auto"/>
      </w:divBdr>
    </w:div>
    <w:div w:id="1153256419">
      <w:bodyDiv w:val="1"/>
      <w:marLeft w:val="0"/>
      <w:marRight w:val="0"/>
      <w:marTop w:val="0"/>
      <w:marBottom w:val="0"/>
      <w:divBdr>
        <w:top w:val="none" w:sz="0" w:space="0" w:color="auto"/>
        <w:left w:val="none" w:sz="0" w:space="0" w:color="auto"/>
        <w:bottom w:val="none" w:sz="0" w:space="0" w:color="auto"/>
        <w:right w:val="none" w:sz="0" w:space="0" w:color="auto"/>
      </w:divBdr>
    </w:div>
    <w:div w:id="1206680535">
      <w:bodyDiv w:val="1"/>
      <w:marLeft w:val="0"/>
      <w:marRight w:val="0"/>
      <w:marTop w:val="0"/>
      <w:marBottom w:val="0"/>
      <w:divBdr>
        <w:top w:val="none" w:sz="0" w:space="0" w:color="auto"/>
        <w:left w:val="none" w:sz="0" w:space="0" w:color="auto"/>
        <w:bottom w:val="none" w:sz="0" w:space="0" w:color="auto"/>
        <w:right w:val="none" w:sz="0" w:space="0" w:color="auto"/>
      </w:divBdr>
    </w:div>
    <w:div w:id="1209302322">
      <w:bodyDiv w:val="1"/>
      <w:marLeft w:val="0"/>
      <w:marRight w:val="0"/>
      <w:marTop w:val="0"/>
      <w:marBottom w:val="0"/>
      <w:divBdr>
        <w:top w:val="none" w:sz="0" w:space="0" w:color="auto"/>
        <w:left w:val="none" w:sz="0" w:space="0" w:color="auto"/>
        <w:bottom w:val="none" w:sz="0" w:space="0" w:color="auto"/>
        <w:right w:val="none" w:sz="0" w:space="0" w:color="auto"/>
      </w:divBdr>
    </w:div>
    <w:div w:id="1402827656">
      <w:bodyDiv w:val="1"/>
      <w:marLeft w:val="0"/>
      <w:marRight w:val="0"/>
      <w:marTop w:val="0"/>
      <w:marBottom w:val="0"/>
      <w:divBdr>
        <w:top w:val="none" w:sz="0" w:space="0" w:color="auto"/>
        <w:left w:val="none" w:sz="0" w:space="0" w:color="auto"/>
        <w:bottom w:val="none" w:sz="0" w:space="0" w:color="auto"/>
        <w:right w:val="none" w:sz="0" w:space="0" w:color="auto"/>
      </w:divBdr>
      <w:divsChild>
        <w:div w:id="1257707677">
          <w:marLeft w:val="0"/>
          <w:marRight w:val="0"/>
          <w:marTop w:val="150"/>
          <w:marBottom w:val="0"/>
          <w:divBdr>
            <w:top w:val="none" w:sz="0" w:space="0" w:color="auto"/>
            <w:left w:val="none" w:sz="0" w:space="0" w:color="auto"/>
            <w:bottom w:val="none" w:sz="0" w:space="0" w:color="auto"/>
            <w:right w:val="none" w:sz="0" w:space="0" w:color="auto"/>
          </w:divBdr>
          <w:divsChild>
            <w:div w:id="162890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964739">
      <w:bodyDiv w:val="1"/>
      <w:marLeft w:val="0"/>
      <w:marRight w:val="0"/>
      <w:marTop w:val="0"/>
      <w:marBottom w:val="0"/>
      <w:divBdr>
        <w:top w:val="none" w:sz="0" w:space="0" w:color="auto"/>
        <w:left w:val="none" w:sz="0" w:space="0" w:color="auto"/>
        <w:bottom w:val="none" w:sz="0" w:space="0" w:color="auto"/>
        <w:right w:val="none" w:sz="0" w:space="0" w:color="auto"/>
      </w:divBdr>
    </w:div>
    <w:div w:id="1561330489">
      <w:bodyDiv w:val="1"/>
      <w:marLeft w:val="0"/>
      <w:marRight w:val="0"/>
      <w:marTop w:val="0"/>
      <w:marBottom w:val="0"/>
      <w:divBdr>
        <w:top w:val="none" w:sz="0" w:space="0" w:color="auto"/>
        <w:left w:val="none" w:sz="0" w:space="0" w:color="auto"/>
        <w:bottom w:val="none" w:sz="0" w:space="0" w:color="auto"/>
        <w:right w:val="none" w:sz="0" w:space="0" w:color="auto"/>
      </w:divBdr>
    </w:div>
    <w:div w:id="1613828669">
      <w:bodyDiv w:val="1"/>
      <w:marLeft w:val="0"/>
      <w:marRight w:val="0"/>
      <w:marTop w:val="0"/>
      <w:marBottom w:val="0"/>
      <w:divBdr>
        <w:top w:val="none" w:sz="0" w:space="0" w:color="auto"/>
        <w:left w:val="none" w:sz="0" w:space="0" w:color="auto"/>
        <w:bottom w:val="none" w:sz="0" w:space="0" w:color="auto"/>
        <w:right w:val="none" w:sz="0" w:space="0" w:color="auto"/>
      </w:divBdr>
    </w:div>
    <w:div w:id="1748379464">
      <w:bodyDiv w:val="1"/>
      <w:marLeft w:val="0"/>
      <w:marRight w:val="0"/>
      <w:marTop w:val="0"/>
      <w:marBottom w:val="0"/>
      <w:divBdr>
        <w:top w:val="none" w:sz="0" w:space="0" w:color="auto"/>
        <w:left w:val="none" w:sz="0" w:space="0" w:color="auto"/>
        <w:bottom w:val="none" w:sz="0" w:space="0" w:color="auto"/>
        <w:right w:val="none" w:sz="0" w:space="0" w:color="auto"/>
      </w:divBdr>
    </w:div>
    <w:div w:id="1951356904">
      <w:bodyDiv w:val="1"/>
      <w:marLeft w:val="0"/>
      <w:marRight w:val="0"/>
      <w:marTop w:val="0"/>
      <w:marBottom w:val="0"/>
      <w:divBdr>
        <w:top w:val="none" w:sz="0" w:space="0" w:color="auto"/>
        <w:left w:val="none" w:sz="0" w:space="0" w:color="auto"/>
        <w:bottom w:val="none" w:sz="0" w:space="0" w:color="auto"/>
        <w:right w:val="none" w:sz="0" w:space="0" w:color="auto"/>
      </w:divBdr>
    </w:div>
    <w:div w:id="2092919848">
      <w:bodyDiv w:val="1"/>
      <w:marLeft w:val="0"/>
      <w:marRight w:val="0"/>
      <w:marTop w:val="0"/>
      <w:marBottom w:val="0"/>
      <w:divBdr>
        <w:top w:val="none" w:sz="0" w:space="0" w:color="auto"/>
        <w:left w:val="none" w:sz="0" w:space="0" w:color="auto"/>
        <w:bottom w:val="none" w:sz="0" w:space="0" w:color="auto"/>
        <w:right w:val="none" w:sz="0" w:space="0" w:color="auto"/>
      </w:divBdr>
      <w:divsChild>
        <w:div w:id="794910273">
          <w:marLeft w:val="0"/>
          <w:marRight w:val="0"/>
          <w:marTop w:val="0"/>
          <w:marBottom w:val="0"/>
          <w:divBdr>
            <w:top w:val="none" w:sz="0" w:space="0" w:color="auto"/>
            <w:left w:val="none" w:sz="0" w:space="0" w:color="auto"/>
            <w:bottom w:val="none" w:sz="0" w:space="0" w:color="auto"/>
            <w:right w:val="none" w:sz="0" w:space="0" w:color="auto"/>
          </w:divBdr>
          <w:divsChild>
            <w:div w:id="1352150023">
              <w:marLeft w:val="0"/>
              <w:marRight w:val="0"/>
              <w:marTop w:val="0"/>
              <w:marBottom w:val="0"/>
              <w:divBdr>
                <w:top w:val="none" w:sz="0" w:space="0" w:color="auto"/>
                <w:left w:val="none" w:sz="0" w:space="0" w:color="auto"/>
                <w:bottom w:val="none" w:sz="0" w:space="0" w:color="auto"/>
                <w:right w:val="none" w:sz="0" w:space="0" w:color="auto"/>
              </w:divBdr>
              <w:divsChild>
                <w:div w:id="98991822">
                  <w:marLeft w:val="0"/>
                  <w:marRight w:val="0"/>
                  <w:marTop w:val="0"/>
                  <w:marBottom w:val="0"/>
                  <w:divBdr>
                    <w:top w:val="none" w:sz="0" w:space="0" w:color="auto"/>
                    <w:left w:val="none" w:sz="0" w:space="0" w:color="auto"/>
                    <w:bottom w:val="none" w:sz="0" w:space="0" w:color="auto"/>
                    <w:right w:val="none" w:sz="0" w:space="0" w:color="auto"/>
                  </w:divBdr>
                  <w:divsChild>
                    <w:div w:id="152457702">
                      <w:marLeft w:val="0"/>
                      <w:marRight w:val="0"/>
                      <w:marTop w:val="0"/>
                      <w:marBottom w:val="0"/>
                      <w:divBdr>
                        <w:top w:val="none" w:sz="0" w:space="0" w:color="auto"/>
                        <w:left w:val="none" w:sz="0" w:space="0" w:color="auto"/>
                        <w:bottom w:val="none" w:sz="0" w:space="0" w:color="auto"/>
                        <w:right w:val="none" w:sz="0" w:space="0" w:color="auto"/>
                      </w:divBdr>
                      <w:divsChild>
                        <w:div w:id="1060397130">
                          <w:marLeft w:val="0"/>
                          <w:marRight w:val="0"/>
                          <w:marTop w:val="0"/>
                          <w:marBottom w:val="0"/>
                          <w:divBdr>
                            <w:top w:val="none" w:sz="0" w:space="0" w:color="auto"/>
                            <w:left w:val="none" w:sz="0" w:space="0" w:color="auto"/>
                            <w:bottom w:val="none" w:sz="0" w:space="0" w:color="auto"/>
                            <w:right w:val="none" w:sz="0" w:space="0" w:color="auto"/>
                          </w:divBdr>
                          <w:divsChild>
                            <w:div w:id="1552037026">
                              <w:marLeft w:val="0"/>
                              <w:marRight w:val="0"/>
                              <w:marTop w:val="0"/>
                              <w:marBottom w:val="0"/>
                              <w:divBdr>
                                <w:top w:val="none" w:sz="0" w:space="0" w:color="auto"/>
                                <w:left w:val="none" w:sz="0" w:space="0" w:color="auto"/>
                                <w:bottom w:val="none" w:sz="0" w:space="0" w:color="auto"/>
                                <w:right w:val="none" w:sz="0" w:space="0" w:color="auto"/>
                              </w:divBdr>
                              <w:divsChild>
                                <w:div w:id="364907206">
                                  <w:marLeft w:val="0"/>
                                  <w:marRight w:val="0"/>
                                  <w:marTop w:val="0"/>
                                  <w:marBottom w:val="0"/>
                                  <w:divBdr>
                                    <w:top w:val="none" w:sz="0" w:space="0" w:color="auto"/>
                                    <w:left w:val="none" w:sz="0" w:space="0" w:color="auto"/>
                                    <w:bottom w:val="none" w:sz="0" w:space="0" w:color="auto"/>
                                    <w:right w:val="none" w:sz="0" w:space="0" w:color="auto"/>
                                  </w:divBdr>
                                  <w:divsChild>
                                    <w:div w:id="1247156683">
                                      <w:marLeft w:val="0"/>
                                      <w:marRight w:val="0"/>
                                      <w:marTop w:val="0"/>
                                      <w:marBottom w:val="0"/>
                                      <w:divBdr>
                                        <w:top w:val="none" w:sz="0" w:space="0" w:color="auto"/>
                                        <w:left w:val="none" w:sz="0" w:space="0" w:color="auto"/>
                                        <w:bottom w:val="none" w:sz="0" w:space="0" w:color="auto"/>
                                        <w:right w:val="none" w:sz="0" w:space="0" w:color="auto"/>
                                      </w:divBdr>
                                      <w:divsChild>
                                        <w:div w:id="61899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5152690">
          <w:marLeft w:val="0"/>
          <w:marRight w:val="0"/>
          <w:marTop w:val="0"/>
          <w:marBottom w:val="0"/>
          <w:divBdr>
            <w:top w:val="none" w:sz="0" w:space="0" w:color="auto"/>
            <w:left w:val="none" w:sz="0" w:space="0" w:color="auto"/>
            <w:bottom w:val="none" w:sz="0" w:space="0" w:color="auto"/>
            <w:right w:val="none" w:sz="0" w:space="0" w:color="auto"/>
          </w:divBdr>
          <w:divsChild>
            <w:div w:id="843279477">
              <w:marLeft w:val="105"/>
              <w:marRight w:val="105"/>
              <w:marTop w:val="105"/>
              <w:marBottom w:val="105"/>
              <w:divBdr>
                <w:top w:val="none" w:sz="0" w:space="0" w:color="auto"/>
                <w:left w:val="none" w:sz="0" w:space="0" w:color="auto"/>
                <w:bottom w:val="none" w:sz="0" w:space="0" w:color="auto"/>
                <w:right w:val="none" w:sz="0" w:space="0" w:color="auto"/>
              </w:divBdr>
              <w:divsChild>
                <w:div w:id="40029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211277">
      <w:bodyDiv w:val="1"/>
      <w:marLeft w:val="0"/>
      <w:marRight w:val="0"/>
      <w:marTop w:val="0"/>
      <w:marBottom w:val="0"/>
      <w:divBdr>
        <w:top w:val="none" w:sz="0" w:space="0" w:color="auto"/>
        <w:left w:val="none" w:sz="0" w:space="0" w:color="auto"/>
        <w:bottom w:val="none" w:sz="0" w:space="0" w:color="auto"/>
        <w:right w:val="none" w:sz="0" w:space="0" w:color="auto"/>
      </w:divBdr>
    </w:div>
    <w:div w:id="2145661210">
      <w:bodyDiv w:val="1"/>
      <w:marLeft w:val="0"/>
      <w:marRight w:val="0"/>
      <w:marTop w:val="0"/>
      <w:marBottom w:val="0"/>
      <w:divBdr>
        <w:top w:val="none" w:sz="0" w:space="0" w:color="auto"/>
        <w:left w:val="none" w:sz="0" w:space="0" w:color="auto"/>
        <w:bottom w:val="none" w:sz="0" w:space="0" w:color="auto"/>
        <w:right w:val="none" w:sz="0" w:space="0" w:color="auto"/>
      </w:divBdr>
      <w:divsChild>
        <w:div w:id="1409694811">
          <w:marLeft w:val="0"/>
          <w:marRight w:val="0"/>
          <w:marTop w:val="150"/>
          <w:marBottom w:val="0"/>
          <w:divBdr>
            <w:top w:val="none" w:sz="0" w:space="0" w:color="auto"/>
            <w:left w:val="none" w:sz="0" w:space="0" w:color="auto"/>
            <w:bottom w:val="none" w:sz="0" w:space="0" w:color="auto"/>
            <w:right w:val="none" w:sz="0" w:space="0" w:color="auto"/>
          </w:divBdr>
          <w:divsChild>
            <w:div w:id="169010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bi.org.uk/media/1051530/cbi_edi_education_skills_2011.pdf%3eaccessed" TargetMode="External"/><Relationship Id="rId18" Type="http://schemas.openxmlformats.org/officeDocument/2006/relationships/hyperlink" Target="https://www.tandfonline.com/doi/full/10.1080/10095020.2018.1560056?utm_source=TrendMD&amp;utm_medium=cpc&amp;utm_campaign=Geo-spatial_Information_Science_TrendMD_1" TargetMode="External"/><Relationship Id="rId26" Type="http://schemas.openxmlformats.org/officeDocument/2006/relationships/hyperlink" Target="https://www.emerald.com/insight/search?q=Hugh%20Wilkins" TargetMode="External"/><Relationship Id="rId3" Type="http://schemas.openxmlformats.org/officeDocument/2006/relationships/styles" Target="styles.xml"/><Relationship Id="rId21" Type="http://schemas.openxmlformats.org/officeDocument/2006/relationships/hyperlink" Target="https://www.emerald.com/insight/content/doi/10.1108/09596111111119356/full/html?utm_source=TrendMD&amp;utm_medium=cpc&amp;utm_campaign=International_Journal_of_Contemporary_Hospitality_Management_TrendMD_0&amp;WT.mc_id=Emerald_TrendMD_0" TargetMode="External"/><Relationship Id="rId34" Type="http://schemas.openxmlformats.org/officeDocument/2006/relationships/hyperlink" Target="https://www.tandfonline.com/author/Lim%2C+Yet-Mee" TargetMode="External"/><Relationship Id="rId7" Type="http://schemas.openxmlformats.org/officeDocument/2006/relationships/endnotes" Target="endnotes.xml"/><Relationship Id="rId12" Type="http://schemas.openxmlformats.org/officeDocument/2006/relationships/hyperlink" Target="https://www.tandfonline.com/doi/abs/10.1080/23752696.2019.1605837" TargetMode="External"/><Relationship Id="rId17" Type="http://schemas.openxmlformats.org/officeDocument/2006/relationships/hyperlink" Target="https://www.tandfonline.com/author/Stone%2C+Garrett+A" TargetMode="External"/><Relationship Id="rId25" Type="http://schemas.openxmlformats.org/officeDocument/2006/relationships/hyperlink" Target="https://www.emerald.com/insight/search?q=Mike%20Raybould" TargetMode="External"/><Relationship Id="rId33" Type="http://schemas.openxmlformats.org/officeDocument/2006/relationships/hyperlink" Target="http://science.ijournals.cn/jsunature_en/ch/reader/view_abstract.aspx?file_no=W180543&amp;flag=1&amp;utm_source=TrendMD&amp;utm_medium=cpc&amp;utm_campaign=Journal_of_Sichuan_University_(Natural_Science_Edition)_TrendMD_1" TargetMode="External"/><Relationship Id="rId2" Type="http://schemas.openxmlformats.org/officeDocument/2006/relationships/numbering" Target="numbering.xml"/><Relationship Id="rId16" Type="http://schemas.openxmlformats.org/officeDocument/2006/relationships/hyperlink" Target="https://www.tandfonline.com/doi/abs/10.1080/09500693.2019.1679906" TargetMode="External"/><Relationship Id="rId20" Type="http://schemas.openxmlformats.org/officeDocument/2006/relationships/hyperlink" Target="https://www.sciencedirect.com/science/article/pii/S1877042810020665" TargetMode="External"/><Relationship Id="rId29" Type="http://schemas.openxmlformats.org/officeDocument/2006/relationships/hyperlink" Target="https://www.tandfonline.com/author/Moore%2C+Ti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7294360.2018.1483903" TargetMode="External"/><Relationship Id="rId24" Type="http://schemas.openxmlformats.org/officeDocument/2006/relationships/hyperlink" Target="https://www.tandfonline.com/doi/abs/10.1080/00091383.2018.1540819" TargetMode="External"/><Relationship Id="rId32" Type="http://schemas.openxmlformats.org/officeDocument/2006/relationships/hyperlink" Target="http://www.skillsyouneed.com/ips/what-is-communication.html" TargetMode="External"/><Relationship Id="rId5" Type="http://schemas.openxmlformats.org/officeDocument/2006/relationships/webSettings" Target="webSettings.xml"/><Relationship Id="rId15" Type="http://schemas.openxmlformats.org/officeDocument/2006/relationships/hyperlink" Target="https://www.tandfonline.com/doi/abs/10.1080/08832323.2012.697928" TargetMode="External"/><Relationship Id="rId23" Type="http://schemas.openxmlformats.org/officeDocument/2006/relationships/hyperlink" Target="https://doi.org/10.1080/03075079.2011.587140" TargetMode="External"/><Relationship Id="rId28" Type="http://schemas.openxmlformats.org/officeDocument/2006/relationships/hyperlink" Target="https://doi.org/10.1108/09596110510591891" TargetMode="External"/><Relationship Id="rId36" Type="http://schemas.openxmlformats.org/officeDocument/2006/relationships/theme" Target="theme/theme1.xml"/><Relationship Id="rId10" Type="http://schemas.openxmlformats.org/officeDocument/2006/relationships/hyperlink" Target="http://www.emeraldinsight.com/doi/abs/10.1108/03090591011049800?utm_source=TrendMD&amp;utm_medium=cpc&amp;utm_campaign=European_Journal_of_Training_and_Development_TrendMD_0&amp;WT.mc_id=Emerald_TrendMD_0" TargetMode="External"/><Relationship Id="rId19" Type="http://schemas.openxmlformats.org/officeDocument/2006/relationships/hyperlink" Target="http://www.alia.org.au/education/summit08/revised.qualifications.19%20dec.pdf" TargetMode="External"/><Relationship Id="rId31" Type="http://schemas.openxmlformats.org/officeDocument/2006/relationships/hyperlink" Target="https://doi.org/10.3108/beej.15.2" TargetMode="External"/><Relationship Id="rId4" Type="http://schemas.openxmlformats.org/officeDocument/2006/relationships/settings" Target="settings.xml"/><Relationship Id="rId9" Type="http://schemas.openxmlformats.org/officeDocument/2006/relationships/hyperlink" Target="https://www.emerald.com/insight/content/doi/10.1108/ET-01-2013-0002/full/html?utm_source=TrendMD&amp;utm_medium=cpc&amp;utm_campaign=Education_%252B_Training_TrendMD_0&amp;WT.mc_id=Emerald_TrendMD_0" TargetMode="External"/><Relationship Id="rId14" Type="http://schemas.openxmlformats.org/officeDocument/2006/relationships/hyperlink" Target="https://www.tandfonline.com/doi/abs/10.1080/03075079.2019.1585420" TargetMode="External"/><Relationship Id="rId22" Type="http://schemas.openxmlformats.org/officeDocument/2006/relationships/hyperlink" Target="https://www.tandfonline.com/doi/abs/10.1080/23752696.2018.1462098" TargetMode="External"/><Relationship Id="rId27" Type="http://schemas.openxmlformats.org/officeDocument/2006/relationships/hyperlink" Target="https://www.emerald.com/insight/publication/issn/0959-6119" TargetMode="External"/><Relationship Id="rId30" Type="http://schemas.openxmlformats.org/officeDocument/2006/relationships/hyperlink" Target="http://www.csp.org.uk/publications/working-volunteer-abroad" TargetMode="External"/><Relationship Id="rId35" Type="http://schemas.openxmlformats.org/officeDocument/2006/relationships/fontTable" Target="fontTable.xml"/><Relationship Id="rId8" Type="http://schemas.openxmlformats.org/officeDocument/2006/relationships/hyperlink" Target="https://doi.org/%0910.1057/palgrave.thr.60500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D03D8-4141-4B05-9796-5632B26D8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4926</Words>
  <Characters>28082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sesay</dc:creator>
  <cp:keywords/>
  <dc:description/>
  <cp:lastModifiedBy>margaret sesay</cp:lastModifiedBy>
  <cp:revision>26</cp:revision>
  <dcterms:created xsi:type="dcterms:W3CDTF">2020-08-29T15:15:00Z</dcterms:created>
  <dcterms:modified xsi:type="dcterms:W3CDTF">2020-08-31T11:47:00Z</dcterms:modified>
</cp:coreProperties>
</file>