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Times New Roman" w:hAnsi="Times New Roman" w:cs="Times New Roman"/>
          <w:color w:val="000000" w:themeColor="text1"/>
        </w:rPr>
        <w:id w:val="412365944"/>
        <w:docPartObj>
          <w:docPartGallery w:val="Cover Pages"/>
          <w:docPartUnique/>
        </w:docPartObj>
      </w:sdtPr>
      <w:sdtContent>
        <w:p w14:paraId="479132D2" w14:textId="7785F2B1" w:rsidR="009A6A0D" w:rsidRPr="00536A81" w:rsidRDefault="006E4374" w:rsidP="007811C8">
          <w:pPr>
            <w:spacing w:line="360" w:lineRule="auto"/>
            <w:jc w:val="both"/>
            <w:rPr>
              <w:rFonts w:ascii="Times New Roman" w:hAnsi="Times New Roman" w:cs="Times New Roman"/>
              <w:color w:val="000000" w:themeColor="text1"/>
            </w:rPr>
          </w:pPr>
          <w:r w:rsidRPr="00536A81">
            <w:rPr>
              <w:rFonts w:ascii="Times New Roman" w:hAnsi="Times New Roman" w:cs="Times New Roman"/>
              <w:noProof/>
              <w:color w:val="000000" w:themeColor="text1"/>
            </w:rPr>
            <mc:AlternateContent>
              <mc:Choice Requires="wps">
                <w:drawing>
                  <wp:anchor distT="0" distB="0" distL="114300" distR="114300" simplePos="0" relativeHeight="251662336" behindDoc="0" locked="0" layoutInCell="1" allowOverlap="1" wp14:anchorId="160240FA" wp14:editId="647C844F">
                    <wp:simplePos x="0" y="0"/>
                    <wp:positionH relativeFrom="page">
                      <wp:posOffset>1559859</wp:posOffset>
                    </wp:positionH>
                    <wp:positionV relativeFrom="page">
                      <wp:posOffset>732865</wp:posOffset>
                    </wp:positionV>
                    <wp:extent cx="5049371" cy="1600200"/>
                    <wp:effectExtent l="0" t="0" r="5715" b="0"/>
                    <wp:wrapNone/>
                    <wp:docPr id="1" name="Text Box 64"/>
                    <wp:cNvGraphicFramePr/>
                    <a:graphic xmlns:a="http://schemas.openxmlformats.org/drawingml/2006/main">
                      <a:graphicData uri="http://schemas.microsoft.com/office/word/2010/wordprocessingShape">
                        <wps:wsp>
                          <wps:cNvSpPr txBox="1"/>
                          <wps:spPr>
                            <a:xfrm>
                              <a:off x="0" y="0"/>
                              <a:ext cx="5049371"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1A24AB" w14:textId="41E6DF99" w:rsidR="009C571D" w:rsidRPr="006E4374" w:rsidRDefault="00000000" w:rsidP="009A6A0D">
                                <w:pPr>
                                  <w:pStyle w:val="NoSpacing"/>
                                  <w:spacing w:line="360" w:lineRule="auto"/>
                                  <w:jc w:val="center"/>
                                  <w:rPr>
                                    <w:rFonts w:ascii="Times New Roman" w:eastAsiaTheme="majorEastAsia" w:hAnsi="Times New Roman" w:cs="Times New Roman"/>
                                    <w:b/>
                                    <w:bCs/>
                                    <w:color w:val="262626" w:themeColor="text1" w:themeTint="D9"/>
                                    <w:sz w:val="48"/>
                                    <w:szCs w:val="48"/>
                                  </w:rPr>
                                </w:pPr>
                                <w:sdt>
                                  <w:sdtPr>
                                    <w:rPr>
                                      <w:rFonts w:ascii="Times New Roman" w:eastAsiaTheme="majorEastAsia" w:hAnsi="Times New Roman" w:cs="Times New Roman"/>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106FB">
                                      <w:rPr>
                                        <w:rFonts w:ascii="Times New Roman" w:eastAsiaTheme="majorEastAsia" w:hAnsi="Times New Roman" w:cs="Times New Roman"/>
                                        <w:b/>
                                        <w:bCs/>
                                        <w:color w:val="262626" w:themeColor="text1" w:themeTint="D9"/>
                                        <w:sz w:val="48"/>
                                        <w:szCs w:val="48"/>
                                      </w:rPr>
                                      <w:t xml:space="preserve">Assignment Title: Research and case </w:t>
                                    </w:r>
                                    <w:proofErr w:type="spellStart"/>
                                    <w:r w:rsidR="00C106FB">
                                      <w:rPr>
                                        <w:rFonts w:ascii="Times New Roman" w:eastAsiaTheme="majorEastAsia" w:hAnsi="Times New Roman" w:cs="Times New Roman"/>
                                        <w:b/>
                                        <w:bCs/>
                                        <w:color w:val="262626" w:themeColor="text1" w:themeTint="D9"/>
                                        <w:sz w:val="48"/>
                                        <w:szCs w:val="48"/>
                                      </w:rPr>
                                      <w:t>scenarioin</w:t>
                                    </w:r>
                                    <w:proofErr w:type="spellEnd"/>
                                    <w:r w:rsidR="00C106FB">
                                      <w:rPr>
                                        <w:rFonts w:ascii="Times New Roman" w:eastAsiaTheme="majorEastAsia" w:hAnsi="Times New Roman" w:cs="Times New Roman"/>
                                        <w:b/>
                                        <w:bCs/>
                                        <w:color w:val="262626" w:themeColor="text1" w:themeTint="D9"/>
                                        <w:sz w:val="48"/>
                                        <w:szCs w:val="48"/>
                                      </w:rPr>
                                      <w:t xml:space="preserve"> Data Security </w:t>
                                    </w:r>
                                    <w:proofErr w:type="gramStart"/>
                                    <w:r w:rsidR="00C106FB">
                                      <w:rPr>
                                        <w:rFonts w:ascii="Times New Roman" w:eastAsiaTheme="majorEastAsia" w:hAnsi="Times New Roman" w:cs="Times New Roman"/>
                                        <w:b/>
                                        <w:bCs/>
                                        <w:color w:val="262626" w:themeColor="text1" w:themeTint="D9"/>
                                        <w:sz w:val="48"/>
                                        <w:szCs w:val="48"/>
                                      </w:rPr>
                                      <w:t>and  Compliance</w:t>
                                    </w:r>
                                    <w:proofErr w:type="gramEnd"/>
                                  </w:sdtContent>
                                </w:sdt>
                              </w:p>
                              <w:p w14:paraId="56FD5BAF" w14:textId="21F32188" w:rsidR="009C571D" w:rsidRPr="009A6A0D" w:rsidRDefault="009C571D" w:rsidP="009A6A0D">
                                <w:pPr>
                                  <w:spacing w:before="120" w:line="360" w:lineRule="auto"/>
                                  <w:jc w:val="center"/>
                                  <w:rPr>
                                    <w:rFonts w:ascii="Times New Roman" w:hAnsi="Times New Roman" w:cs="Times New Roman"/>
                                    <w:b/>
                                    <w:bCs/>
                                    <w:color w:val="404040" w:themeColor="text1" w:themeTint="BF"/>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60240FA" id="_x0000_t202" coordsize="21600,21600" o:spt="202" path="m,l,21600r21600,l21600,xe">
                    <v:stroke joinstyle="miter"/>
                    <v:path gradientshapeok="t" o:connecttype="rect"/>
                  </v:shapetype>
                  <v:shape id="Text Box 64" o:spid="_x0000_s1026" type="#_x0000_t202" style="position:absolute;left:0;text-align:left;margin-left:122.8pt;margin-top:57.7pt;width:397.6pt;height:126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" filled="f" stroked="f" strokeweight=".5pt">
                    <v:textbox inset="0,0,0,0">
                      <w:txbxContent>
                        <w:p w14:paraId="051A24AB" w14:textId="41E6DF99" w:rsidR="009C571D" w:rsidRPr="006E4374" w:rsidRDefault="00000000" w:rsidP="009A6A0D">
                          <w:pPr>
                            <w:pStyle w:val="NoSpacing"/>
                            <w:spacing w:line="360" w:lineRule="auto"/>
                            <w:jc w:val="center"/>
                            <w:rPr>
                              <w:rFonts w:ascii="Times New Roman" w:eastAsiaTheme="majorEastAsia" w:hAnsi="Times New Roman" w:cs="Times New Roman"/>
                              <w:b/>
                              <w:bCs/>
                              <w:color w:val="262626" w:themeColor="text1" w:themeTint="D9"/>
                              <w:sz w:val="48"/>
                              <w:szCs w:val="48"/>
                            </w:rPr>
                          </w:pPr>
                          <w:sdt>
                            <w:sdtPr>
                              <w:rPr>
                                <w:rFonts w:ascii="Times New Roman" w:eastAsiaTheme="majorEastAsia" w:hAnsi="Times New Roman" w:cs="Times New Roman"/>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106FB">
                                <w:rPr>
                                  <w:rFonts w:ascii="Times New Roman" w:eastAsiaTheme="majorEastAsia" w:hAnsi="Times New Roman" w:cs="Times New Roman"/>
                                  <w:b/>
                                  <w:bCs/>
                                  <w:color w:val="262626" w:themeColor="text1" w:themeTint="D9"/>
                                  <w:sz w:val="48"/>
                                  <w:szCs w:val="48"/>
                                </w:rPr>
                                <w:t xml:space="preserve">Assignment Title: Research and case </w:t>
                              </w:r>
                              <w:proofErr w:type="spellStart"/>
                              <w:r w:rsidR="00C106FB">
                                <w:rPr>
                                  <w:rFonts w:ascii="Times New Roman" w:eastAsiaTheme="majorEastAsia" w:hAnsi="Times New Roman" w:cs="Times New Roman"/>
                                  <w:b/>
                                  <w:bCs/>
                                  <w:color w:val="262626" w:themeColor="text1" w:themeTint="D9"/>
                                  <w:sz w:val="48"/>
                                  <w:szCs w:val="48"/>
                                </w:rPr>
                                <w:t>scenarioin</w:t>
                              </w:r>
                              <w:proofErr w:type="spellEnd"/>
                              <w:r w:rsidR="00C106FB">
                                <w:rPr>
                                  <w:rFonts w:ascii="Times New Roman" w:eastAsiaTheme="majorEastAsia" w:hAnsi="Times New Roman" w:cs="Times New Roman"/>
                                  <w:b/>
                                  <w:bCs/>
                                  <w:color w:val="262626" w:themeColor="text1" w:themeTint="D9"/>
                                  <w:sz w:val="48"/>
                                  <w:szCs w:val="48"/>
                                </w:rPr>
                                <w:t xml:space="preserve"> Data Security </w:t>
                              </w:r>
                              <w:proofErr w:type="gramStart"/>
                              <w:r w:rsidR="00C106FB">
                                <w:rPr>
                                  <w:rFonts w:ascii="Times New Roman" w:eastAsiaTheme="majorEastAsia" w:hAnsi="Times New Roman" w:cs="Times New Roman"/>
                                  <w:b/>
                                  <w:bCs/>
                                  <w:color w:val="262626" w:themeColor="text1" w:themeTint="D9"/>
                                  <w:sz w:val="48"/>
                                  <w:szCs w:val="48"/>
                                </w:rPr>
                                <w:t>and  Compliance</w:t>
                              </w:r>
                              <w:proofErr w:type="gramEnd"/>
                            </w:sdtContent>
                          </w:sdt>
                        </w:p>
                        <w:p w14:paraId="56FD5BAF" w14:textId="21F32188" w:rsidR="009C571D" w:rsidRPr="009A6A0D" w:rsidRDefault="009C571D" w:rsidP="009A6A0D">
                          <w:pPr>
                            <w:spacing w:before="120" w:line="360" w:lineRule="auto"/>
                            <w:jc w:val="center"/>
                            <w:rPr>
                              <w:rFonts w:ascii="Times New Roman" w:hAnsi="Times New Roman" w:cs="Times New Roman"/>
                              <w:b/>
                              <w:bCs/>
                              <w:color w:val="404040" w:themeColor="text1" w:themeTint="BF"/>
                              <w:sz w:val="40"/>
                              <w:szCs w:val="40"/>
                            </w:rPr>
                          </w:pPr>
                        </w:p>
                      </w:txbxContent>
                    </v:textbox>
                    <w10:wrap anchorx="page" anchory="page"/>
                  </v:shape>
                </w:pict>
              </mc:Fallback>
            </mc:AlternateContent>
          </w:r>
          <w:r w:rsidR="0018383F" w:rsidRPr="00536A81">
            <w:rPr>
              <w:rFonts w:ascii="Times New Roman" w:hAnsi="Times New Roman" w:cs="Times New Roman"/>
              <w:noProof/>
              <w:color w:val="000000" w:themeColor="text1"/>
            </w:rPr>
            <mc:AlternateContent>
              <mc:Choice Requires="wpg">
                <w:drawing>
                  <wp:anchor distT="0" distB="0" distL="114300" distR="114300" simplePos="0" relativeHeight="251661312" behindDoc="1" locked="0" layoutInCell="1" allowOverlap="1" wp14:anchorId="04C4F95A" wp14:editId="64AC1A6D">
                    <wp:simplePos x="0" y="0"/>
                    <wp:positionH relativeFrom="page">
                      <wp:posOffset>262218</wp:posOffset>
                    </wp:positionH>
                    <wp:positionV relativeFrom="page">
                      <wp:posOffset>289112</wp:posOffset>
                    </wp:positionV>
                    <wp:extent cx="2133409" cy="9125585"/>
                    <wp:effectExtent l="0" t="0" r="13335" b="5715"/>
                    <wp:wrapNone/>
                    <wp:docPr id="2" name="Group 60"/>
                    <wp:cNvGraphicFramePr/>
                    <a:graphic xmlns:a="http://schemas.openxmlformats.org/drawingml/2006/main">
                      <a:graphicData uri="http://schemas.microsoft.com/office/word/2010/wordprocessingGroup">
                        <wpg:wgp>
                          <wpg:cNvGrpSpPr/>
                          <wpg:grpSpPr>
                            <a:xfrm>
                              <a:off x="0" y="0"/>
                              <a:ext cx="2133409" cy="9125585"/>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79185" y="4993454"/>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87B7EE7" id="Group 60" o:spid="_x0000_s1026" style="position:absolute;margin-left:20.65pt;margin-top:22.75pt;width:168pt;height:718.55pt;z-index:-251655168;mso-position-horizontal-relative:page;mso-position-vertical-relative:page"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group id="Group 5"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791;top:49934;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121DA10" w14:textId="6F0A41A9" w:rsidR="009A6A0D" w:rsidRPr="00536A81" w:rsidRDefault="009A6A0D" w:rsidP="007811C8">
          <w:pPr>
            <w:spacing w:line="360" w:lineRule="auto"/>
            <w:jc w:val="both"/>
            <w:rPr>
              <w:rFonts w:ascii="Times New Roman" w:hAnsi="Times New Roman" w:cs="Times New Roman"/>
              <w:color w:val="000000" w:themeColor="text1"/>
            </w:rPr>
          </w:pPr>
        </w:p>
        <w:p w14:paraId="1414666C" w14:textId="61B85DED" w:rsidR="009A6A0D" w:rsidRPr="00536A81" w:rsidRDefault="009A6A0D" w:rsidP="007811C8">
          <w:pPr>
            <w:spacing w:line="360" w:lineRule="auto"/>
            <w:jc w:val="both"/>
            <w:rPr>
              <w:rFonts w:ascii="Times New Roman" w:hAnsi="Times New Roman" w:cs="Times New Roman"/>
              <w:color w:val="000000" w:themeColor="text1"/>
            </w:rPr>
          </w:pPr>
        </w:p>
        <w:p w14:paraId="2D309485" w14:textId="128D42F7" w:rsidR="009A6A0D" w:rsidRPr="00536A81" w:rsidRDefault="009A6A0D" w:rsidP="007811C8">
          <w:pPr>
            <w:spacing w:line="360" w:lineRule="auto"/>
            <w:jc w:val="both"/>
            <w:rPr>
              <w:rFonts w:ascii="Times New Roman" w:hAnsi="Times New Roman" w:cs="Times New Roman"/>
              <w:color w:val="000000" w:themeColor="text1"/>
            </w:rPr>
          </w:pPr>
        </w:p>
        <w:p w14:paraId="17FCAD3E" w14:textId="5C9B016D" w:rsidR="009A6A0D" w:rsidRPr="00536A81" w:rsidRDefault="009A6A0D" w:rsidP="007811C8">
          <w:pPr>
            <w:spacing w:line="360" w:lineRule="auto"/>
            <w:jc w:val="both"/>
            <w:rPr>
              <w:rFonts w:ascii="Times New Roman" w:hAnsi="Times New Roman" w:cs="Times New Roman"/>
              <w:color w:val="000000" w:themeColor="text1"/>
            </w:rPr>
          </w:pPr>
        </w:p>
        <w:p w14:paraId="28FAB6C3" w14:textId="52D022F9" w:rsidR="009A6A0D" w:rsidRPr="00536A81" w:rsidRDefault="009A6A0D" w:rsidP="007811C8">
          <w:pPr>
            <w:spacing w:line="360" w:lineRule="auto"/>
            <w:jc w:val="both"/>
            <w:rPr>
              <w:rFonts w:ascii="Times New Roman" w:hAnsi="Times New Roman" w:cs="Times New Roman"/>
              <w:color w:val="000000" w:themeColor="text1"/>
            </w:rPr>
          </w:pPr>
        </w:p>
        <w:p w14:paraId="43AEFEC9" w14:textId="6A91A875" w:rsidR="009A6A0D" w:rsidRPr="00536A81" w:rsidRDefault="009A6A0D" w:rsidP="007811C8">
          <w:pPr>
            <w:spacing w:line="360" w:lineRule="auto"/>
            <w:jc w:val="both"/>
            <w:rPr>
              <w:rFonts w:ascii="Times New Roman" w:hAnsi="Times New Roman" w:cs="Times New Roman"/>
              <w:color w:val="000000" w:themeColor="text1"/>
            </w:rPr>
          </w:pPr>
        </w:p>
        <w:p w14:paraId="72229F9A" w14:textId="3A65502F" w:rsidR="009A6A0D" w:rsidRPr="00536A81" w:rsidRDefault="009A6A0D" w:rsidP="007811C8">
          <w:pPr>
            <w:spacing w:line="360" w:lineRule="auto"/>
            <w:jc w:val="both"/>
            <w:rPr>
              <w:rFonts w:ascii="Times New Roman" w:hAnsi="Times New Roman" w:cs="Times New Roman"/>
              <w:color w:val="000000" w:themeColor="text1"/>
            </w:rPr>
          </w:pPr>
        </w:p>
        <w:p w14:paraId="1D2DFBC8" w14:textId="26A4BBEE" w:rsidR="009A6A0D" w:rsidRPr="00536A81" w:rsidRDefault="009A6A0D" w:rsidP="007811C8">
          <w:pPr>
            <w:spacing w:line="360" w:lineRule="auto"/>
            <w:jc w:val="both"/>
            <w:rPr>
              <w:rFonts w:ascii="Times New Roman" w:hAnsi="Times New Roman" w:cs="Times New Roman"/>
              <w:color w:val="000000" w:themeColor="text1"/>
            </w:rPr>
          </w:pPr>
        </w:p>
        <w:p w14:paraId="44162E77" w14:textId="28756D70" w:rsidR="009A6A0D" w:rsidRPr="004A2F09" w:rsidRDefault="009A6A0D" w:rsidP="007811C8">
          <w:pPr>
            <w:spacing w:line="360" w:lineRule="auto"/>
            <w:jc w:val="both"/>
            <w:rPr>
              <w:rFonts w:ascii="Times New Roman" w:hAnsi="Times New Roman" w:cs="Times New Roman"/>
              <w:b/>
              <w:bCs/>
              <w:sz w:val="30"/>
              <w:szCs w:val="30"/>
            </w:rPr>
          </w:pPr>
          <w:r w:rsidRPr="00536A81">
            <w:rPr>
              <w:rFonts w:ascii="Times New Roman" w:hAnsi="Times New Roman" w:cs="Times New Roman"/>
              <w:b/>
              <w:bCs/>
              <w:sz w:val="30"/>
              <w:szCs w:val="30"/>
            </w:rPr>
            <w:t xml:space="preserve">Module Name: </w:t>
          </w:r>
          <w:r w:rsidRPr="004A2F09">
            <w:rPr>
              <w:rFonts w:ascii="Times New Roman" w:hAnsi="Times New Roman" w:cs="Times New Roman"/>
              <w:b/>
              <w:bCs/>
              <w:i/>
              <w:iCs/>
              <w:sz w:val="30"/>
              <w:szCs w:val="30"/>
            </w:rPr>
            <w:t>Data Security and</w:t>
          </w:r>
          <w:r w:rsidR="004A2F09" w:rsidRPr="004A2F09">
            <w:rPr>
              <w:rFonts w:ascii="Times New Roman" w:hAnsi="Times New Roman" w:cs="Times New Roman"/>
              <w:b/>
              <w:bCs/>
              <w:i/>
              <w:iCs/>
              <w:sz w:val="30"/>
              <w:szCs w:val="30"/>
            </w:rPr>
            <w:t xml:space="preserve"> </w:t>
          </w:r>
          <w:r w:rsidRPr="004A2F09">
            <w:rPr>
              <w:rFonts w:ascii="Times New Roman" w:eastAsia="Times New Roman" w:hAnsi="Times New Roman" w:cs="Times New Roman"/>
              <w:b/>
              <w:bCs/>
              <w:i/>
              <w:iCs/>
              <w:color w:val="000000"/>
              <w:kern w:val="0"/>
              <w:sz w:val="30"/>
              <w:szCs w:val="30"/>
              <w:lang w:eastAsia="en-GB"/>
              <w14:ligatures w14:val="none"/>
            </w:rPr>
            <w:t>Compliance</w:t>
          </w:r>
        </w:p>
        <w:p w14:paraId="2201611A" w14:textId="101575CC" w:rsidR="009A6A0D" w:rsidRPr="00536A81" w:rsidRDefault="009A6A0D" w:rsidP="007811C8">
          <w:pPr>
            <w:spacing w:line="360" w:lineRule="auto"/>
            <w:jc w:val="both"/>
            <w:rPr>
              <w:rFonts w:ascii="Times New Roman" w:hAnsi="Times New Roman" w:cs="Times New Roman"/>
              <w:b/>
              <w:bCs/>
              <w:sz w:val="30"/>
              <w:szCs w:val="30"/>
            </w:rPr>
          </w:pPr>
          <w:r w:rsidRPr="00536A81">
            <w:rPr>
              <w:rFonts w:ascii="Times New Roman" w:hAnsi="Times New Roman" w:cs="Times New Roman"/>
              <w:b/>
              <w:bCs/>
              <w:sz w:val="30"/>
              <w:szCs w:val="30"/>
            </w:rPr>
            <w:t xml:space="preserve">Module Code: </w:t>
          </w:r>
          <w:r w:rsidRPr="004A2F09">
            <w:rPr>
              <w:rFonts w:ascii="Times New Roman" w:hAnsi="Times New Roman" w:cs="Times New Roman"/>
              <w:b/>
              <w:bCs/>
              <w:i/>
              <w:iCs/>
              <w:sz w:val="30"/>
              <w:szCs w:val="30"/>
            </w:rPr>
            <w:t>ACCA5034</w:t>
          </w:r>
        </w:p>
        <w:p w14:paraId="29F6DC11" w14:textId="0944ED15" w:rsidR="009A6A0D" w:rsidRPr="00536A81" w:rsidRDefault="009A6A0D" w:rsidP="007811C8">
          <w:pPr>
            <w:spacing w:line="360" w:lineRule="auto"/>
            <w:jc w:val="both"/>
            <w:rPr>
              <w:rFonts w:ascii="Times New Roman" w:hAnsi="Times New Roman" w:cs="Times New Roman"/>
              <w:b/>
              <w:bCs/>
              <w:sz w:val="30"/>
              <w:szCs w:val="30"/>
            </w:rPr>
          </w:pPr>
          <w:r w:rsidRPr="00536A81">
            <w:rPr>
              <w:rFonts w:ascii="Times New Roman" w:hAnsi="Times New Roman" w:cs="Times New Roman"/>
              <w:b/>
              <w:bCs/>
              <w:sz w:val="30"/>
              <w:szCs w:val="30"/>
            </w:rPr>
            <w:t xml:space="preserve">Student Name: </w:t>
          </w:r>
          <w:r w:rsidRPr="004A2F09">
            <w:rPr>
              <w:rFonts w:ascii="Times New Roman" w:hAnsi="Times New Roman" w:cs="Times New Roman"/>
              <w:b/>
              <w:bCs/>
              <w:i/>
              <w:iCs/>
              <w:sz w:val="30"/>
              <w:szCs w:val="30"/>
            </w:rPr>
            <w:t>Joao Paulo Borges Straioto</w:t>
          </w:r>
        </w:p>
        <w:p w14:paraId="7E6545CC" w14:textId="304A5488" w:rsidR="009A6A0D" w:rsidRPr="00536A81" w:rsidRDefault="009A6A0D" w:rsidP="007811C8">
          <w:pPr>
            <w:spacing w:line="360" w:lineRule="auto"/>
            <w:jc w:val="both"/>
            <w:rPr>
              <w:rFonts w:ascii="Times New Roman" w:hAnsi="Times New Roman" w:cs="Times New Roman"/>
              <w:b/>
              <w:bCs/>
              <w:sz w:val="30"/>
              <w:szCs w:val="30"/>
            </w:rPr>
          </w:pPr>
          <w:r w:rsidRPr="00536A81">
            <w:rPr>
              <w:rFonts w:ascii="Times New Roman" w:hAnsi="Times New Roman" w:cs="Times New Roman"/>
              <w:b/>
              <w:bCs/>
              <w:sz w:val="30"/>
              <w:szCs w:val="30"/>
            </w:rPr>
            <w:t xml:space="preserve">Student ID: </w:t>
          </w:r>
          <w:r w:rsidRPr="004A2F09">
            <w:rPr>
              <w:rFonts w:ascii="Times New Roman" w:hAnsi="Times New Roman" w:cs="Times New Roman"/>
              <w:b/>
              <w:bCs/>
              <w:i/>
              <w:iCs/>
              <w:sz w:val="30"/>
              <w:szCs w:val="30"/>
            </w:rPr>
            <w:t>2430803</w:t>
          </w:r>
        </w:p>
        <w:p w14:paraId="0E33AA35" w14:textId="02FB7F65" w:rsidR="009A6A0D" w:rsidRPr="00536A81" w:rsidRDefault="009A6A0D" w:rsidP="007811C8">
          <w:pPr>
            <w:spacing w:line="360" w:lineRule="auto"/>
            <w:jc w:val="both"/>
            <w:rPr>
              <w:rFonts w:ascii="Times New Roman" w:hAnsi="Times New Roman" w:cs="Times New Roman"/>
              <w:b/>
              <w:bCs/>
              <w:sz w:val="30"/>
              <w:szCs w:val="30"/>
            </w:rPr>
          </w:pPr>
          <w:r w:rsidRPr="00536A81">
            <w:rPr>
              <w:rFonts w:ascii="Times New Roman" w:hAnsi="Times New Roman" w:cs="Times New Roman"/>
              <w:b/>
              <w:bCs/>
              <w:sz w:val="30"/>
              <w:szCs w:val="30"/>
            </w:rPr>
            <w:t xml:space="preserve">Lecturer’s Name: </w:t>
          </w:r>
          <w:r w:rsidR="004A2F09" w:rsidRPr="004A2F09">
            <w:rPr>
              <w:rFonts w:ascii="Times New Roman" w:hAnsi="Times New Roman" w:cs="Times New Roman"/>
              <w:b/>
              <w:bCs/>
              <w:i/>
              <w:iCs/>
              <w:sz w:val="30"/>
              <w:szCs w:val="30"/>
            </w:rPr>
            <w:t xml:space="preserve">DR: </w:t>
          </w:r>
          <w:r w:rsidRPr="004A2F09">
            <w:rPr>
              <w:rFonts w:ascii="Times New Roman" w:hAnsi="Times New Roman" w:cs="Times New Roman"/>
              <w:b/>
              <w:bCs/>
              <w:i/>
              <w:iCs/>
              <w:sz w:val="30"/>
              <w:szCs w:val="30"/>
            </w:rPr>
            <w:t>A</w:t>
          </w:r>
          <w:r w:rsidR="008F232B" w:rsidRPr="004A2F09">
            <w:rPr>
              <w:rFonts w:ascii="Times New Roman" w:hAnsi="Times New Roman" w:cs="Times New Roman"/>
              <w:b/>
              <w:bCs/>
              <w:i/>
              <w:iCs/>
              <w:sz w:val="30"/>
              <w:szCs w:val="30"/>
            </w:rPr>
            <w:t>y</w:t>
          </w:r>
          <w:r w:rsidRPr="004A2F09">
            <w:rPr>
              <w:rFonts w:ascii="Times New Roman" w:hAnsi="Times New Roman" w:cs="Times New Roman"/>
              <w:b/>
              <w:bCs/>
              <w:i/>
              <w:iCs/>
              <w:sz w:val="30"/>
              <w:szCs w:val="30"/>
            </w:rPr>
            <w:t>man El Hajjar</w:t>
          </w:r>
        </w:p>
        <w:p w14:paraId="02B21464" w14:textId="75A50896" w:rsidR="009C571D" w:rsidRPr="00536A81" w:rsidRDefault="009C571D" w:rsidP="007811C8">
          <w:pPr>
            <w:pStyle w:val="NoSpacing"/>
            <w:spacing w:line="360" w:lineRule="auto"/>
            <w:jc w:val="both"/>
            <w:rPr>
              <w:rFonts w:ascii="Times New Roman" w:hAnsi="Times New Roman" w:cs="Times New Roman"/>
              <w:color w:val="000000" w:themeColor="text1"/>
            </w:rPr>
          </w:pPr>
        </w:p>
        <w:p w14:paraId="26755D74" w14:textId="2AA12303" w:rsidR="00B33957" w:rsidRPr="00536A81" w:rsidRDefault="000854DD" w:rsidP="007811C8">
          <w:pPr>
            <w:spacing w:line="360" w:lineRule="auto"/>
            <w:jc w:val="both"/>
            <w:rPr>
              <w:rFonts w:ascii="Times New Roman" w:hAnsi="Times New Roman" w:cs="Times New Roman"/>
              <w:color w:val="000000" w:themeColor="text1"/>
            </w:rPr>
          </w:pPr>
          <w:r w:rsidRPr="00536A81">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4983C286" wp14:editId="5E03F875">
                    <wp:simplePos x="0" y="0"/>
                    <wp:positionH relativeFrom="page">
                      <wp:posOffset>3927072</wp:posOffset>
                    </wp:positionH>
                    <wp:positionV relativeFrom="page">
                      <wp:posOffset>8899672</wp:posOffset>
                    </wp:positionV>
                    <wp:extent cx="3657600" cy="582706"/>
                    <wp:effectExtent l="0" t="0" r="13970" b="14605"/>
                    <wp:wrapNone/>
                    <wp:docPr id="32" name="Text Box 62"/>
                    <wp:cNvGraphicFramePr/>
                    <a:graphic xmlns:a="http://schemas.openxmlformats.org/drawingml/2006/main">
                      <a:graphicData uri="http://schemas.microsoft.com/office/word/2010/wordprocessingShape">
                        <wps:wsp>
                          <wps:cNvSpPr txBox="1"/>
                          <wps:spPr>
                            <a:xfrm>
                              <a:off x="0" y="0"/>
                              <a:ext cx="3657600" cy="582706"/>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43D83220" w14:textId="77777777" w:rsidR="000854DD" w:rsidRPr="006E4374" w:rsidRDefault="000854DD" w:rsidP="009A6A0D">
                                <w:pPr>
                                  <w:pStyle w:val="NoSpacing"/>
                                  <w:jc w:val="center"/>
                                  <w:rPr>
                                    <w:rFonts w:ascii="Times New Roman" w:hAnsi="Times New Roman" w:cs="Times New Roman"/>
                                    <w:i/>
                                    <w:iCs/>
                                    <w:color w:val="000000" w:themeColor="text1"/>
                                    <w:sz w:val="26"/>
                                    <w:szCs w:val="26"/>
                                  </w:rPr>
                                </w:pPr>
                                <w:r w:rsidRPr="006E4374">
                                  <w:rPr>
                                    <w:rFonts w:ascii="Times New Roman" w:hAnsi="Times New Roman" w:cs="Times New Roman"/>
                                    <w:i/>
                                    <w:iCs/>
                                    <w:color w:val="000000" w:themeColor="text1"/>
                                    <w:sz w:val="26"/>
                                    <w:szCs w:val="26"/>
                                  </w:rPr>
                                  <w:t>University of Wales Trinity Saint David</w:t>
                                </w:r>
                              </w:p>
                              <w:p w14:paraId="5807CFD7" w14:textId="5C713AC9" w:rsidR="000854DD" w:rsidRPr="009A6A0D" w:rsidRDefault="00000000" w:rsidP="009A6A0D">
                                <w:pPr>
                                  <w:pStyle w:val="NoSpacing"/>
                                  <w:jc w:val="center"/>
                                  <w:rPr>
                                    <w:rFonts w:ascii="Times New Roman" w:hAnsi="Times New Roman" w:cs="Times New Roman"/>
                                    <w:color w:val="000000" w:themeColor="text1"/>
                                    <w:sz w:val="20"/>
                                    <w:szCs w:val="20"/>
                                  </w:rPr>
                                </w:pPr>
                                <w:sdt>
                                  <w:sdtPr>
                                    <w:rPr>
                                      <w:rFonts w:ascii="Times New Roman" w:hAnsi="Times New Roman" w:cs="Times New Roman"/>
                                      <w:i/>
                                      <w:iCs/>
                                      <w:caps/>
                                      <w:color w:val="000000" w:themeColor="tex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854DD" w:rsidRPr="006E4374">
                                      <w:rPr>
                                        <w:rFonts w:ascii="Times New Roman" w:hAnsi="Times New Roman" w:cs="Times New Roman"/>
                                        <w:i/>
                                        <w:iCs/>
                                        <w:caps/>
                                        <w:color w:val="000000" w:themeColor="text1"/>
                                        <w:sz w:val="20"/>
                                        <w:szCs w:val="20"/>
                                      </w:rPr>
                                      <w:t>Londo</w:t>
                                    </w:r>
                                    <w:r w:rsidR="002E55D0" w:rsidRPr="006E4374">
                                      <w:rPr>
                                        <w:rFonts w:ascii="Times New Roman" w:hAnsi="Times New Roman" w:cs="Times New Roman"/>
                                        <w:i/>
                                        <w:iCs/>
                                        <w:caps/>
                                        <w:color w:val="000000" w:themeColor="text1"/>
                                        <w:sz w:val="20"/>
                                        <w:szCs w:val="20"/>
                                      </w:rPr>
                                      <w:t>n</w:t>
                                    </w:r>
                                    <w:r w:rsidR="00542B1C" w:rsidRPr="006E4374">
                                      <w:rPr>
                                        <w:rFonts w:ascii="Times New Roman" w:hAnsi="Times New Roman" w:cs="Times New Roman"/>
                                        <w:i/>
                                        <w:iCs/>
                                        <w:caps/>
                                        <w:color w:val="000000" w:themeColor="text1"/>
                                        <w:sz w:val="20"/>
                                        <w:szCs w:val="20"/>
                                      </w:rPr>
                                      <w:t xml:space="preserve"> campus</w:t>
                                    </w:r>
                                  </w:sdtContent>
                                </w:sdt>
                              </w:p>
                              <w:p w14:paraId="6B9ECFB1" w14:textId="01A8CD4A" w:rsidR="009C571D" w:rsidRPr="009A6A0D" w:rsidRDefault="009C571D" w:rsidP="009A6A0D">
                                <w:pPr>
                                  <w:pStyle w:val="NoSpacing"/>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983C286" id="Text Box 62" o:spid="_x0000_s1027" type="#_x0000_t202" style="position:absolute;left:0;text-align:left;margin-left:309.2pt;margin-top:700.75pt;width:4in;height:45.9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" filled="f" strokecolor="black [3200]">
                    <v:stroke joinstyle="round"/>
                    <v:textbox inset="0,0,0,0">
                      <w:txbxContent>
                        <w:p w14:paraId="43D83220" w14:textId="77777777" w:rsidR="000854DD" w:rsidRPr="006E4374" w:rsidRDefault="000854DD" w:rsidP="009A6A0D">
                          <w:pPr>
                            <w:pStyle w:val="NoSpacing"/>
                            <w:jc w:val="center"/>
                            <w:rPr>
                              <w:rFonts w:ascii="Times New Roman" w:hAnsi="Times New Roman" w:cs="Times New Roman"/>
                              <w:i/>
                              <w:iCs/>
                              <w:color w:val="000000" w:themeColor="text1"/>
                              <w:sz w:val="26"/>
                              <w:szCs w:val="26"/>
                            </w:rPr>
                          </w:pPr>
                          <w:r w:rsidRPr="006E4374">
                            <w:rPr>
                              <w:rFonts w:ascii="Times New Roman" w:hAnsi="Times New Roman" w:cs="Times New Roman"/>
                              <w:i/>
                              <w:iCs/>
                              <w:color w:val="000000" w:themeColor="text1"/>
                              <w:sz w:val="26"/>
                              <w:szCs w:val="26"/>
                            </w:rPr>
                            <w:t>University of Wales Trinity Saint David</w:t>
                          </w:r>
                        </w:p>
                        <w:p w14:paraId="5807CFD7" w14:textId="5C713AC9" w:rsidR="000854DD" w:rsidRPr="009A6A0D" w:rsidRDefault="00000000" w:rsidP="009A6A0D">
                          <w:pPr>
                            <w:pStyle w:val="NoSpacing"/>
                            <w:jc w:val="center"/>
                            <w:rPr>
                              <w:rFonts w:ascii="Times New Roman" w:hAnsi="Times New Roman" w:cs="Times New Roman"/>
                              <w:color w:val="000000" w:themeColor="text1"/>
                              <w:sz w:val="20"/>
                              <w:szCs w:val="20"/>
                            </w:rPr>
                          </w:pPr>
                          <w:sdt>
                            <w:sdtPr>
                              <w:rPr>
                                <w:rFonts w:ascii="Times New Roman" w:hAnsi="Times New Roman" w:cs="Times New Roman"/>
                                <w:i/>
                                <w:iCs/>
                                <w:caps/>
                                <w:color w:val="000000" w:themeColor="tex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854DD" w:rsidRPr="006E4374">
                                <w:rPr>
                                  <w:rFonts w:ascii="Times New Roman" w:hAnsi="Times New Roman" w:cs="Times New Roman"/>
                                  <w:i/>
                                  <w:iCs/>
                                  <w:caps/>
                                  <w:color w:val="000000" w:themeColor="text1"/>
                                  <w:sz w:val="20"/>
                                  <w:szCs w:val="20"/>
                                </w:rPr>
                                <w:t>Londo</w:t>
                              </w:r>
                              <w:r w:rsidR="002E55D0" w:rsidRPr="006E4374">
                                <w:rPr>
                                  <w:rFonts w:ascii="Times New Roman" w:hAnsi="Times New Roman" w:cs="Times New Roman"/>
                                  <w:i/>
                                  <w:iCs/>
                                  <w:caps/>
                                  <w:color w:val="000000" w:themeColor="text1"/>
                                  <w:sz w:val="20"/>
                                  <w:szCs w:val="20"/>
                                </w:rPr>
                                <w:t>n</w:t>
                              </w:r>
                              <w:r w:rsidR="00542B1C" w:rsidRPr="006E4374">
                                <w:rPr>
                                  <w:rFonts w:ascii="Times New Roman" w:hAnsi="Times New Roman" w:cs="Times New Roman"/>
                                  <w:i/>
                                  <w:iCs/>
                                  <w:caps/>
                                  <w:color w:val="000000" w:themeColor="text1"/>
                                  <w:sz w:val="20"/>
                                  <w:szCs w:val="20"/>
                                </w:rPr>
                                <w:t xml:space="preserve"> campus</w:t>
                              </w:r>
                            </w:sdtContent>
                          </w:sdt>
                        </w:p>
                        <w:p w14:paraId="6B9ECFB1" w14:textId="01A8CD4A" w:rsidR="009C571D" w:rsidRPr="009A6A0D" w:rsidRDefault="009C571D" w:rsidP="009A6A0D">
                          <w:pPr>
                            <w:pStyle w:val="NoSpacing"/>
                            <w:jc w:val="center"/>
                            <w:rPr>
                              <w:rFonts w:ascii="Times New Roman" w:hAnsi="Times New Roman" w:cs="Times New Roman"/>
                              <w:color w:val="000000" w:themeColor="text1"/>
                              <w:sz w:val="20"/>
                              <w:szCs w:val="20"/>
                            </w:rPr>
                          </w:pPr>
                        </w:p>
                      </w:txbxContent>
                    </v:textbox>
                    <w10:wrap anchorx="page" anchory="page"/>
                  </v:shape>
                </w:pict>
              </mc:Fallback>
            </mc:AlternateContent>
          </w:r>
          <w:r w:rsidR="009C571D" w:rsidRPr="00536A81">
            <w:rPr>
              <w:rFonts w:ascii="Times New Roman" w:hAnsi="Times New Roman" w:cs="Times New Roman"/>
              <w:color w:val="000000" w:themeColor="text1"/>
            </w:rPr>
            <w:br w:type="page"/>
          </w:r>
        </w:p>
      </w:sdtContent>
    </w:sdt>
    <w:bookmarkStart w:id="0" w:name="_Toc235527121" w:displacedByCustomXml="prev"/>
    <w:sdt>
      <w:sdtPr>
        <w:rPr>
          <w:rFonts w:ascii="Times New Roman" w:eastAsiaTheme="minorHAnsi" w:hAnsi="Times New Roman" w:cs="Times New Roman"/>
          <w:b w:val="0"/>
          <w:bCs w:val="0"/>
          <w:color w:val="000000" w:themeColor="text1"/>
          <w:kern w:val="2"/>
          <w:sz w:val="24"/>
          <w:szCs w:val="24"/>
          <w:lang w:val="en-GB"/>
          <w14:ligatures w14:val="standardContextual"/>
        </w:rPr>
        <w:id w:val="-483015283"/>
        <w:docPartObj>
          <w:docPartGallery w:val="Table of Contents"/>
          <w:docPartUnique/>
        </w:docPartObj>
      </w:sdtPr>
      <w:sdtEndPr>
        <w:rPr>
          <w:noProof/>
        </w:rPr>
      </w:sdtEndPr>
      <w:sdtContent>
        <w:p w14:paraId="4E95189E" w14:textId="48AEB678" w:rsidR="00B33957" w:rsidRPr="00536A81" w:rsidRDefault="00B33957" w:rsidP="00EC70C5">
          <w:pPr>
            <w:pStyle w:val="TOCHeading"/>
            <w:spacing w:line="360" w:lineRule="auto"/>
            <w:jc w:val="center"/>
            <w:rPr>
              <w:rStyle w:val="Heading1Char"/>
              <w:rFonts w:ascii="Times New Roman" w:hAnsi="Times New Roman" w:cs="Times New Roman"/>
              <w:color w:val="000000" w:themeColor="text1"/>
            </w:rPr>
          </w:pPr>
          <w:r w:rsidRPr="00536A81">
            <w:rPr>
              <w:rStyle w:val="Heading1Char"/>
              <w:rFonts w:ascii="Times New Roman" w:hAnsi="Times New Roman" w:cs="Times New Roman"/>
              <w:color w:val="000000" w:themeColor="text1"/>
            </w:rPr>
            <w:t>Table of Contents</w:t>
          </w:r>
        </w:p>
        <w:p w14:paraId="164DF655" w14:textId="462B9696" w:rsidR="00B028BD" w:rsidRDefault="00B33957">
          <w:pPr>
            <w:pStyle w:val="TOC1"/>
            <w:tabs>
              <w:tab w:val="right" w:leader="dot" w:pos="9016"/>
            </w:tabs>
            <w:rPr>
              <w:rFonts w:eastAsiaTheme="minorEastAsia"/>
              <w:b w:val="0"/>
              <w:bCs w:val="0"/>
              <w:caps w:val="0"/>
              <w:noProof/>
              <w:sz w:val="24"/>
              <w:szCs w:val="24"/>
              <w:u w:val="none"/>
              <w:lang w:eastAsia="en-GB"/>
            </w:rPr>
          </w:pPr>
          <w:r w:rsidRPr="00536A81">
            <w:rPr>
              <w:rFonts w:ascii="Times New Roman" w:hAnsi="Times New Roman" w:cs="Times New Roman"/>
              <w:b w:val="0"/>
              <w:bCs w:val="0"/>
              <w:color w:val="000000" w:themeColor="text1"/>
            </w:rPr>
            <w:fldChar w:fldCharType="begin"/>
          </w:r>
          <w:r w:rsidRPr="00536A81">
            <w:rPr>
              <w:rFonts w:ascii="Times New Roman" w:hAnsi="Times New Roman" w:cs="Times New Roman"/>
              <w:color w:val="000000" w:themeColor="text1"/>
            </w:rPr>
            <w:instrText xml:space="preserve"> TOC \o "1-3" \h \z \u </w:instrText>
          </w:r>
          <w:r w:rsidRPr="00536A81">
            <w:rPr>
              <w:rFonts w:ascii="Times New Roman" w:hAnsi="Times New Roman" w:cs="Times New Roman"/>
              <w:b w:val="0"/>
              <w:bCs w:val="0"/>
              <w:color w:val="000000" w:themeColor="text1"/>
            </w:rPr>
            <w:fldChar w:fldCharType="separate"/>
          </w:r>
          <w:hyperlink w:anchor="_Toc237297172" w:history="1">
            <w:r w:rsidR="00B028BD" w:rsidRPr="0045445D">
              <w:rPr>
                <w:rStyle w:val="Hyperlink"/>
                <w:rFonts w:ascii="Times New Roman" w:hAnsi="Times New Roman" w:cs="Times New Roman"/>
                <w:noProof/>
              </w:rPr>
              <w:t>Task_ 1 Research in Data Security and Compliance</w:t>
            </w:r>
            <w:r w:rsidR="00B028BD">
              <w:rPr>
                <w:noProof/>
                <w:webHidden/>
              </w:rPr>
              <w:tab/>
            </w:r>
            <w:r w:rsidR="00B028BD">
              <w:rPr>
                <w:noProof/>
                <w:webHidden/>
              </w:rPr>
              <w:fldChar w:fldCharType="begin"/>
            </w:r>
            <w:r w:rsidR="00B028BD">
              <w:rPr>
                <w:noProof/>
                <w:webHidden/>
              </w:rPr>
              <w:instrText xml:space="preserve"> PAGEREF _Toc237297172 \h </w:instrText>
            </w:r>
            <w:r w:rsidR="00B028BD">
              <w:rPr>
                <w:noProof/>
                <w:webHidden/>
              </w:rPr>
            </w:r>
            <w:r w:rsidR="00B028BD">
              <w:rPr>
                <w:noProof/>
                <w:webHidden/>
              </w:rPr>
              <w:fldChar w:fldCharType="separate"/>
            </w:r>
            <w:r w:rsidR="00B028BD">
              <w:rPr>
                <w:noProof/>
                <w:webHidden/>
              </w:rPr>
              <w:t>2</w:t>
            </w:r>
            <w:r w:rsidR="00B028BD">
              <w:rPr>
                <w:noProof/>
                <w:webHidden/>
              </w:rPr>
              <w:fldChar w:fldCharType="end"/>
            </w:r>
          </w:hyperlink>
        </w:p>
        <w:p w14:paraId="47EFD3FA" w14:textId="666EEC43" w:rsidR="00B028BD" w:rsidRDefault="00B028BD">
          <w:pPr>
            <w:pStyle w:val="TOC2"/>
            <w:tabs>
              <w:tab w:val="right" w:leader="dot" w:pos="9016"/>
            </w:tabs>
            <w:rPr>
              <w:rFonts w:eastAsiaTheme="minorEastAsia"/>
              <w:b w:val="0"/>
              <w:bCs w:val="0"/>
              <w:smallCaps w:val="0"/>
              <w:noProof/>
              <w:sz w:val="24"/>
              <w:szCs w:val="24"/>
              <w:lang w:eastAsia="en-GB"/>
            </w:rPr>
          </w:pPr>
          <w:hyperlink w:anchor="_Toc237297173" w:history="1">
            <w:r w:rsidRPr="0045445D">
              <w:rPr>
                <w:rStyle w:val="Hyperlink"/>
                <w:rFonts w:ascii="Times New Roman" w:hAnsi="Times New Roman" w:cs="Times New Roman"/>
                <w:noProof/>
              </w:rPr>
              <w:t>Title: The Zero Trust Architecture</w:t>
            </w:r>
            <w:r>
              <w:rPr>
                <w:noProof/>
                <w:webHidden/>
              </w:rPr>
              <w:tab/>
            </w:r>
            <w:r>
              <w:rPr>
                <w:noProof/>
                <w:webHidden/>
              </w:rPr>
              <w:fldChar w:fldCharType="begin"/>
            </w:r>
            <w:r>
              <w:rPr>
                <w:noProof/>
                <w:webHidden/>
              </w:rPr>
              <w:instrText xml:space="preserve"> PAGEREF _Toc237297173 \h </w:instrText>
            </w:r>
            <w:r>
              <w:rPr>
                <w:noProof/>
                <w:webHidden/>
              </w:rPr>
            </w:r>
            <w:r>
              <w:rPr>
                <w:noProof/>
                <w:webHidden/>
              </w:rPr>
              <w:fldChar w:fldCharType="separate"/>
            </w:r>
            <w:r>
              <w:rPr>
                <w:noProof/>
                <w:webHidden/>
              </w:rPr>
              <w:t>2</w:t>
            </w:r>
            <w:r>
              <w:rPr>
                <w:noProof/>
                <w:webHidden/>
              </w:rPr>
              <w:fldChar w:fldCharType="end"/>
            </w:r>
          </w:hyperlink>
        </w:p>
        <w:p w14:paraId="56A3F808" w14:textId="42108286" w:rsidR="00B028BD" w:rsidRDefault="00B028BD">
          <w:pPr>
            <w:pStyle w:val="TOC1"/>
            <w:tabs>
              <w:tab w:val="right" w:leader="dot" w:pos="9016"/>
            </w:tabs>
            <w:rPr>
              <w:rFonts w:eastAsiaTheme="minorEastAsia"/>
              <w:b w:val="0"/>
              <w:bCs w:val="0"/>
              <w:caps w:val="0"/>
              <w:noProof/>
              <w:sz w:val="24"/>
              <w:szCs w:val="24"/>
              <w:u w:val="none"/>
              <w:lang w:eastAsia="en-GB"/>
            </w:rPr>
          </w:pPr>
          <w:hyperlink w:anchor="_Toc237297174" w:history="1">
            <w:r w:rsidRPr="0045445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_Toc237297174 \h </w:instrText>
            </w:r>
            <w:r>
              <w:rPr>
                <w:noProof/>
                <w:webHidden/>
              </w:rPr>
            </w:r>
            <w:r>
              <w:rPr>
                <w:noProof/>
                <w:webHidden/>
              </w:rPr>
              <w:fldChar w:fldCharType="separate"/>
            </w:r>
            <w:r>
              <w:rPr>
                <w:noProof/>
                <w:webHidden/>
              </w:rPr>
              <w:t>2</w:t>
            </w:r>
            <w:r>
              <w:rPr>
                <w:noProof/>
                <w:webHidden/>
              </w:rPr>
              <w:fldChar w:fldCharType="end"/>
            </w:r>
          </w:hyperlink>
        </w:p>
        <w:p w14:paraId="6B6F3F6B" w14:textId="65D9EDCE" w:rsidR="00B028BD" w:rsidRDefault="00B028BD">
          <w:pPr>
            <w:pStyle w:val="TOC2"/>
            <w:tabs>
              <w:tab w:val="right" w:leader="dot" w:pos="9016"/>
            </w:tabs>
            <w:rPr>
              <w:rFonts w:eastAsiaTheme="minorEastAsia"/>
              <w:b w:val="0"/>
              <w:bCs w:val="0"/>
              <w:smallCaps w:val="0"/>
              <w:noProof/>
              <w:sz w:val="24"/>
              <w:szCs w:val="24"/>
              <w:lang w:eastAsia="en-GB"/>
            </w:rPr>
          </w:pPr>
          <w:hyperlink w:anchor="_Toc237297175" w:history="1">
            <w:r w:rsidRPr="0045445D">
              <w:rPr>
                <w:rStyle w:val="Hyperlink"/>
                <w:rFonts w:ascii="Times New Roman" w:hAnsi="Times New Roman" w:cs="Times New Roman"/>
                <w:noProof/>
              </w:rPr>
              <w:t>1- FOUNDATIONS OF ZERO TRUST ARCHITECTURE</w:t>
            </w:r>
            <w:r>
              <w:rPr>
                <w:noProof/>
                <w:webHidden/>
              </w:rPr>
              <w:tab/>
            </w:r>
            <w:r>
              <w:rPr>
                <w:noProof/>
                <w:webHidden/>
              </w:rPr>
              <w:fldChar w:fldCharType="begin"/>
            </w:r>
            <w:r>
              <w:rPr>
                <w:noProof/>
                <w:webHidden/>
              </w:rPr>
              <w:instrText xml:space="preserve"> PAGEREF _Toc237297175 \h </w:instrText>
            </w:r>
            <w:r>
              <w:rPr>
                <w:noProof/>
                <w:webHidden/>
              </w:rPr>
            </w:r>
            <w:r>
              <w:rPr>
                <w:noProof/>
                <w:webHidden/>
              </w:rPr>
              <w:fldChar w:fldCharType="separate"/>
            </w:r>
            <w:r>
              <w:rPr>
                <w:noProof/>
                <w:webHidden/>
              </w:rPr>
              <w:t>3</w:t>
            </w:r>
            <w:r>
              <w:rPr>
                <w:noProof/>
                <w:webHidden/>
              </w:rPr>
              <w:fldChar w:fldCharType="end"/>
            </w:r>
          </w:hyperlink>
        </w:p>
        <w:p w14:paraId="25E0D705" w14:textId="2B26D513" w:rsidR="00B028BD" w:rsidRDefault="00B028BD">
          <w:pPr>
            <w:pStyle w:val="TOC2"/>
            <w:tabs>
              <w:tab w:val="right" w:leader="dot" w:pos="9016"/>
            </w:tabs>
            <w:rPr>
              <w:rFonts w:eastAsiaTheme="minorEastAsia"/>
              <w:b w:val="0"/>
              <w:bCs w:val="0"/>
              <w:smallCaps w:val="0"/>
              <w:noProof/>
              <w:sz w:val="24"/>
              <w:szCs w:val="24"/>
              <w:lang w:eastAsia="en-GB"/>
            </w:rPr>
          </w:pPr>
          <w:hyperlink w:anchor="_Toc237297176" w:history="1">
            <w:r w:rsidRPr="0045445D">
              <w:rPr>
                <w:rStyle w:val="Hyperlink"/>
                <w:rFonts w:ascii="Times New Roman" w:hAnsi="Times New Roman" w:cs="Times New Roman"/>
                <w:noProof/>
              </w:rPr>
              <w:t>1.1 CORE PRINCIPLES AND THE NIST FRAMEWORK</w:t>
            </w:r>
            <w:r>
              <w:rPr>
                <w:noProof/>
                <w:webHidden/>
              </w:rPr>
              <w:tab/>
            </w:r>
            <w:r>
              <w:rPr>
                <w:noProof/>
                <w:webHidden/>
              </w:rPr>
              <w:fldChar w:fldCharType="begin"/>
            </w:r>
            <w:r>
              <w:rPr>
                <w:noProof/>
                <w:webHidden/>
              </w:rPr>
              <w:instrText xml:space="preserve"> PAGEREF _Toc237297176 \h </w:instrText>
            </w:r>
            <w:r>
              <w:rPr>
                <w:noProof/>
                <w:webHidden/>
              </w:rPr>
            </w:r>
            <w:r>
              <w:rPr>
                <w:noProof/>
                <w:webHidden/>
              </w:rPr>
              <w:fldChar w:fldCharType="separate"/>
            </w:r>
            <w:r>
              <w:rPr>
                <w:noProof/>
                <w:webHidden/>
              </w:rPr>
              <w:t>3</w:t>
            </w:r>
            <w:r>
              <w:rPr>
                <w:noProof/>
                <w:webHidden/>
              </w:rPr>
              <w:fldChar w:fldCharType="end"/>
            </w:r>
          </w:hyperlink>
        </w:p>
        <w:p w14:paraId="3DA5AAEA" w14:textId="3AAE4137" w:rsidR="00B028BD" w:rsidRDefault="00B028BD">
          <w:pPr>
            <w:pStyle w:val="TOC2"/>
            <w:tabs>
              <w:tab w:val="right" w:leader="dot" w:pos="9016"/>
            </w:tabs>
            <w:rPr>
              <w:rFonts w:eastAsiaTheme="minorEastAsia"/>
              <w:b w:val="0"/>
              <w:bCs w:val="0"/>
              <w:smallCaps w:val="0"/>
              <w:noProof/>
              <w:sz w:val="24"/>
              <w:szCs w:val="24"/>
              <w:lang w:eastAsia="en-GB"/>
            </w:rPr>
          </w:pPr>
          <w:hyperlink w:anchor="_Toc237297177" w:history="1">
            <w:r w:rsidRPr="0045445D">
              <w:rPr>
                <w:rStyle w:val="Hyperlink"/>
                <w:rFonts w:ascii="Times New Roman" w:hAnsi="Times New Roman" w:cs="Times New Roman"/>
                <w:noProof/>
              </w:rPr>
              <w:t>1.2 ZERO TRUST VS. TRADITIONAL PERIMETER SECURITY</w:t>
            </w:r>
            <w:r>
              <w:rPr>
                <w:noProof/>
                <w:webHidden/>
              </w:rPr>
              <w:tab/>
            </w:r>
            <w:r>
              <w:rPr>
                <w:noProof/>
                <w:webHidden/>
              </w:rPr>
              <w:fldChar w:fldCharType="begin"/>
            </w:r>
            <w:r>
              <w:rPr>
                <w:noProof/>
                <w:webHidden/>
              </w:rPr>
              <w:instrText xml:space="preserve"> PAGEREF _Toc237297177 \h </w:instrText>
            </w:r>
            <w:r>
              <w:rPr>
                <w:noProof/>
                <w:webHidden/>
              </w:rPr>
            </w:r>
            <w:r>
              <w:rPr>
                <w:noProof/>
                <w:webHidden/>
              </w:rPr>
              <w:fldChar w:fldCharType="separate"/>
            </w:r>
            <w:r>
              <w:rPr>
                <w:noProof/>
                <w:webHidden/>
              </w:rPr>
              <w:t>4</w:t>
            </w:r>
            <w:r>
              <w:rPr>
                <w:noProof/>
                <w:webHidden/>
              </w:rPr>
              <w:fldChar w:fldCharType="end"/>
            </w:r>
          </w:hyperlink>
        </w:p>
        <w:p w14:paraId="179AB385" w14:textId="4A5B75FB" w:rsidR="00B028BD" w:rsidRDefault="00B028BD">
          <w:pPr>
            <w:pStyle w:val="TOC2"/>
            <w:tabs>
              <w:tab w:val="right" w:leader="dot" w:pos="9016"/>
            </w:tabs>
            <w:rPr>
              <w:rFonts w:eastAsiaTheme="minorEastAsia"/>
              <w:b w:val="0"/>
              <w:bCs w:val="0"/>
              <w:smallCaps w:val="0"/>
              <w:noProof/>
              <w:sz w:val="24"/>
              <w:szCs w:val="24"/>
              <w:lang w:eastAsia="en-GB"/>
            </w:rPr>
          </w:pPr>
          <w:hyperlink w:anchor="_Toc237297178" w:history="1">
            <w:r w:rsidRPr="0045445D">
              <w:rPr>
                <w:rStyle w:val="Hyperlink"/>
                <w:rFonts w:ascii="Times New Roman" w:hAnsi="Times New Roman" w:cs="Times New Roman"/>
                <w:noProof/>
              </w:rPr>
              <w:t>1.3 IMPLEMENTATION CHALLENGES</w:t>
            </w:r>
            <w:r>
              <w:rPr>
                <w:noProof/>
                <w:webHidden/>
              </w:rPr>
              <w:tab/>
            </w:r>
            <w:r>
              <w:rPr>
                <w:noProof/>
                <w:webHidden/>
              </w:rPr>
              <w:fldChar w:fldCharType="begin"/>
            </w:r>
            <w:r>
              <w:rPr>
                <w:noProof/>
                <w:webHidden/>
              </w:rPr>
              <w:instrText xml:space="preserve"> PAGEREF _Toc237297178 \h </w:instrText>
            </w:r>
            <w:r>
              <w:rPr>
                <w:noProof/>
                <w:webHidden/>
              </w:rPr>
            </w:r>
            <w:r>
              <w:rPr>
                <w:noProof/>
                <w:webHidden/>
              </w:rPr>
              <w:fldChar w:fldCharType="separate"/>
            </w:r>
            <w:r>
              <w:rPr>
                <w:noProof/>
                <w:webHidden/>
              </w:rPr>
              <w:t>5</w:t>
            </w:r>
            <w:r>
              <w:rPr>
                <w:noProof/>
                <w:webHidden/>
              </w:rPr>
              <w:fldChar w:fldCharType="end"/>
            </w:r>
          </w:hyperlink>
        </w:p>
        <w:p w14:paraId="24E5A6FF" w14:textId="2A376722" w:rsidR="00B028BD" w:rsidRDefault="00B028BD">
          <w:pPr>
            <w:pStyle w:val="TOC2"/>
            <w:tabs>
              <w:tab w:val="right" w:leader="dot" w:pos="9016"/>
            </w:tabs>
            <w:rPr>
              <w:rFonts w:eastAsiaTheme="minorEastAsia"/>
              <w:b w:val="0"/>
              <w:bCs w:val="0"/>
              <w:smallCaps w:val="0"/>
              <w:noProof/>
              <w:sz w:val="24"/>
              <w:szCs w:val="24"/>
              <w:lang w:eastAsia="en-GB"/>
            </w:rPr>
          </w:pPr>
          <w:hyperlink w:anchor="_Toc237297179" w:history="1">
            <w:r w:rsidRPr="0045445D">
              <w:rPr>
                <w:rStyle w:val="Hyperlink"/>
                <w:rFonts w:ascii="Times New Roman" w:hAnsi="Times New Roman" w:cs="Times New Roman"/>
                <w:noProof/>
              </w:rPr>
              <w:t>1.4 EFFICACY AND REAL-WORLD OUTCOMES</w:t>
            </w:r>
            <w:r>
              <w:rPr>
                <w:noProof/>
                <w:webHidden/>
              </w:rPr>
              <w:tab/>
            </w:r>
            <w:r>
              <w:rPr>
                <w:noProof/>
                <w:webHidden/>
              </w:rPr>
              <w:fldChar w:fldCharType="begin"/>
            </w:r>
            <w:r>
              <w:rPr>
                <w:noProof/>
                <w:webHidden/>
              </w:rPr>
              <w:instrText xml:space="preserve"> PAGEREF _Toc237297179 \h </w:instrText>
            </w:r>
            <w:r>
              <w:rPr>
                <w:noProof/>
                <w:webHidden/>
              </w:rPr>
            </w:r>
            <w:r>
              <w:rPr>
                <w:noProof/>
                <w:webHidden/>
              </w:rPr>
              <w:fldChar w:fldCharType="separate"/>
            </w:r>
            <w:r>
              <w:rPr>
                <w:noProof/>
                <w:webHidden/>
              </w:rPr>
              <w:t>6</w:t>
            </w:r>
            <w:r>
              <w:rPr>
                <w:noProof/>
                <w:webHidden/>
              </w:rPr>
              <w:fldChar w:fldCharType="end"/>
            </w:r>
          </w:hyperlink>
        </w:p>
        <w:p w14:paraId="19444886" w14:textId="7C2D5F37" w:rsidR="00B028BD" w:rsidRDefault="00B028BD">
          <w:pPr>
            <w:pStyle w:val="TOC2"/>
            <w:tabs>
              <w:tab w:val="right" w:leader="dot" w:pos="9016"/>
            </w:tabs>
            <w:rPr>
              <w:rFonts w:eastAsiaTheme="minorEastAsia"/>
              <w:b w:val="0"/>
              <w:bCs w:val="0"/>
              <w:smallCaps w:val="0"/>
              <w:noProof/>
              <w:sz w:val="24"/>
              <w:szCs w:val="24"/>
              <w:lang w:eastAsia="en-GB"/>
            </w:rPr>
          </w:pPr>
          <w:hyperlink w:anchor="_Toc237297180" w:history="1">
            <w:r w:rsidRPr="0045445D">
              <w:rPr>
                <w:rStyle w:val="Hyperlink"/>
                <w:rFonts w:ascii="Times New Roman" w:hAnsi="Times New Roman" w:cs="Times New Roman"/>
                <w:noProof/>
              </w:rPr>
              <w:t>1.5 CRITICAL ANALYSIS</w:t>
            </w:r>
            <w:r>
              <w:rPr>
                <w:noProof/>
                <w:webHidden/>
              </w:rPr>
              <w:tab/>
            </w:r>
            <w:r>
              <w:rPr>
                <w:noProof/>
                <w:webHidden/>
              </w:rPr>
              <w:fldChar w:fldCharType="begin"/>
            </w:r>
            <w:r>
              <w:rPr>
                <w:noProof/>
                <w:webHidden/>
              </w:rPr>
              <w:instrText xml:space="preserve"> PAGEREF _Toc237297180 \h </w:instrText>
            </w:r>
            <w:r>
              <w:rPr>
                <w:noProof/>
                <w:webHidden/>
              </w:rPr>
            </w:r>
            <w:r>
              <w:rPr>
                <w:noProof/>
                <w:webHidden/>
              </w:rPr>
              <w:fldChar w:fldCharType="separate"/>
            </w:r>
            <w:r>
              <w:rPr>
                <w:noProof/>
                <w:webHidden/>
              </w:rPr>
              <w:t>7</w:t>
            </w:r>
            <w:r>
              <w:rPr>
                <w:noProof/>
                <w:webHidden/>
              </w:rPr>
              <w:fldChar w:fldCharType="end"/>
            </w:r>
          </w:hyperlink>
        </w:p>
        <w:p w14:paraId="6B9F05E2" w14:textId="79A7EF79" w:rsidR="00B028BD" w:rsidRDefault="00B028BD">
          <w:pPr>
            <w:pStyle w:val="TOC1"/>
            <w:tabs>
              <w:tab w:val="right" w:leader="dot" w:pos="9016"/>
            </w:tabs>
            <w:rPr>
              <w:rFonts w:eastAsiaTheme="minorEastAsia"/>
              <w:b w:val="0"/>
              <w:bCs w:val="0"/>
              <w:caps w:val="0"/>
              <w:noProof/>
              <w:sz w:val="24"/>
              <w:szCs w:val="24"/>
              <w:u w:val="none"/>
              <w:lang w:eastAsia="en-GB"/>
            </w:rPr>
          </w:pPr>
          <w:hyperlink w:anchor="_Toc237297181" w:history="1">
            <w:r w:rsidRPr="0045445D">
              <w:rPr>
                <w:rStyle w:val="Hyperlink"/>
                <w:rFonts w:ascii="Times New Roman" w:hAnsi="Times New Roman" w:cs="Times New Roman"/>
                <w:noProof/>
              </w:rPr>
              <w:t>Task_ 2 Case Scenario: Equifax Data Breach</w:t>
            </w:r>
            <w:r>
              <w:rPr>
                <w:noProof/>
                <w:webHidden/>
              </w:rPr>
              <w:tab/>
            </w:r>
            <w:r>
              <w:rPr>
                <w:noProof/>
                <w:webHidden/>
              </w:rPr>
              <w:fldChar w:fldCharType="begin"/>
            </w:r>
            <w:r>
              <w:rPr>
                <w:noProof/>
                <w:webHidden/>
              </w:rPr>
              <w:instrText xml:space="preserve"> PAGEREF _Toc237297181 \h </w:instrText>
            </w:r>
            <w:r>
              <w:rPr>
                <w:noProof/>
                <w:webHidden/>
              </w:rPr>
            </w:r>
            <w:r>
              <w:rPr>
                <w:noProof/>
                <w:webHidden/>
              </w:rPr>
              <w:fldChar w:fldCharType="separate"/>
            </w:r>
            <w:r>
              <w:rPr>
                <w:noProof/>
                <w:webHidden/>
              </w:rPr>
              <w:t>9</w:t>
            </w:r>
            <w:r>
              <w:rPr>
                <w:noProof/>
                <w:webHidden/>
              </w:rPr>
              <w:fldChar w:fldCharType="end"/>
            </w:r>
          </w:hyperlink>
        </w:p>
        <w:p w14:paraId="4EB19AB3" w14:textId="634F1393" w:rsidR="00B028BD" w:rsidRDefault="00B028BD">
          <w:pPr>
            <w:pStyle w:val="TOC2"/>
            <w:tabs>
              <w:tab w:val="right" w:leader="dot" w:pos="9016"/>
            </w:tabs>
            <w:rPr>
              <w:rFonts w:eastAsiaTheme="minorEastAsia"/>
              <w:b w:val="0"/>
              <w:bCs w:val="0"/>
              <w:smallCaps w:val="0"/>
              <w:noProof/>
              <w:sz w:val="24"/>
              <w:szCs w:val="24"/>
              <w:lang w:eastAsia="en-GB"/>
            </w:rPr>
          </w:pPr>
          <w:hyperlink w:anchor="_Toc237297182" w:history="1">
            <w:r w:rsidRPr="0045445D">
              <w:rPr>
                <w:rStyle w:val="Hyperlink"/>
                <w:rFonts w:ascii="Times New Roman" w:hAnsi="Times New Roman" w:cs="Times New Roman"/>
                <w:noProof/>
              </w:rPr>
              <w:t xml:space="preserve">Title: Designing a Forward-Looking Cybersecurity Programme After the 2017 Equifax Data Breach. 2. ORGANISATIONAL STRUCTURE </w:t>
            </w:r>
            <w:r w:rsidRPr="0045445D">
              <w:rPr>
                <w:rStyle w:val="Hyperlink"/>
                <w:rFonts w:ascii="Times New Roman" w:eastAsia="Times New Roman" w:hAnsi="Times New Roman" w:cs="Times New Roman"/>
                <w:noProof/>
                <w:kern w:val="0"/>
                <w:lang w:eastAsia="en-GB"/>
                <w14:ligatures w14:val="none"/>
              </w:rPr>
              <w:t>AND ACCOUNTABILITY</w:t>
            </w:r>
            <w:r>
              <w:rPr>
                <w:noProof/>
                <w:webHidden/>
              </w:rPr>
              <w:tab/>
            </w:r>
            <w:r>
              <w:rPr>
                <w:noProof/>
                <w:webHidden/>
              </w:rPr>
              <w:fldChar w:fldCharType="begin"/>
            </w:r>
            <w:r>
              <w:rPr>
                <w:noProof/>
                <w:webHidden/>
              </w:rPr>
              <w:instrText xml:space="preserve"> PAGEREF _Toc237297182 \h </w:instrText>
            </w:r>
            <w:r>
              <w:rPr>
                <w:noProof/>
                <w:webHidden/>
              </w:rPr>
            </w:r>
            <w:r>
              <w:rPr>
                <w:noProof/>
                <w:webHidden/>
              </w:rPr>
              <w:fldChar w:fldCharType="separate"/>
            </w:r>
            <w:r>
              <w:rPr>
                <w:noProof/>
                <w:webHidden/>
              </w:rPr>
              <w:t>9</w:t>
            </w:r>
            <w:r>
              <w:rPr>
                <w:noProof/>
                <w:webHidden/>
              </w:rPr>
              <w:fldChar w:fldCharType="end"/>
            </w:r>
          </w:hyperlink>
        </w:p>
        <w:p w14:paraId="0E889893" w14:textId="2D69CB7F" w:rsidR="00B028BD" w:rsidRDefault="00B028BD">
          <w:pPr>
            <w:pStyle w:val="TOC3"/>
            <w:tabs>
              <w:tab w:val="right" w:leader="dot" w:pos="9016"/>
            </w:tabs>
            <w:rPr>
              <w:rFonts w:eastAsiaTheme="minorEastAsia"/>
              <w:smallCaps w:val="0"/>
              <w:noProof/>
              <w:sz w:val="24"/>
              <w:szCs w:val="24"/>
              <w:lang w:eastAsia="en-GB"/>
            </w:rPr>
          </w:pPr>
          <w:hyperlink w:anchor="_Toc237297183" w:history="1">
            <w:r w:rsidRPr="0045445D">
              <w:rPr>
                <w:rStyle w:val="Hyperlink"/>
                <w:rFonts w:ascii="Times New Roman" w:eastAsia="Times New Roman" w:hAnsi="Times New Roman" w:cs="Times New Roman"/>
                <w:b/>
                <w:bCs/>
                <w:noProof/>
                <w:lang w:eastAsia="en-GB"/>
              </w:rPr>
              <w:t>TABLE I — Proposed Information Security Governance Structure</w:t>
            </w:r>
            <w:r>
              <w:rPr>
                <w:noProof/>
                <w:webHidden/>
              </w:rPr>
              <w:tab/>
            </w:r>
            <w:r>
              <w:rPr>
                <w:noProof/>
                <w:webHidden/>
              </w:rPr>
              <w:fldChar w:fldCharType="begin"/>
            </w:r>
            <w:r>
              <w:rPr>
                <w:noProof/>
                <w:webHidden/>
              </w:rPr>
              <w:instrText xml:space="preserve"> PAGEREF _Toc237297183 \h </w:instrText>
            </w:r>
            <w:r>
              <w:rPr>
                <w:noProof/>
                <w:webHidden/>
              </w:rPr>
            </w:r>
            <w:r>
              <w:rPr>
                <w:noProof/>
                <w:webHidden/>
              </w:rPr>
              <w:fldChar w:fldCharType="separate"/>
            </w:r>
            <w:r>
              <w:rPr>
                <w:noProof/>
                <w:webHidden/>
              </w:rPr>
              <w:t>10</w:t>
            </w:r>
            <w:r>
              <w:rPr>
                <w:noProof/>
                <w:webHidden/>
              </w:rPr>
              <w:fldChar w:fldCharType="end"/>
            </w:r>
          </w:hyperlink>
        </w:p>
        <w:p w14:paraId="2952072F" w14:textId="66144B68" w:rsidR="00B028BD" w:rsidRDefault="00B028BD">
          <w:pPr>
            <w:pStyle w:val="TOC2"/>
            <w:tabs>
              <w:tab w:val="right" w:leader="dot" w:pos="9016"/>
            </w:tabs>
            <w:rPr>
              <w:rFonts w:eastAsiaTheme="minorEastAsia"/>
              <w:b w:val="0"/>
              <w:bCs w:val="0"/>
              <w:smallCaps w:val="0"/>
              <w:noProof/>
              <w:sz w:val="24"/>
              <w:szCs w:val="24"/>
              <w:lang w:eastAsia="en-GB"/>
            </w:rPr>
          </w:pPr>
          <w:hyperlink w:anchor="_Toc237297184" w:history="1">
            <w:r w:rsidRPr="0045445D">
              <w:rPr>
                <w:rStyle w:val="Hyperlink"/>
                <w:rFonts w:ascii="Times New Roman" w:hAnsi="Times New Roman" w:cs="Times New Roman"/>
                <w:noProof/>
              </w:rPr>
              <w:t>2.1 POLICIES AND PROCEDURES</w:t>
            </w:r>
            <w:r>
              <w:rPr>
                <w:noProof/>
                <w:webHidden/>
              </w:rPr>
              <w:tab/>
            </w:r>
            <w:r>
              <w:rPr>
                <w:noProof/>
                <w:webHidden/>
              </w:rPr>
              <w:fldChar w:fldCharType="begin"/>
            </w:r>
            <w:r>
              <w:rPr>
                <w:noProof/>
                <w:webHidden/>
              </w:rPr>
              <w:instrText xml:space="preserve"> PAGEREF _Toc237297184 \h </w:instrText>
            </w:r>
            <w:r>
              <w:rPr>
                <w:noProof/>
                <w:webHidden/>
              </w:rPr>
            </w:r>
            <w:r>
              <w:rPr>
                <w:noProof/>
                <w:webHidden/>
              </w:rPr>
              <w:fldChar w:fldCharType="separate"/>
            </w:r>
            <w:r>
              <w:rPr>
                <w:noProof/>
                <w:webHidden/>
              </w:rPr>
              <w:t>11</w:t>
            </w:r>
            <w:r>
              <w:rPr>
                <w:noProof/>
                <w:webHidden/>
              </w:rPr>
              <w:fldChar w:fldCharType="end"/>
            </w:r>
          </w:hyperlink>
        </w:p>
        <w:p w14:paraId="4AEA705D" w14:textId="48F519BC" w:rsidR="00B028BD" w:rsidRDefault="00B028BD">
          <w:pPr>
            <w:pStyle w:val="TOC2"/>
            <w:tabs>
              <w:tab w:val="right" w:leader="dot" w:pos="9016"/>
            </w:tabs>
            <w:rPr>
              <w:rFonts w:eastAsiaTheme="minorEastAsia"/>
              <w:b w:val="0"/>
              <w:bCs w:val="0"/>
              <w:smallCaps w:val="0"/>
              <w:noProof/>
              <w:sz w:val="24"/>
              <w:szCs w:val="24"/>
              <w:lang w:eastAsia="en-GB"/>
            </w:rPr>
          </w:pPr>
          <w:hyperlink w:anchor="_Toc237297185" w:history="1">
            <w:r w:rsidRPr="0045445D">
              <w:rPr>
                <w:rStyle w:val="Hyperlink"/>
                <w:rFonts w:ascii="Times New Roman" w:hAnsi="Times New Roman" w:cs="Times New Roman"/>
                <w:noProof/>
              </w:rPr>
              <w:t>2.2 GOVERNANCE AND STRATEGIC ALIGNMENT</w:t>
            </w:r>
            <w:r>
              <w:rPr>
                <w:noProof/>
                <w:webHidden/>
              </w:rPr>
              <w:tab/>
            </w:r>
            <w:r>
              <w:rPr>
                <w:noProof/>
                <w:webHidden/>
              </w:rPr>
              <w:fldChar w:fldCharType="begin"/>
            </w:r>
            <w:r>
              <w:rPr>
                <w:noProof/>
                <w:webHidden/>
              </w:rPr>
              <w:instrText xml:space="preserve"> PAGEREF _Toc237297185 \h </w:instrText>
            </w:r>
            <w:r>
              <w:rPr>
                <w:noProof/>
                <w:webHidden/>
              </w:rPr>
            </w:r>
            <w:r>
              <w:rPr>
                <w:noProof/>
                <w:webHidden/>
              </w:rPr>
              <w:fldChar w:fldCharType="separate"/>
            </w:r>
            <w:r>
              <w:rPr>
                <w:noProof/>
                <w:webHidden/>
              </w:rPr>
              <w:t>12</w:t>
            </w:r>
            <w:r>
              <w:rPr>
                <w:noProof/>
                <w:webHidden/>
              </w:rPr>
              <w:fldChar w:fldCharType="end"/>
            </w:r>
          </w:hyperlink>
        </w:p>
        <w:p w14:paraId="1EE574E8" w14:textId="752A03B5" w:rsidR="00B028BD" w:rsidRDefault="00B028BD">
          <w:pPr>
            <w:pStyle w:val="TOC3"/>
            <w:tabs>
              <w:tab w:val="right" w:leader="dot" w:pos="9016"/>
            </w:tabs>
            <w:rPr>
              <w:rFonts w:eastAsiaTheme="minorEastAsia"/>
              <w:smallCaps w:val="0"/>
              <w:noProof/>
              <w:sz w:val="24"/>
              <w:szCs w:val="24"/>
              <w:lang w:eastAsia="en-GB"/>
            </w:rPr>
          </w:pPr>
          <w:hyperlink w:anchor="_Toc237297186" w:history="1">
            <w:r w:rsidRPr="0045445D">
              <w:rPr>
                <w:rStyle w:val="Hyperlink"/>
                <w:rFonts w:ascii="Times New Roman" w:eastAsia="Times New Roman" w:hAnsi="Times New Roman" w:cs="Times New Roman"/>
                <w:b/>
                <w:bCs/>
                <w:noProof/>
                <w:lang w:eastAsia="en-GB"/>
              </w:rPr>
              <w:t>TABLE II — NIST CSF 2.0 Applied to Post-Equifax Programme</w:t>
            </w:r>
            <w:r>
              <w:rPr>
                <w:noProof/>
                <w:webHidden/>
              </w:rPr>
              <w:tab/>
            </w:r>
            <w:r>
              <w:rPr>
                <w:noProof/>
                <w:webHidden/>
              </w:rPr>
              <w:fldChar w:fldCharType="begin"/>
            </w:r>
            <w:r>
              <w:rPr>
                <w:noProof/>
                <w:webHidden/>
              </w:rPr>
              <w:instrText xml:space="preserve"> PAGEREF _Toc237297186 \h </w:instrText>
            </w:r>
            <w:r>
              <w:rPr>
                <w:noProof/>
                <w:webHidden/>
              </w:rPr>
            </w:r>
            <w:r>
              <w:rPr>
                <w:noProof/>
                <w:webHidden/>
              </w:rPr>
              <w:fldChar w:fldCharType="separate"/>
            </w:r>
            <w:r>
              <w:rPr>
                <w:noProof/>
                <w:webHidden/>
              </w:rPr>
              <w:t>12</w:t>
            </w:r>
            <w:r>
              <w:rPr>
                <w:noProof/>
                <w:webHidden/>
              </w:rPr>
              <w:fldChar w:fldCharType="end"/>
            </w:r>
          </w:hyperlink>
        </w:p>
        <w:p w14:paraId="63C2A8F1" w14:textId="2C9226C1" w:rsidR="00B028BD" w:rsidRDefault="00B028BD">
          <w:pPr>
            <w:pStyle w:val="TOC2"/>
            <w:tabs>
              <w:tab w:val="right" w:leader="dot" w:pos="9016"/>
            </w:tabs>
            <w:rPr>
              <w:rFonts w:eastAsiaTheme="minorEastAsia"/>
              <w:b w:val="0"/>
              <w:bCs w:val="0"/>
              <w:smallCaps w:val="0"/>
              <w:noProof/>
              <w:sz w:val="24"/>
              <w:szCs w:val="24"/>
              <w:lang w:eastAsia="en-GB"/>
            </w:rPr>
          </w:pPr>
          <w:hyperlink w:anchor="_Toc237297187" w:history="1">
            <w:r w:rsidRPr="0045445D">
              <w:rPr>
                <w:rStyle w:val="Hyperlink"/>
                <w:rFonts w:ascii="Times New Roman" w:hAnsi="Times New Roman" w:cs="Times New Roman"/>
                <w:noProof/>
              </w:rPr>
              <w:t>2.3 RISK MANAGEMENT AND ASSESSMENT</w:t>
            </w:r>
            <w:r>
              <w:rPr>
                <w:noProof/>
                <w:webHidden/>
              </w:rPr>
              <w:tab/>
            </w:r>
            <w:r>
              <w:rPr>
                <w:noProof/>
                <w:webHidden/>
              </w:rPr>
              <w:fldChar w:fldCharType="begin"/>
            </w:r>
            <w:r>
              <w:rPr>
                <w:noProof/>
                <w:webHidden/>
              </w:rPr>
              <w:instrText xml:space="preserve"> PAGEREF _Toc237297187 \h </w:instrText>
            </w:r>
            <w:r>
              <w:rPr>
                <w:noProof/>
                <w:webHidden/>
              </w:rPr>
            </w:r>
            <w:r>
              <w:rPr>
                <w:noProof/>
                <w:webHidden/>
              </w:rPr>
              <w:fldChar w:fldCharType="separate"/>
            </w:r>
            <w:r>
              <w:rPr>
                <w:noProof/>
                <w:webHidden/>
              </w:rPr>
              <w:t>13</w:t>
            </w:r>
            <w:r>
              <w:rPr>
                <w:noProof/>
                <w:webHidden/>
              </w:rPr>
              <w:fldChar w:fldCharType="end"/>
            </w:r>
          </w:hyperlink>
        </w:p>
        <w:p w14:paraId="3DD81C63" w14:textId="66A42046" w:rsidR="00B028BD" w:rsidRDefault="00B028BD">
          <w:pPr>
            <w:pStyle w:val="TOC3"/>
            <w:tabs>
              <w:tab w:val="right" w:leader="dot" w:pos="9016"/>
            </w:tabs>
            <w:rPr>
              <w:rFonts w:eastAsiaTheme="minorEastAsia"/>
              <w:smallCaps w:val="0"/>
              <w:noProof/>
              <w:sz w:val="24"/>
              <w:szCs w:val="24"/>
              <w:lang w:eastAsia="en-GB"/>
            </w:rPr>
          </w:pPr>
          <w:hyperlink w:anchor="_Toc237297188" w:history="1">
            <w:r w:rsidRPr="0045445D">
              <w:rPr>
                <w:rStyle w:val="Hyperlink"/>
                <w:rFonts w:ascii="Times New Roman" w:eastAsia="Times New Roman" w:hAnsi="Times New Roman" w:cs="Times New Roman"/>
                <w:b/>
                <w:bCs/>
                <w:noProof/>
                <w:lang w:eastAsia="en-GB"/>
              </w:rPr>
              <w:t>TABLE III — High-Level Risk Assessment</w:t>
            </w:r>
            <w:r>
              <w:rPr>
                <w:noProof/>
                <w:webHidden/>
              </w:rPr>
              <w:tab/>
            </w:r>
            <w:r>
              <w:rPr>
                <w:noProof/>
                <w:webHidden/>
              </w:rPr>
              <w:fldChar w:fldCharType="begin"/>
            </w:r>
            <w:r>
              <w:rPr>
                <w:noProof/>
                <w:webHidden/>
              </w:rPr>
              <w:instrText xml:space="preserve"> PAGEREF _Toc237297188 \h </w:instrText>
            </w:r>
            <w:r>
              <w:rPr>
                <w:noProof/>
                <w:webHidden/>
              </w:rPr>
            </w:r>
            <w:r>
              <w:rPr>
                <w:noProof/>
                <w:webHidden/>
              </w:rPr>
              <w:fldChar w:fldCharType="separate"/>
            </w:r>
            <w:r>
              <w:rPr>
                <w:noProof/>
                <w:webHidden/>
              </w:rPr>
              <w:t>14</w:t>
            </w:r>
            <w:r>
              <w:rPr>
                <w:noProof/>
                <w:webHidden/>
              </w:rPr>
              <w:fldChar w:fldCharType="end"/>
            </w:r>
          </w:hyperlink>
        </w:p>
        <w:p w14:paraId="26C5DEF4" w14:textId="0FAD7910" w:rsidR="00B028BD" w:rsidRDefault="00B028BD">
          <w:pPr>
            <w:pStyle w:val="TOC2"/>
            <w:tabs>
              <w:tab w:val="right" w:leader="dot" w:pos="9016"/>
            </w:tabs>
            <w:rPr>
              <w:rFonts w:eastAsiaTheme="minorEastAsia"/>
              <w:b w:val="0"/>
              <w:bCs w:val="0"/>
              <w:smallCaps w:val="0"/>
              <w:noProof/>
              <w:sz w:val="24"/>
              <w:szCs w:val="24"/>
              <w:lang w:eastAsia="en-GB"/>
            </w:rPr>
          </w:pPr>
          <w:hyperlink w:anchor="_Toc237297189" w:history="1">
            <w:r w:rsidRPr="0045445D">
              <w:rPr>
                <w:rStyle w:val="Hyperlink"/>
                <w:rFonts w:ascii="Times New Roman" w:hAnsi="Times New Roman" w:cs="Times New Roman"/>
                <w:noProof/>
              </w:rPr>
              <w:t>2.4 COMPLIANCE, INCIDENT RESPONSE, AND PROTECTION CONTROLS</w:t>
            </w:r>
            <w:r>
              <w:rPr>
                <w:noProof/>
                <w:webHidden/>
              </w:rPr>
              <w:tab/>
            </w:r>
            <w:r>
              <w:rPr>
                <w:noProof/>
                <w:webHidden/>
              </w:rPr>
              <w:fldChar w:fldCharType="begin"/>
            </w:r>
            <w:r>
              <w:rPr>
                <w:noProof/>
                <w:webHidden/>
              </w:rPr>
              <w:instrText xml:space="preserve"> PAGEREF _Toc237297189 \h </w:instrText>
            </w:r>
            <w:r>
              <w:rPr>
                <w:noProof/>
                <w:webHidden/>
              </w:rPr>
            </w:r>
            <w:r>
              <w:rPr>
                <w:noProof/>
                <w:webHidden/>
              </w:rPr>
              <w:fldChar w:fldCharType="separate"/>
            </w:r>
            <w:r>
              <w:rPr>
                <w:noProof/>
                <w:webHidden/>
              </w:rPr>
              <w:t>15</w:t>
            </w:r>
            <w:r>
              <w:rPr>
                <w:noProof/>
                <w:webHidden/>
              </w:rPr>
              <w:fldChar w:fldCharType="end"/>
            </w:r>
          </w:hyperlink>
        </w:p>
        <w:p w14:paraId="1006FA14" w14:textId="58EC5ADC" w:rsidR="00B028BD" w:rsidRDefault="00B028BD">
          <w:pPr>
            <w:pStyle w:val="TOC1"/>
            <w:tabs>
              <w:tab w:val="right" w:leader="dot" w:pos="9016"/>
            </w:tabs>
            <w:rPr>
              <w:rFonts w:eastAsiaTheme="minorEastAsia"/>
              <w:b w:val="0"/>
              <w:bCs w:val="0"/>
              <w:caps w:val="0"/>
              <w:noProof/>
              <w:sz w:val="24"/>
              <w:szCs w:val="24"/>
              <w:u w:val="none"/>
              <w:lang w:eastAsia="en-GB"/>
            </w:rPr>
          </w:pPr>
          <w:hyperlink w:anchor="_Toc237297190" w:history="1">
            <w:r w:rsidRPr="0045445D">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_Toc237297190 \h </w:instrText>
            </w:r>
            <w:r>
              <w:rPr>
                <w:noProof/>
                <w:webHidden/>
              </w:rPr>
            </w:r>
            <w:r>
              <w:rPr>
                <w:noProof/>
                <w:webHidden/>
              </w:rPr>
              <w:fldChar w:fldCharType="separate"/>
            </w:r>
            <w:r>
              <w:rPr>
                <w:noProof/>
                <w:webHidden/>
              </w:rPr>
              <w:t>18</w:t>
            </w:r>
            <w:r>
              <w:rPr>
                <w:noProof/>
                <w:webHidden/>
              </w:rPr>
              <w:fldChar w:fldCharType="end"/>
            </w:r>
          </w:hyperlink>
        </w:p>
        <w:p w14:paraId="48DE380B" w14:textId="76B49705" w:rsidR="00B33957" w:rsidRPr="00536A81" w:rsidRDefault="00B33957" w:rsidP="007811C8">
          <w:pPr>
            <w:spacing w:line="360" w:lineRule="auto"/>
            <w:jc w:val="both"/>
            <w:rPr>
              <w:rFonts w:ascii="Times New Roman" w:hAnsi="Times New Roman" w:cs="Times New Roman"/>
              <w:color w:val="000000" w:themeColor="text1"/>
            </w:rPr>
          </w:pPr>
          <w:r w:rsidRPr="00536A81">
            <w:rPr>
              <w:rFonts w:ascii="Times New Roman" w:hAnsi="Times New Roman" w:cs="Times New Roman"/>
              <w:b/>
              <w:bCs/>
              <w:noProof/>
              <w:color w:val="000000" w:themeColor="text1"/>
            </w:rPr>
            <w:fldChar w:fldCharType="end"/>
          </w:r>
        </w:p>
      </w:sdtContent>
    </w:sdt>
    <w:p w14:paraId="610841C7" w14:textId="77777777" w:rsidR="00BA22B6" w:rsidRPr="00536A81" w:rsidRDefault="00B33957" w:rsidP="007811C8">
      <w:pPr>
        <w:pStyle w:val="Heading1"/>
        <w:spacing w:line="360" w:lineRule="auto"/>
        <w:jc w:val="both"/>
        <w:rPr>
          <w:rStyle w:val="Strong"/>
          <w:rFonts w:ascii="Times New Roman" w:hAnsi="Times New Roman" w:cs="Times New Roman"/>
          <w:color w:val="000000" w:themeColor="text1"/>
        </w:rPr>
      </w:pPr>
      <w:r w:rsidRPr="00536A81">
        <w:rPr>
          <w:rStyle w:val="Strong"/>
          <w:rFonts w:ascii="Times New Roman" w:hAnsi="Times New Roman" w:cs="Times New Roman"/>
          <w:color w:val="000000" w:themeColor="text1"/>
        </w:rPr>
        <w:br/>
      </w:r>
    </w:p>
    <w:p w14:paraId="170AFE16" w14:textId="77777777" w:rsidR="00BA22B6" w:rsidRPr="00536A81" w:rsidRDefault="00BA22B6" w:rsidP="007811C8">
      <w:pPr>
        <w:spacing w:line="360" w:lineRule="auto"/>
        <w:jc w:val="both"/>
        <w:rPr>
          <w:rStyle w:val="Strong"/>
          <w:rFonts w:ascii="Times New Roman" w:eastAsiaTheme="majorEastAsia" w:hAnsi="Times New Roman" w:cs="Times New Roman"/>
          <w:color w:val="000000" w:themeColor="text1"/>
          <w:sz w:val="40"/>
          <w:szCs w:val="40"/>
        </w:rPr>
      </w:pPr>
      <w:r w:rsidRPr="00536A81">
        <w:rPr>
          <w:rStyle w:val="Strong"/>
          <w:rFonts w:ascii="Times New Roman" w:hAnsi="Times New Roman" w:cs="Times New Roman"/>
          <w:color w:val="000000" w:themeColor="text1"/>
        </w:rPr>
        <w:br w:type="page"/>
      </w:r>
    </w:p>
    <w:p w14:paraId="203A4FD0" w14:textId="14D052F3" w:rsidR="00F52F31" w:rsidRPr="00536A81" w:rsidRDefault="00F52F31" w:rsidP="007811C8">
      <w:pPr>
        <w:pStyle w:val="Heading1"/>
        <w:spacing w:line="360" w:lineRule="auto"/>
        <w:jc w:val="center"/>
        <w:rPr>
          <w:rStyle w:val="Strong"/>
          <w:rFonts w:ascii="Times New Roman" w:hAnsi="Times New Roman" w:cs="Times New Roman"/>
          <w:b w:val="0"/>
          <w:bCs w:val="0"/>
          <w:color w:val="000000" w:themeColor="text1"/>
        </w:rPr>
      </w:pPr>
      <w:bookmarkStart w:id="1" w:name="_Toc237297172"/>
      <w:r w:rsidRPr="00536A81">
        <w:rPr>
          <w:rStyle w:val="Strong"/>
          <w:rFonts w:ascii="Times New Roman" w:hAnsi="Times New Roman" w:cs="Times New Roman"/>
          <w:color w:val="000000" w:themeColor="text1"/>
        </w:rPr>
        <w:lastRenderedPageBreak/>
        <w:t>Task_ 1 Research in Data Security and Compliance</w:t>
      </w:r>
      <w:bookmarkEnd w:id="0"/>
      <w:bookmarkEnd w:id="1"/>
    </w:p>
    <w:p w14:paraId="1C6ACDC9" w14:textId="78E50644" w:rsidR="00180E71" w:rsidRPr="00536A81" w:rsidRDefault="00F52F31" w:rsidP="007811C8">
      <w:pPr>
        <w:pStyle w:val="Heading2"/>
        <w:spacing w:line="360" w:lineRule="auto"/>
        <w:jc w:val="center"/>
        <w:rPr>
          <w:rFonts w:ascii="Times New Roman" w:hAnsi="Times New Roman" w:cs="Times New Roman"/>
          <w:color w:val="000000" w:themeColor="text1"/>
        </w:rPr>
      </w:pPr>
      <w:bookmarkStart w:id="2" w:name="_Toc235527122"/>
      <w:bookmarkStart w:id="3" w:name="_Toc237297173"/>
      <w:r w:rsidRPr="00536A81">
        <w:rPr>
          <w:rStyle w:val="Strong"/>
          <w:rFonts w:ascii="Times New Roman" w:hAnsi="Times New Roman" w:cs="Times New Roman"/>
          <w:color w:val="000000" w:themeColor="text1"/>
        </w:rPr>
        <w:t>Title: The Zero Trust Architecture</w:t>
      </w:r>
      <w:bookmarkEnd w:id="2"/>
      <w:bookmarkEnd w:id="3"/>
    </w:p>
    <w:p w14:paraId="48656917" w14:textId="3E7443A1" w:rsidR="00180E71" w:rsidRPr="00536A81" w:rsidRDefault="00180E71" w:rsidP="007811C8">
      <w:pPr>
        <w:pStyle w:val="Heading1"/>
        <w:spacing w:line="360" w:lineRule="auto"/>
        <w:jc w:val="center"/>
        <w:rPr>
          <w:rFonts w:ascii="Times New Roman" w:hAnsi="Times New Roman" w:cs="Times New Roman"/>
          <w:color w:val="000000" w:themeColor="text1"/>
          <w:sz w:val="36"/>
          <w:szCs w:val="36"/>
        </w:rPr>
      </w:pPr>
      <w:bookmarkStart w:id="4" w:name="_Toc235527123"/>
      <w:bookmarkStart w:id="5" w:name="_Toc237297174"/>
      <w:r w:rsidRPr="00536A81">
        <w:rPr>
          <w:rStyle w:val="Strong"/>
          <w:rFonts w:ascii="Times New Roman" w:hAnsi="Times New Roman" w:cs="Times New Roman"/>
          <w:color w:val="000000" w:themeColor="text1"/>
          <w:sz w:val="36"/>
          <w:szCs w:val="36"/>
        </w:rPr>
        <w:t>INTRODUCTION</w:t>
      </w:r>
      <w:bookmarkEnd w:id="4"/>
      <w:bookmarkEnd w:id="5"/>
    </w:p>
    <w:p w14:paraId="757D85B9" w14:textId="77777777" w:rsidR="00180E71" w:rsidRPr="00536A81" w:rsidRDefault="00180E71" w:rsidP="007811C8">
      <w:pPr>
        <w:pStyle w:val="font-claude-response-body"/>
        <w:spacing w:line="360" w:lineRule="auto"/>
        <w:jc w:val="both"/>
        <w:rPr>
          <w:color w:val="000000" w:themeColor="text1"/>
        </w:rPr>
      </w:pPr>
      <w:r w:rsidRPr="00536A81">
        <w:rPr>
          <w:color w:val="000000" w:themeColor="text1"/>
        </w:rPr>
        <w:t>Security models tend to outlast the environments they were designed for. The perimeter model assumed threats lived outside the network and that inside, trust could be extended freely. For a long time that was a workable approximation. Then cloud infrastructure moved critical workloads onto hardware organisations do not own, remote work scattered users beyond any boundary security teams could police, and adversaries grew sophisticated enough that getting through the perimeter was no longer the hard part. Staying undetected long enough to accomplish an objective became the challenge, and a trusted interior gave them exactly the time they needed.</w:t>
      </w:r>
    </w:p>
    <w:p w14:paraId="6B7FF966" w14:textId="77777777" w:rsidR="00180E71" w:rsidRPr="00536A81" w:rsidRDefault="00180E71" w:rsidP="007811C8">
      <w:pPr>
        <w:pStyle w:val="font-claude-response-body"/>
        <w:spacing w:line="360" w:lineRule="auto"/>
        <w:jc w:val="both"/>
        <w:rPr>
          <w:color w:val="000000" w:themeColor="text1"/>
        </w:rPr>
      </w:pPr>
      <w:r w:rsidRPr="00536A81">
        <w:rPr>
          <w:color w:val="000000" w:themeColor="text1"/>
        </w:rPr>
        <w:t>Zero Trust Architecture responds to this directly. Its proposition is that no user, device, or system should be trusted by default, regardless of network location. Every access request must be verified against current identity and device state. Every session must be authenticated before it is permitted. The logic is not complicated; the implications for how access is designed, enforced, and monitored across an entire organisation are.</w:t>
      </w:r>
    </w:p>
    <w:p w14:paraId="43990A7F" w14:textId="2180FE5D" w:rsidR="00A225BE" w:rsidRPr="00536A81" w:rsidRDefault="00A225BE" w:rsidP="007811C8">
      <w:pPr>
        <w:pStyle w:val="font-claude-response-body"/>
        <w:spacing w:line="360" w:lineRule="auto"/>
        <w:jc w:val="both"/>
        <w:rPr>
          <w:color w:val="000000" w:themeColor="text1"/>
        </w:rPr>
      </w:pPr>
      <w:r w:rsidRPr="00536A81">
        <w:t xml:space="preserve">This paper examines those implications in two connected parts. The first is a critical analysis of Zero Trust: its origins, its frameworks, how it compares to the perimeter model, why implementation is harder than the concept suggests, and what the evidence says about whether it </w:t>
      </w:r>
      <w:proofErr w:type="gramStart"/>
      <w:r w:rsidRPr="00536A81">
        <w:t>actually works</w:t>
      </w:r>
      <w:proofErr w:type="gramEnd"/>
      <w:r w:rsidRPr="00536A81">
        <w:t>. The second applies that analysis to the 2017 Equifax data breach, using it as both a diagnostic of what went wrong and a design brief for what should have been in place. Equifax failed to patch a publicly known Apache Struts vulnerability for 78 days, allowing attackers to access 48 databases containing the personal data of 147 million individuals over 76 days of undetected access</w:t>
      </w:r>
      <w:r w:rsidR="00193660">
        <w:rPr>
          <w:color w:val="EE0000"/>
        </w:rPr>
        <w:t>.</w:t>
      </w:r>
      <w:r w:rsidRPr="00536A81">
        <w:rPr>
          <w:color w:val="EE0000"/>
        </w:rPr>
        <w:t xml:space="preserve"> </w:t>
      </w:r>
      <w:r w:rsidRPr="00536A81">
        <w:t>The failures were not purely technical: they reflected a governance structure that did not treat security as a board-level concern, policies that were not enforced, and a risk management process that did not accurately reflect the organisation's actual exposure. The programme designed in Task 2 addresses each of these directly.</w:t>
      </w:r>
    </w:p>
    <w:p w14:paraId="4DF35936" w14:textId="5118541B" w:rsidR="00180E71" w:rsidRPr="00B028BD" w:rsidRDefault="00F52F31" w:rsidP="009557CA">
      <w:pPr>
        <w:pStyle w:val="Heading2"/>
        <w:rPr>
          <w:rFonts w:ascii="Times New Roman" w:hAnsi="Times New Roman" w:cs="Times New Roman"/>
          <w:color w:val="000000" w:themeColor="text1"/>
          <w:sz w:val="28"/>
          <w:szCs w:val="28"/>
        </w:rPr>
      </w:pPr>
      <w:bookmarkStart w:id="6" w:name="_Toc235527124"/>
      <w:bookmarkStart w:id="7" w:name="_Toc237297175"/>
      <w:r w:rsidRPr="00B028BD">
        <w:rPr>
          <w:rStyle w:val="Strong"/>
          <w:rFonts w:ascii="Times New Roman" w:hAnsi="Times New Roman" w:cs="Times New Roman"/>
          <w:color w:val="000000" w:themeColor="text1"/>
          <w:sz w:val="28"/>
          <w:szCs w:val="28"/>
        </w:rPr>
        <w:lastRenderedPageBreak/>
        <w:t>1-</w:t>
      </w:r>
      <w:r w:rsidR="00180E71" w:rsidRPr="00B028BD">
        <w:rPr>
          <w:rStyle w:val="Strong"/>
          <w:rFonts w:ascii="Times New Roman" w:hAnsi="Times New Roman" w:cs="Times New Roman"/>
          <w:color w:val="000000" w:themeColor="text1"/>
          <w:sz w:val="28"/>
          <w:szCs w:val="28"/>
        </w:rPr>
        <w:t xml:space="preserve"> FOUNDATIONS OF ZERO TRUST ARCHITECTURE</w:t>
      </w:r>
      <w:bookmarkEnd w:id="6"/>
      <w:bookmarkEnd w:id="7"/>
    </w:p>
    <w:p w14:paraId="0BB2397F" w14:textId="76A038FF" w:rsidR="00180E71" w:rsidRPr="00536A81" w:rsidRDefault="00180E71" w:rsidP="007811C8">
      <w:pPr>
        <w:pStyle w:val="font-claude-response-body"/>
        <w:spacing w:line="360" w:lineRule="auto"/>
        <w:jc w:val="both"/>
        <w:rPr>
          <w:color w:val="000000" w:themeColor="text1"/>
        </w:rPr>
      </w:pPr>
      <w:r w:rsidRPr="00536A81">
        <w:rPr>
          <w:color w:val="000000" w:themeColor="text1"/>
        </w:rPr>
        <w:t>The intellectual groundwork for Zero Trust predates the term. In the early 2000s the Jericho Forum argued that network perimeters were already dissolving and that security strategies built around defending them were becoming inadequate</w:t>
      </w:r>
      <w:r w:rsidR="00F55FF9" w:rsidRPr="00536A81">
        <w:rPr>
          <w:color w:val="000000" w:themeColor="text1"/>
        </w:rPr>
        <w:t xml:space="preserve"> </w:t>
      </w:r>
      <w:sdt>
        <w:sdtPr>
          <w:rPr>
            <w:color w:val="000000"/>
            <w:highlight w:val="white"/>
          </w:rPr>
          <w:alias w:val="Citation"/>
          <w:tag w:val="{&quot;referencesIds&quot;:[&quot;doc:6a673ee5a799961e1e6173c7&quot;],&quot;referencesOptions&quot;:{&quot;doc:6a673ee5a799961e1e6173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7618065"/>
          <w:placeholder>
            <w:docPart w:val="7D09C26C02AAC247AB6563C0D16E8C0E"/>
          </w:placeholder>
        </w:sdtPr>
        <w:sdtContent>
          <w:r w:rsidR="00C41F30">
            <w:rPr>
              <w:color w:val="0B0B0B"/>
            </w:rPr>
            <w:t>[1]</w:t>
          </w:r>
        </w:sdtContent>
      </w:sdt>
      <w:r w:rsidR="00F9423E" w:rsidRPr="00536A81">
        <w:rPr>
          <w:color w:val="000000" w:themeColor="text1"/>
        </w:rPr>
        <w:t>.</w:t>
      </w:r>
      <w:r w:rsidR="00F55FF9" w:rsidRPr="00536A81">
        <w:rPr>
          <w:color w:val="000000" w:themeColor="text1"/>
        </w:rPr>
        <w:t xml:space="preserve"> </w:t>
      </w:r>
      <w:r w:rsidRPr="00536A81">
        <w:rPr>
          <w:color w:val="000000" w:themeColor="text1"/>
        </w:rPr>
        <w:t>The concept of de-perimeterisation reflected what practitioners were already observing: internet-connected services, partner integrations, and mobile devices were eroding the clean boundary between inside and outside long before cloud infrastructure made the erosion obvious to everyone else.</w:t>
      </w:r>
    </w:p>
    <w:p w14:paraId="4F547E8C" w14:textId="1CB4AEFE" w:rsidR="00180E71" w:rsidRPr="00536A81" w:rsidRDefault="00180E71" w:rsidP="007811C8">
      <w:pPr>
        <w:pStyle w:val="font-claude-response-body"/>
        <w:spacing w:line="360" w:lineRule="auto"/>
        <w:jc w:val="both"/>
        <w:rPr>
          <w:color w:val="000000" w:themeColor="text1"/>
        </w:rPr>
      </w:pPr>
      <w:r w:rsidRPr="00536A81">
        <w:rPr>
          <w:color w:val="000000" w:themeColor="text1"/>
        </w:rPr>
        <w:t>Kindervag formalised this into a coherent framework in 2010. His argument, developed at Forrester Research, was that implicit trust extended to internal networks was not just misplaced but actively harmful</w:t>
      </w:r>
      <w:r w:rsidR="00E8780A" w:rsidRPr="00536A81">
        <w:rPr>
          <w:color w:val="000000" w:themeColor="text1"/>
        </w:rPr>
        <w:t xml:space="preserve"> </w:t>
      </w:r>
      <w:sdt>
        <w:sdtPr>
          <w:rPr>
            <w:color w:val="000000"/>
            <w:highlight w:val="white"/>
          </w:rPr>
          <w:alias w:val="Citation"/>
          <w:tag w:val="{&quot;referencesIds&quot;:[&quot;doc:6a674036f4ea0903916f122b&quot;],&quot;referencesOptions&quot;:{&quot;doc:6a674036f4ea0903916f12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8001486"/>
          <w:placeholder>
            <w:docPart w:val="297E9AE215E1DE4ABDCFAF928203939E"/>
          </w:placeholder>
        </w:sdtPr>
        <w:sdtContent>
          <w:r w:rsidR="00C41F30">
            <w:rPr>
              <w:color w:val="0B0B0B"/>
            </w:rPr>
            <w:t>[2]</w:t>
          </w:r>
        </w:sdtContent>
      </w:sdt>
      <w:r w:rsidR="00E8780A" w:rsidRPr="00536A81">
        <w:rPr>
          <w:color w:val="000000" w:themeColor="text1"/>
        </w:rPr>
        <w:t xml:space="preserve">. </w:t>
      </w:r>
      <w:r w:rsidRPr="00536A81">
        <w:rPr>
          <w:color w:val="000000" w:themeColor="text1"/>
        </w:rPr>
        <w:t xml:space="preserve"> Removing network location from the trust calculation entirely and requiring verified identity, device state, and contextual policy for every access decision was the proposed solution. Google's BeyondCorp project demonstrated this was achievable at enterprise scale: more than 100,000 employees migrated away from VPN-based access to a model where every request was evaluated against the same criteria regardless of the user's location, with the migration complete by 2017 </w:t>
      </w:r>
      <w:sdt>
        <w:sdtPr>
          <w:rPr>
            <w:color w:val="000000"/>
            <w:highlight w:val="white"/>
          </w:rPr>
          <w:alias w:val="Citation"/>
          <w:tag w:val="{&quot;referencesIds&quot;:[&quot;doc:6a6740237b91ef02af375bff&quot;],&quot;referencesOptions&quot;:{&quot;doc:6a6740237b91ef02af375b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3270176"/>
          <w:placeholder>
            <w:docPart w:val="EFF3CB1CCF6EE9448EE7E852A80D4367"/>
          </w:placeholder>
        </w:sdtPr>
        <w:sdtContent>
          <w:r w:rsidR="00C41F30">
            <w:rPr>
              <w:color w:val="0B0B0B"/>
            </w:rPr>
            <w:t>[3]</w:t>
          </w:r>
        </w:sdtContent>
      </w:sdt>
      <w:r w:rsidRPr="00536A81">
        <w:rPr>
          <w:color w:val="000000" w:themeColor="text1"/>
        </w:rPr>
        <w:t xml:space="preserve">. NIST formalised the framework in 2020 through SP 800-207, providing seven core tenets and architectural components as a vendor-neutral reference point </w:t>
      </w:r>
      <w:sdt>
        <w:sdtPr>
          <w:rPr>
            <w:color w:val="000000"/>
            <w:highlight w:val="whit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7022050"/>
          <w:placeholder>
            <w:docPart w:val="2E597A26B36E654CB20F898C4DB39280"/>
          </w:placeholder>
        </w:sdtPr>
        <w:sdtContent>
          <w:r w:rsidR="00C41F30">
            <w:rPr>
              <w:color w:val="0B0B0B"/>
            </w:rPr>
            <w:t>[4]</w:t>
          </w:r>
        </w:sdtContent>
      </w:sdt>
      <w:r w:rsidRPr="00536A81">
        <w:rPr>
          <w:color w:val="000000" w:themeColor="text1"/>
        </w:rPr>
        <w:t xml:space="preserve">. CISA built on this with its Zero Trust Maturity Model in 2023, translating the NIST tenets into a five-pillar, four-stage roadmap that organisations can use to assess their current position and plan progression in concrete terms </w:t>
      </w:r>
      <w:sdt>
        <w:sdtPr>
          <w:rPr>
            <w:color w:val="000000"/>
            <w:highlight w:val="white"/>
          </w:rPr>
          <w:alias w:val="Citation"/>
          <w:tag w:val="{&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6988472"/>
          <w:placeholder>
            <w:docPart w:val="4EFB5278B36D764092E7188B7E41685A"/>
          </w:placeholder>
        </w:sdtPr>
        <w:sdtContent>
          <w:r w:rsidR="00C41F30">
            <w:rPr>
              <w:color w:val="0B0B0B"/>
            </w:rPr>
            <w:t>[5]</w:t>
          </w:r>
        </w:sdtContent>
      </w:sdt>
    </w:p>
    <w:p w14:paraId="7787B0A6" w14:textId="48D63D1B" w:rsidR="00180E71" w:rsidRPr="00B028BD" w:rsidRDefault="00F52F31" w:rsidP="009557CA">
      <w:pPr>
        <w:pStyle w:val="Heading2"/>
        <w:rPr>
          <w:rFonts w:ascii="Times New Roman" w:hAnsi="Times New Roman" w:cs="Times New Roman"/>
          <w:color w:val="000000" w:themeColor="text1"/>
          <w:sz w:val="28"/>
          <w:szCs w:val="28"/>
        </w:rPr>
      </w:pPr>
      <w:bookmarkStart w:id="8" w:name="_Toc235527125"/>
      <w:bookmarkStart w:id="9" w:name="_Toc237297176"/>
      <w:r w:rsidRPr="00B028BD">
        <w:rPr>
          <w:rStyle w:val="Strong"/>
          <w:rFonts w:ascii="Times New Roman" w:hAnsi="Times New Roman" w:cs="Times New Roman"/>
          <w:color w:val="000000" w:themeColor="text1"/>
          <w:sz w:val="28"/>
          <w:szCs w:val="28"/>
        </w:rPr>
        <w:t xml:space="preserve">1.1 </w:t>
      </w:r>
      <w:r w:rsidR="00180E71" w:rsidRPr="00B028BD">
        <w:rPr>
          <w:rStyle w:val="Strong"/>
          <w:rFonts w:ascii="Times New Roman" w:hAnsi="Times New Roman" w:cs="Times New Roman"/>
          <w:color w:val="000000" w:themeColor="text1"/>
          <w:sz w:val="28"/>
          <w:szCs w:val="28"/>
        </w:rPr>
        <w:t>CORE PRINCIPLES AND THE NIST FRAMEWORK</w:t>
      </w:r>
      <w:bookmarkEnd w:id="8"/>
      <w:bookmarkEnd w:id="9"/>
    </w:p>
    <w:p w14:paraId="2B90D0CF" w14:textId="10C8A0CA"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NIST SP 800-207's seven tenets require a fundamental rethinking of how access decisions are made </w:t>
      </w:r>
      <w:sdt>
        <w:sdtPr>
          <w:rPr>
            <w:color w:val="000000"/>
            <w:highlight w:val="whit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778450"/>
          <w:placeholder>
            <w:docPart w:val="7CC72D65F2F23F4391DFC488526C2D1A"/>
          </w:placeholder>
        </w:sdtPr>
        <w:sdtContent>
          <w:r w:rsidR="00C41F30">
            <w:rPr>
              <w:color w:val="0B0B0B"/>
            </w:rPr>
            <w:t>[4]</w:t>
          </w:r>
        </w:sdtContent>
      </w:sdt>
      <w:r w:rsidR="00447891" w:rsidRPr="00536A81">
        <w:rPr>
          <w:color w:val="000000" w:themeColor="text1"/>
        </w:rPr>
        <w:t xml:space="preserve"> </w:t>
      </w:r>
      <w:r w:rsidRPr="00536A81">
        <w:rPr>
          <w:color w:val="000000" w:themeColor="text1"/>
        </w:rPr>
        <w:t>All resources are treated as assets requiring protection regardless of physical location. All communications are authenticated regardless of network. Access is granted per session rather than assumed to persist. Access decisions use dynamic policy based on verified identity, device posture, and contextual signals. All assets are continuously monitored. Authentication occurs before every resource access, not only at the network entry point. And all telemetry feeds into a continuous improvement cycle.</w:t>
      </w:r>
    </w:p>
    <w:p w14:paraId="6DA75C74" w14:textId="52781569"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Micro-segmentation is one of the most consequential practical expressions of these tenets. Rather than dividing a network into a few broad trust zones, micro-segmentation creates many isolated segments each with its own access controls, so that a compromise in one area cannot automatically spread to others. Gilman and Barth describe this as changing the economics of a breach: the attacker achieves considerably less for the same effort while the organisation gains </w:t>
      </w:r>
      <w:r w:rsidRPr="00536A81">
        <w:rPr>
          <w:color w:val="000000" w:themeColor="text1"/>
        </w:rPr>
        <w:lastRenderedPageBreak/>
        <w:t xml:space="preserve">more signals and more time to detect and contain the intrusion before serious damage occurs </w:t>
      </w:r>
      <w:sdt>
        <w:sdtPr>
          <w:rPr>
            <w:color w:val="000000"/>
            <w:highlight w:val="white"/>
          </w:rPr>
          <w:alias w:val="Citation"/>
          <w:tag w:val="{&quot;referencesIds&quot;:[&quot;doc:6a673f85846cf85db3cc3d25&quot;],&quot;referencesOptions&quot;:{&quot;doc:6a673f85846cf85db3cc3d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0113948"/>
          <w:placeholder>
            <w:docPart w:val="40D2727D08A49843A61FB783A8B91D09"/>
          </w:placeholder>
        </w:sdtPr>
        <w:sdtContent>
          <w:r w:rsidR="00C41F30">
            <w:rPr>
              <w:color w:val="0B0B0B"/>
            </w:rPr>
            <w:t>[6]</w:t>
          </w:r>
        </w:sdtContent>
      </w:sdt>
      <w:r w:rsidRPr="00536A81">
        <w:rPr>
          <w:color w:val="000000" w:themeColor="text1"/>
        </w:rPr>
        <w:t>. Least privilege access works alongside segmentation, ensuring every identity carries only the permissions needed for its specific function at the specific time, and nothing more.</w:t>
      </w:r>
    </w:p>
    <w:p w14:paraId="4892C461" w14:textId="116CBEA9"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Three architectural components make the tenets operational </w:t>
      </w:r>
      <w:sdt>
        <w:sdtPr>
          <w:rPr>
            <w:color w:val="000000"/>
            <w:highlight w:val="whit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0082471"/>
          <w:placeholder>
            <w:docPart w:val="29F9A325D9680A418AD8DEBE8688C9EC"/>
          </w:placeholder>
        </w:sdtPr>
        <w:sdtContent>
          <w:r w:rsidR="00C41F30">
            <w:rPr>
              <w:color w:val="0B0B0B"/>
            </w:rPr>
            <w:t>[4]</w:t>
          </w:r>
        </w:sdtContent>
      </w:sdt>
      <w:r w:rsidRPr="00536A81">
        <w:rPr>
          <w:color w:val="000000" w:themeColor="text1"/>
        </w:rPr>
        <w:t xml:space="preserve">. The Policy Decision Point evaluates each access request against defined policies using real-time contextual data. The Policy Enforcement Point sits at the boundary of each protected resource and acts on those decisions. The Policy Information Point supplies the data that makes decisions meaningful: device compliance status, threat intelligence, behavioural analytics, and identity claims. Together they replace the static perimeter with a continuously operating evaluation system. CISA's maturity model provides benchmarks for assessing implementation quality across all five pillars </w:t>
      </w:r>
      <w:sdt>
        <w:sdtPr>
          <w:rPr>
            <w:color w:val="000000"/>
            <w:highlight w:val="white"/>
          </w:rPr>
          <w:alias w:val="Citation"/>
          <w:tag w:val="{&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3681048"/>
          <w:placeholder>
            <w:docPart w:val="1AA9FAC082678B4D86FADE7F79602A03"/>
          </w:placeholder>
        </w:sdtPr>
        <w:sdtContent>
          <w:r w:rsidR="00C41F30">
            <w:rPr>
              <w:color w:val="0B0B0B"/>
            </w:rPr>
            <w:t>[5]</w:t>
          </w:r>
        </w:sdtContent>
      </w:sdt>
      <w:r w:rsidRPr="00536A81">
        <w:rPr>
          <w:color w:val="000000" w:themeColor="text1"/>
        </w:rPr>
        <w:t>.</w:t>
      </w:r>
    </w:p>
    <w:p w14:paraId="418488D7" w14:textId="2EBEEF91" w:rsidR="00180E71" w:rsidRPr="00B028BD" w:rsidRDefault="00F52F31" w:rsidP="009557CA">
      <w:pPr>
        <w:pStyle w:val="Heading2"/>
        <w:rPr>
          <w:rFonts w:ascii="Times New Roman" w:hAnsi="Times New Roman" w:cs="Times New Roman"/>
          <w:color w:val="000000" w:themeColor="text1"/>
          <w:sz w:val="28"/>
          <w:szCs w:val="28"/>
        </w:rPr>
      </w:pPr>
      <w:bookmarkStart w:id="10" w:name="_Toc235527126"/>
      <w:bookmarkStart w:id="11" w:name="_Toc237297177"/>
      <w:r w:rsidRPr="00B028BD">
        <w:rPr>
          <w:rStyle w:val="Strong"/>
          <w:rFonts w:ascii="Times New Roman" w:hAnsi="Times New Roman" w:cs="Times New Roman"/>
          <w:color w:val="000000" w:themeColor="text1"/>
          <w:sz w:val="28"/>
          <w:szCs w:val="28"/>
        </w:rPr>
        <w:t>1</w:t>
      </w:r>
      <w:r w:rsidR="00180E71" w:rsidRPr="00B028BD">
        <w:rPr>
          <w:rStyle w:val="Strong"/>
          <w:rFonts w:ascii="Times New Roman" w:hAnsi="Times New Roman" w:cs="Times New Roman"/>
          <w:color w:val="000000" w:themeColor="text1"/>
          <w:sz w:val="28"/>
          <w:szCs w:val="28"/>
        </w:rPr>
        <w:t>.</w:t>
      </w:r>
      <w:r w:rsidRPr="00B028BD">
        <w:rPr>
          <w:rStyle w:val="Strong"/>
          <w:rFonts w:ascii="Times New Roman" w:hAnsi="Times New Roman" w:cs="Times New Roman"/>
          <w:color w:val="000000" w:themeColor="text1"/>
          <w:sz w:val="28"/>
          <w:szCs w:val="28"/>
        </w:rPr>
        <w:t>2</w:t>
      </w:r>
      <w:r w:rsidR="00180E71" w:rsidRPr="00B028BD">
        <w:rPr>
          <w:rStyle w:val="Strong"/>
          <w:rFonts w:ascii="Times New Roman" w:hAnsi="Times New Roman" w:cs="Times New Roman"/>
          <w:color w:val="000000" w:themeColor="text1"/>
          <w:sz w:val="28"/>
          <w:szCs w:val="28"/>
        </w:rPr>
        <w:t xml:space="preserve"> ZERO TRUST VS. TRADITIONAL PERIMETER SECURITY</w:t>
      </w:r>
      <w:bookmarkEnd w:id="10"/>
      <w:bookmarkEnd w:id="11"/>
    </w:p>
    <w:p w14:paraId="14828483" w14:textId="77777777" w:rsidR="00180E71" w:rsidRPr="00536A81" w:rsidRDefault="00180E71" w:rsidP="007811C8">
      <w:pPr>
        <w:pStyle w:val="font-claude-response-body"/>
        <w:spacing w:line="360" w:lineRule="auto"/>
        <w:jc w:val="both"/>
        <w:rPr>
          <w:color w:val="000000" w:themeColor="text1"/>
        </w:rPr>
      </w:pPr>
      <w:r w:rsidRPr="00536A81">
        <w:rPr>
          <w:color w:val="000000" w:themeColor="text1"/>
        </w:rPr>
        <w:t>The traditional perimeter model assumes meaningful security can be achieved by hardening the boundary between an internal network and the external world, treating internal traffic as broadly trustworthy. Firewalls, intrusion detection systems, and VPNs all embody the same logic: keep the outside out, and trust what is inside. The difficulty is that the boundary these tools defend no longer corresponds to where organisations keep their data and services. Workloads run in cloud environments the organisation does not own. Staff connect from home networks and shared spaces. SaaS platforms serve data from wherever users happen to be. Third-party integrations multiply entry points well beyond what any gateway can inspect. The perimeter the traditional model assumes has, in most modern enterprises, ceased to exist in any reliable architectural sense.</w:t>
      </w:r>
    </w:p>
    <w:p w14:paraId="6E225859" w14:textId="6C4E14A2"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CISA identifies lateral movement as the primary failure pattern in perimeter-based security, and the model provides almost no native defence against it </w:t>
      </w:r>
      <w:sdt>
        <w:sdtPr>
          <w:rPr>
            <w:color w:val="000000"/>
            <w:highlight w:val="white"/>
          </w:rPr>
          <w:alias w:val="Citation"/>
          <w:tag w:val="{&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1153950"/>
          <w:placeholder>
            <w:docPart w:val="443AAD7EB2FC2B49B71B140D663022EF"/>
          </w:placeholder>
        </w:sdtPr>
        <w:sdtContent>
          <w:r w:rsidR="00C41F30">
            <w:rPr>
              <w:color w:val="0B0B0B"/>
            </w:rPr>
            <w:t>[5]</w:t>
          </w:r>
        </w:sdtContent>
      </w:sdt>
      <w:r w:rsidRPr="00536A81">
        <w:rPr>
          <w:color w:val="000000" w:themeColor="text1"/>
        </w:rPr>
        <w:t xml:space="preserve">. Once inside a traditional network, an adversary encounters an environment designed to trust them. Internal traffic is not challenged. Requests between systems pass without policy validation. An attacker who achieves initial access can move for weeks, escalating privileges and positioning near high-value targets, while boundary-watching tools see nothing unusual. The 2024 Microsoft breach illustrates this concretely: Russian state-sponsored actors found a legacy test account lacking MFA, gained entry, and moved laterally through senior leadership email for several weeks before detection </w:t>
      </w:r>
      <w:sdt>
        <w:sdtPr>
          <w:rPr>
            <w:color w:val="000000"/>
            <w:highlight w:val="white"/>
          </w:rPr>
          <w:alias w:val="Citation"/>
          <w:tag w:val="{&quot;referencesIds&quot;:[&quot;doc:6a673f72846cf85db3cc3d23&quot;],&quot;referencesOptions&quot;:{&quot;doc:6a673f72846cf85db3cc3d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3110572"/>
          <w:placeholder>
            <w:docPart w:val="783CAAD42BA0184C8457461D1549B0CA"/>
          </w:placeholder>
        </w:sdtPr>
        <w:sdtContent>
          <w:r w:rsidR="00C41F30">
            <w:rPr>
              <w:color w:val="0B0B0B"/>
            </w:rPr>
            <w:t>[7]</w:t>
          </w:r>
        </w:sdtContent>
      </w:sdt>
      <w:r w:rsidRPr="00536A81">
        <w:rPr>
          <w:color w:val="000000" w:themeColor="text1"/>
        </w:rPr>
        <w:t xml:space="preserve"> The NSA identifies Zero Trust as the primary recommended approach for limiting what an adversary can accomplish after initial access, precisely because it eliminates the implicit internal trust that lateral movement depends on </w:t>
      </w:r>
      <w:sdt>
        <w:sdtPr>
          <w:rPr>
            <w:color w:val="000000"/>
            <w:highlight w:val="white"/>
          </w:rPr>
          <w:alias w:val="Citation"/>
          <w:tag w:val="{&quot;referencesIds&quot;:[&quot;doc:6a673fd18ae2f118ec1a4ca2&quot;],&quot;referencesOptions&quot;:{&quot;doc:6a673fd18ae2f118ec1a4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2351328"/>
          <w:placeholder>
            <w:docPart w:val="43668F3FF4A20E48A8921968C70B02CF"/>
          </w:placeholder>
        </w:sdtPr>
        <w:sdtContent>
          <w:r w:rsidR="00C41F30">
            <w:rPr>
              <w:color w:val="0B0B0B"/>
            </w:rPr>
            <w:t>[8]</w:t>
          </w:r>
        </w:sdtContent>
      </w:sdt>
      <w:r w:rsidRPr="00536A81">
        <w:rPr>
          <w:color w:val="000000" w:themeColor="text1"/>
        </w:rPr>
        <w:t>.</w:t>
      </w:r>
    </w:p>
    <w:p w14:paraId="36A44877" w14:textId="4B8AE2FF" w:rsidR="00180E71" w:rsidRPr="00B028BD" w:rsidRDefault="005901B1" w:rsidP="009557CA">
      <w:pPr>
        <w:pStyle w:val="Heading2"/>
        <w:rPr>
          <w:rFonts w:ascii="Times New Roman" w:hAnsi="Times New Roman" w:cs="Times New Roman"/>
          <w:color w:val="000000" w:themeColor="text1"/>
          <w:sz w:val="28"/>
          <w:szCs w:val="28"/>
        </w:rPr>
      </w:pPr>
      <w:bookmarkStart w:id="12" w:name="_Toc235527127"/>
      <w:bookmarkStart w:id="13" w:name="_Toc237297178"/>
      <w:r w:rsidRPr="00B028BD">
        <w:rPr>
          <w:rStyle w:val="Strong"/>
          <w:rFonts w:ascii="Times New Roman" w:hAnsi="Times New Roman" w:cs="Times New Roman"/>
          <w:color w:val="000000" w:themeColor="text1"/>
          <w:sz w:val="28"/>
          <w:szCs w:val="28"/>
        </w:rPr>
        <w:lastRenderedPageBreak/>
        <w:t>1.3</w:t>
      </w:r>
      <w:r w:rsidR="00180E71" w:rsidRPr="00B028BD">
        <w:rPr>
          <w:rStyle w:val="Strong"/>
          <w:rFonts w:ascii="Times New Roman" w:hAnsi="Times New Roman" w:cs="Times New Roman"/>
          <w:color w:val="000000" w:themeColor="text1"/>
          <w:sz w:val="28"/>
          <w:szCs w:val="28"/>
        </w:rPr>
        <w:t xml:space="preserve"> IMPLEMENTATION CHALLENGES</w:t>
      </w:r>
      <w:bookmarkEnd w:id="12"/>
      <w:bookmarkEnd w:id="13"/>
    </w:p>
    <w:p w14:paraId="577CD9EA" w14:textId="68BE3840"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A 2025 systematic literature review covering 74 peer-reviewed ZTA studies found that implementation challenges are significant and consistent </w:t>
      </w:r>
      <w:sdt>
        <w:sdtPr>
          <w:rPr>
            <w:color w:val="000000"/>
            <w:highlight w:val="white"/>
          </w:rPr>
          <w:alias w:val="Citation"/>
          <w:tag w:val="{&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7747815"/>
          <w:placeholder>
            <w:docPart w:val="A4320A0454821841B8069BFE04440F00"/>
          </w:placeholder>
        </w:sdtPr>
        <w:sdtContent>
          <w:r w:rsidR="00C41F30">
            <w:rPr>
              <w:color w:val="0B0B0B"/>
            </w:rPr>
            <w:t>[9]</w:t>
          </w:r>
        </w:sdtContent>
      </w:sdt>
      <w:r w:rsidRPr="00536A81">
        <w:rPr>
          <w:color w:val="000000" w:themeColor="text1"/>
        </w:rPr>
        <w:t>. Nearly three quarters of studies reported implementation complexity. Roughly two thirds identified legacy system integration problems. These appear across serious enterprise deployments, not just first attempts, and show no sign of diminishing as the framework matures.</w:t>
      </w:r>
    </w:p>
    <w:p w14:paraId="6BC0DA4B" w14:textId="7BB858A2" w:rsidR="00180E71" w:rsidRPr="00536A81" w:rsidRDefault="00180E71" w:rsidP="007811C8">
      <w:pPr>
        <w:pStyle w:val="Heading4"/>
        <w:numPr>
          <w:ilvl w:val="0"/>
          <w:numId w:val="2"/>
        </w:numPr>
        <w:spacing w:line="360" w:lineRule="auto"/>
        <w:jc w:val="both"/>
        <w:rPr>
          <w:rFonts w:ascii="Times New Roman" w:hAnsi="Times New Roman" w:cs="Times New Roman"/>
          <w:b/>
          <w:bCs/>
          <w:color w:val="000000" w:themeColor="text1"/>
        </w:rPr>
      </w:pPr>
      <w:r w:rsidRPr="00536A81">
        <w:rPr>
          <w:rStyle w:val="Emphasis"/>
          <w:rFonts w:ascii="Times New Roman" w:hAnsi="Times New Roman" w:cs="Times New Roman"/>
          <w:b/>
          <w:bCs/>
          <w:color w:val="000000" w:themeColor="text1"/>
        </w:rPr>
        <w:t>Technical Complexity</w:t>
      </w:r>
    </w:p>
    <w:p w14:paraId="60836BDA" w14:textId="627971F3"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Before any Zero Trust control can be deployed effectively, an organisation needs a complete and accurate picture of every asset, data flow, and access permission across its environment. In most large organisations, this does not exist in a single reliable up-to-date source. Producing it requires substantial effort before implementation begins, and maintaining it requires ongoing operational discipline that most organisations have not previously needed. CISA frames early implementation stages as primarily concerned with building this foundational visibility, on which every more advanced control depends </w:t>
      </w:r>
      <w:sdt>
        <w:sdtPr>
          <w:rPr>
            <w:color w:val="000000"/>
            <w:highlight w:val="white"/>
          </w:rPr>
          <w:alias w:val="Citation"/>
          <w:tag w:val="{&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2707602"/>
          <w:placeholder>
            <w:docPart w:val="24C95F559E3CCC4D908063726FAE8C90"/>
          </w:placeholder>
        </w:sdtPr>
        <w:sdtContent>
          <w:r w:rsidR="00C41F30">
            <w:rPr>
              <w:color w:val="0B0B0B"/>
            </w:rPr>
            <w:t>[5]</w:t>
          </w:r>
        </w:sdtContent>
      </w:sdt>
      <w:r w:rsidRPr="00536A81">
        <w:rPr>
          <w:color w:val="000000" w:themeColor="text1"/>
        </w:rPr>
        <w:t>.</w:t>
      </w:r>
    </w:p>
    <w:p w14:paraId="2CCD66BC" w14:textId="72AAA297" w:rsidR="00180E71" w:rsidRPr="00536A81" w:rsidRDefault="00180E71" w:rsidP="007811C8">
      <w:pPr>
        <w:pStyle w:val="Heading4"/>
        <w:numPr>
          <w:ilvl w:val="0"/>
          <w:numId w:val="2"/>
        </w:numPr>
        <w:spacing w:line="360" w:lineRule="auto"/>
        <w:jc w:val="both"/>
        <w:rPr>
          <w:rFonts w:ascii="Times New Roman" w:hAnsi="Times New Roman" w:cs="Times New Roman"/>
          <w:b/>
          <w:bCs/>
          <w:color w:val="000000" w:themeColor="text1"/>
        </w:rPr>
      </w:pPr>
      <w:r w:rsidRPr="00536A81">
        <w:rPr>
          <w:rStyle w:val="Emphasis"/>
          <w:rFonts w:ascii="Times New Roman" w:hAnsi="Times New Roman" w:cs="Times New Roman"/>
          <w:b/>
          <w:bCs/>
          <w:color w:val="000000" w:themeColor="text1"/>
        </w:rPr>
        <w:t>Legacy System Integration</w:t>
      </w:r>
    </w:p>
    <w:p w14:paraId="5EEAFA49" w14:textId="42135D47"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Many critical platforms were built a decade or more ago without any conception of Zero Trust. They frequently lack modern authentication protocols, cannot consume Policy Information Point signals, and cannot be modified without significant operational risk. Retrofitting them using identity-aware proxies and segmentation is possible but adds complexity and does not always provide the same depth of control as a natively compliant system. With two thirds of studies identifying this as a significant barrier, it is the standard situation rather than an edge case </w:t>
      </w:r>
      <w:sdt>
        <w:sdtPr>
          <w:rPr>
            <w:color w:val="000000"/>
            <w:highlight w:val="white"/>
          </w:rPr>
          <w:alias w:val="Citation"/>
          <w:tag w:val="{&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5636888"/>
          <w:placeholder>
            <w:docPart w:val="67FAF47634D7B74CA18ABB37AE50A70D"/>
          </w:placeholder>
        </w:sdtPr>
        <w:sdtContent>
          <w:r w:rsidR="00C41F30">
            <w:rPr>
              <w:color w:val="0B0B0B"/>
            </w:rPr>
            <w:t>[9]</w:t>
          </w:r>
        </w:sdtContent>
      </w:sdt>
      <w:r w:rsidRPr="00536A81">
        <w:rPr>
          <w:color w:val="000000" w:themeColor="text1"/>
        </w:rPr>
        <w:t>.</w:t>
      </w:r>
    </w:p>
    <w:p w14:paraId="7790A100" w14:textId="70BE0979" w:rsidR="00180E71" w:rsidRPr="00536A81" w:rsidRDefault="00180E71" w:rsidP="007811C8">
      <w:pPr>
        <w:pStyle w:val="Heading4"/>
        <w:numPr>
          <w:ilvl w:val="0"/>
          <w:numId w:val="2"/>
        </w:numPr>
        <w:spacing w:line="360" w:lineRule="auto"/>
        <w:jc w:val="both"/>
        <w:rPr>
          <w:rFonts w:ascii="Times New Roman" w:hAnsi="Times New Roman" w:cs="Times New Roman"/>
          <w:b/>
          <w:bCs/>
          <w:color w:val="000000" w:themeColor="text1"/>
        </w:rPr>
      </w:pPr>
      <w:r w:rsidRPr="00536A81">
        <w:rPr>
          <w:rStyle w:val="Emphasis"/>
          <w:rFonts w:ascii="Times New Roman" w:hAnsi="Times New Roman" w:cs="Times New Roman"/>
          <w:b/>
          <w:bCs/>
          <w:color w:val="000000" w:themeColor="text1"/>
        </w:rPr>
        <w:t>Organisational and Cultural Factors</w:t>
      </w:r>
    </w:p>
    <w:p w14:paraId="027D7F14" w14:textId="39449C5D"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The NSA is explicit that organisational and cultural factors are as important as technical ones </w:t>
      </w:r>
      <w:sdt>
        <w:sdtPr>
          <w:rPr>
            <w:color w:val="000000"/>
            <w:highlight w:val="white"/>
          </w:rPr>
          <w:alias w:val="Citation"/>
          <w:tag w:val="{&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9394394"/>
          <w:placeholder>
            <w:docPart w:val="16D6CFC8193A944DBC10D3DA1C97A7F4"/>
          </w:placeholder>
        </w:sdtPr>
        <w:sdtContent>
          <w:r w:rsidR="00C41F30">
            <w:rPr>
              <w:color w:val="0B0B0B"/>
            </w:rPr>
            <w:t>[10]</w:t>
          </w:r>
        </w:sdtContent>
      </w:sdt>
      <w:r w:rsidRPr="00536A81">
        <w:rPr>
          <w:color w:val="000000" w:themeColor="text1"/>
        </w:rPr>
        <w:t>. Staff accustomed to open internal access experience additional verification as friction and find workarounds: shared credentials, unenrolled personal devices, or applications outside policy scope. Each workaround reintroduces uncontrolled access while bypassing the monitoring systems. Addressing this effectively requires deliberate communication, sustained leadership commitment, and careful control design so that friction falls on illegitimate access rather than legitimate work.</w:t>
      </w:r>
    </w:p>
    <w:p w14:paraId="2380E255" w14:textId="285B42FD" w:rsidR="00180E71" w:rsidRPr="00536A81" w:rsidRDefault="00180E71" w:rsidP="007811C8">
      <w:pPr>
        <w:pStyle w:val="Heading4"/>
        <w:numPr>
          <w:ilvl w:val="0"/>
          <w:numId w:val="2"/>
        </w:numPr>
        <w:spacing w:line="360" w:lineRule="auto"/>
        <w:jc w:val="both"/>
        <w:rPr>
          <w:rFonts w:ascii="Times New Roman" w:hAnsi="Times New Roman" w:cs="Times New Roman"/>
          <w:b/>
          <w:bCs/>
          <w:color w:val="000000" w:themeColor="text1"/>
        </w:rPr>
      </w:pPr>
      <w:r w:rsidRPr="00536A81">
        <w:rPr>
          <w:rStyle w:val="Emphasis"/>
          <w:rFonts w:ascii="Times New Roman" w:hAnsi="Times New Roman" w:cs="Times New Roman"/>
          <w:b/>
          <w:bCs/>
          <w:color w:val="000000" w:themeColor="text1"/>
        </w:rPr>
        <w:lastRenderedPageBreak/>
        <w:t>Cost and Time</w:t>
      </w:r>
    </w:p>
    <w:p w14:paraId="227795F9" w14:textId="6C1F2437"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Full Zero Trust deployment is a multi-year programme spanning multiple budget cycles. CISA's maturity model describes four stages across five pillars, and the scope of reaching Advanced maturity simultaneously across all five is substantial </w:t>
      </w:r>
      <w:sdt>
        <w:sdtPr>
          <w:rPr>
            <w:color w:val="000000"/>
            <w:highlight w:val="white"/>
          </w:rPr>
          <w:alias w:val="Citation"/>
          <w:tag w:val="{&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0976654"/>
          <w:placeholder>
            <w:docPart w:val="AF00BF409C17624486F7F274B397B7BA"/>
          </w:placeholder>
        </w:sdtPr>
        <w:sdtContent>
          <w:r w:rsidR="00C41F30">
            <w:rPr>
              <w:color w:val="0B0B0B"/>
            </w:rPr>
            <w:t>[5]</w:t>
          </w:r>
        </w:sdtContent>
      </w:sdt>
      <w:r w:rsidRPr="00536A81">
        <w:rPr>
          <w:color w:val="000000" w:themeColor="text1"/>
        </w:rPr>
        <w:t>. The realistic path involves prioritising the highest-risk areas first and progressing incrementally. Organisations that treat this as a one-time project tend to stall at Initial maturity, carrying the cost and complexity but not the full security benefit.</w:t>
      </w:r>
    </w:p>
    <w:p w14:paraId="60C139B0" w14:textId="522ED4F4" w:rsidR="00180E71" w:rsidRPr="00B028BD" w:rsidRDefault="005901B1" w:rsidP="009557CA">
      <w:pPr>
        <w:pStyle w:val="Heading2"/>
        <w:rPr>
          <w:rFonts w:ascii="Times New Roman" w:hAnsi="Times New Roman" w:cs="Times New Roman"/>
          <w:color w:val="000000" w:themeColor="text1"/>
          <w:sz w:val="28"/>
          <w:szCs w:val="28"/>
        </w:rPr>
      </w:pPr>
      <w:bookmarkStart w:id="14" w:name="_Toc235527128"/>
      <w:bookmarkStart w:id="15" w:name="_Toc237297179"/>
      <w:r w:rsidRPr="00B028BD">
        <w:rPr>
          <w:rStyle w:val="Strong"/>
          <w:rFonts w:ascii="Times New Roman" w:hAnsi="Times New Roman" w:cs="Times New Roman"/>
          <w:color w:val="000000" w:themeColor="text1"/>
          <w:sz w:val="28"/>
          <w:szCs w:val="28"/>
        </w:rPr>
        <w:t>1.4</w:t>
      </w:r>
      <w:r w:rsidR="00180E71" w:rsidRPr="00B028BD">
        <w:rPr>
          <w:rStyle w:val="Strong"/>
          <w:rFonts w:ascii="Times New Roman" w:hAnsi="Times New Roman" w:cs="Times New Roman"/>
          <w:color w:val="000000" w:themeColor="text1"/>
          <w:sz w:val="28"/>
          <w:szCs w:val="28"/>
        </w:rPr>
        <w:t xml:space="preserve"> EFFICACY AND REAL-WORLD OUTCOMES</w:t>
      </w:r>
      <w:bookmarkEnd w:id="14"/>
      <w:bookmarkEnd w:id="15"/>
    </w:p>
    <w:p w14:paraId="6FCEF2AC" w14:textId="2D564314"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The case for Zero Trust is not theoretical. Google's BeyondCorp remains the most complete documented example at enterprise scale </w:t>
      </w:r>
      <w:sdt>
        <w:sdtPr>
          <w:rPr>
            <w:color w:val="000000"/>
            <w:highlight w:val="white"/>
          </w:rPr>
          <w:alias w:val="Citation"/>
          <w:tag w:val="{&quot;referencesIds&quot;:[&quot;doc:6a6740237b91ef02af375bff&quot;],&quot;referencesOptions&quot;:{&quot;doc:6a6740237b91ef02af375b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0867458"/>
          <w:placeholder>
            <w:docPart w:val="1AC056529B4B68428399B6D925FE5B65"/>
          </w:placeholder>
        </w:sdtPr>
        <w:sdtContent>
          <w:r w:rsidR="00C41F30">
            <w:rPr>
              <w:color w:val="0B0B0B"/>
            </w:rPr>
            <w:t>[3]</w:t>
          </w:r>
        </w:sdtContent>
      </w:sdt>
      <w:r w:rsidRPr="00536A81">
        <w:rPr>
          <w:color w:val="000000" w:themeColor="text1"/>
        </w:rPr>
        <w:t xml:space="preserve">. Removing VPN access for more than 100,000 employees and replacing it with identity and device-based controls produced an access model that is simultaneously more secure and more operationally flexible. The fact that Google has operated this for over a decade under sustained adversarial attention is meaningful evidence that the architecture works at scale. The NSA frames Zero Trust not as a guarantee against intrusion but as the most effective approach for limiting what an adversary can accomplish after initial access </w:t>
      </w:r>
      <w:sdt>
        <w:sdtPr>
          <w:rPr>
            <w:color w:val="000000"/>
            <w:highlight w:val="white"/>
          </w:rPr>
          <w:alias w:val="Citation"/>
          <w:tag w:val="{&quot;referencesIds&quot;:[&quot;doc:6a673fd18ae2f118ec1a4ca2&quot;],&quot;referencesOptions&quot;:{&quot;doc:6a673fd18ae2f118ec1a4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5694430"/>
          <w:placeholder>
            <w:docPart w:val="F9876B75970BB84A8427D55DEE0C0544"/>
          </w:placeholder>
        </w:sdtPr>
        <w:sdtContent>
          <w:r w:rsidR="00C41F30">
            <w:rPr>
              <w:color w:val="0B0B0B"/>
            </w:rPr>
            <w:t>[8]</w:t>
          </w:r>
        </w:sdtContent>
      </w:sdt>
      <w:r w:rsidRPr="00536A81">
        <w:rPr>
          <w:color w:val="000000" w:themeColor="text1"/>
        </w:rPr>
        <w:t>. It constrains lateral movement, reduces the blast radius of a compromised credential through least privilege, and generates the telemetry needed for faster detection.</w:t>
      </w:r>
    </w:p>
    <w:p w14:paraId="7140933D" w14:textId="4FDD7989"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The 2025 systematic review found consistent evidence across 74 peer-reviewed studies that more mature Zero Trust implementations experienced lower impact from credential-based attacks, phishing breaches, and insider threats compared to those relying on perimeter models </w:t>
      </w:r>
      <w:sdt>
        <w:sdtPr>
          <w:rPr>
            <w:color w:val="000000"/>
            <w:highlight w:val="white"/>
          </w:rPr>
          <w:alias w:val="Citation"/>
          <w:tag w:val="{&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6721648"/>
          <w:placeholder>
            <w:docPart w:val="D9F1CCA415C9E7488B393131CAC96D61"/>
          </w:placeholder>
        </w:sdtPr>
        <w:sdtContent>
          <w:r w:rsidR="00C41F30">
            <w:rPr>
              <w:color w:val="0B0B0B"/>
            </w:rPr>
            <w:t>[9]</w:t>
          </w:r>
        </w:sdtContent>
      </w:sdt>
      <w:r w:rsidRPr="00536A81">
        <w:rPr>
          <w:color w:val="000000" w:themeColor="text1"/>
        </w:rPr>
        <w:t xml:space="preserve">. Dwell time was shorter in more mature implementations. The review also found a correlation between Zero Trust maturity and regulatory compliance posture, reflecting the direct alignment between NIST SP 800-207's requirements and what frameworks like GDPR and NIST CSF 2.0 expect in terms of access control and data governance </w:t>
      </w:r>
      <w:sdt>
        <w:sdtPr>
          <w:rPr>
            <w:color w:val="000000"/>
            <w:highlight w:val="whit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0446845"/>
          <w:placeholder>
            <w:docPart w:val="F2E62A21B26C604C88405D00DF919D92"/>
          </w:placeholder>
        </w:sdtPr>
        <w:sdtContent>
          <w:r w:rsidR="00C41F30">
            <w:rPr>
              <w:color w:val="0B0B0B"/>
            </w:rPr>
            <w:t>[4]</w:t>
          </w:r>
        </w:sdtContent>
      </w:sdt>
      <w:r w:rsidRPr="00536A81">
        <w:rPr>
          <w:color w:val="000000" w:themeColor="text1"/>
        </w:rPr>
        <w:t>.</w:t>
      </w:r>
    </w:p>
    <w:p w14:paraId="555D746F" w14:textId="77777777" w:rsidR="00180E71" w:rsidRPr="00536A81" w:rsidRDefault="00180E71" w:rsidP="007811C8">
      <w:pPr>
        <w:pStyle w:val="font-claude-response-body"/>
        <w:spacing w:line="360" w:lineRule="auto"/>
        <w:jc w:val="both"/>
        <w:rPr>
          <w:color w:val="000000" w:themeColor="text1"/>
        </w:rPr>
      </w:pPr>
      <w:r w:rsidRPr="00536A81">
        <w:rPr>
          <w:color w:val="000000" w:themeColor="text1"/>
        </w:rPr>
        <w:t>Zero Trust does not make an organisation immune. A sophisticated adversary with valid credentials and an enrolled device can still cause harm within the permitted scope. Social engineering, supply chain attacks, and vulnerabilities in the Zero Trust infrastructure itself are not fully addressed by segmentation and continuous verification. Zero Trust should be understood as a significant evidence-backed improvement in baseline posture, operating within a broader defence-in-depth programme.</w:t>
      </w:r>
    </w:p>
    <w:p w14:paraId="7D48A81A" w14:textId="249FA14E" w:rsidR="00180E71" w:rsidRPr="00B028BD" w:rsidRDefault="005901B1" w:rsidP="009557CA">
      <w:pPr>
        <w:pStyle w:val="Heading2"/>
        <w:rPr>
          <w:rFonts w:ascii="Times New Roman" w:hAnsi="Times New Roman" w:cs="Times New Roman"/>
          <w:color w:val="000000" w:themeColor="text1"/>
          <w:sz w:val="28"/>
          <w:szCs w:val="28"/>
        </w:rPr>
      </w:pPr>
      <w:bookmarkStart w:id="16" w:name="_Toc235527129"/>
      <w:bookmarkStart w:id="17" w:name="_Toc237297180"/>
      <w:r w:rsidRPr="00B028BD">
        <w:rPr>
          <w:rStyle w:val="Strong"/>
          <w:rFonts w:ascii="Times New Roman" w:hAnsi="Times New Roman" w:cs="Times New Roman"/>
          <w:color w:val="000000" w:themeColor="text1"/>
          <w:sz w:val="28"/>
          <w:szCs w:val="28"/>
        </w:rPr>
        <w:lastRenderedPageBreak/>
        <w:t>1.5</w:t>
      </w:r>
      <w:r w:rsidR="00180E71" w:rsidRPr="00B028BD">
        <w:rPr>
          <w:rStyle w:val="Strong"/>
          <w:rFonts w:ascii="Times New Roman" w:hAnsi="Times New Roman" w:cs="Times New Roman"/>
          <w:color w:val="000000" w:themeColor="text1"/>
          <w:sz w:val="28"/>
          <w:szCs w:val="28"/>
        </w:rPr>
        <w:t xml:space="preserve"> CRITICAL ANALYSIS</w:t>
      </w:r>
      <w:bookmarkEnd w:id="16"/>
      <w:bookmarkEnd w:id="17"/>
    </w:p>
    <w:p w14:paraId="6765EF38" w14:textId="7BB787F1" w:rsidR="00180E71" w:rsidRPr="00536A81" w:rsidRDefault="00180E71" w:rsidP="007811C8">
      <w:pPr>
        <w:pStyle w:val="font-claude-response-body"/>
        <w:spacing w:line="360" w:lineRule="auto"/>
        <w:jc w:val="both"/>
        <w:rPr>
          <w:color w:val="000000" w:themeColor="text1"/>
        </w:rPr>
      </w:pPr>
      <w:r w:rsidRPr="00536A81">
        <w:rPr>
          <w:color w:val="000000" w:themeColor="text1"/>
        </w:rPr>
        <w:t>Zero Trust deserves honest engagement with its weaknesses, because organisations making serious implementation decisions need accurate information about what can go wrong as well as what works. Usability friction is the most immediate practical problem. Every additional verification step is friction, and in small well-designed amounts that is an acceptable cost. When controls are poorly tuned or require frequent re-authentication for routine tasks, people adapt by working around them. Workarounds that bypass monitoring systems are arguably worse than controls designed more carefully to begin with. Neither NIST nor CISA fully resolves this tension, though both acknowledge that user experience must be part of the policy design process.</w:t>
      </w:r>
    </w:p>
    <w:p w14:paraId="4C972843" w14:textId="3B147A5C"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Vendor implementation quality is a serious and widespread concern. The commercial success of Zero Trust has produced a market where many products claim Zero Trust capabilities without meeting the NIST SP 800-207 standard. A VPN with added MFA is not Zero Trust. A network access tool that checks device compliance once at connection but does not re-evaluate continuously is not Zero Trust. Organisations that allow vendor marketing to substitute for a careful reading of the NIST framework may believe themselves protected while retaining most structural weaknesses of the perimeter model </w:t>
      </w:r>
      <w:sdt>
        <w:sdtPr>
          <w:rPr>
            <w:color w:val="000000"/>
            <w:highlight w:val="whit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1686929"/>
          <w:placeholder>
            <w:docPart w:val="6E39E1288717E04AAB2BA8D2B8C6B438"/>
          </w:placeholder>
        </w:sdtPr>
        <w:sdtContent>
          <w:r w:rsidR="00C41F30">
            <w:rPr>
              <w:color w:val="0B0B0B"/>
            </w:rPr>
            <w:t>[4]</w:t>
          </w:r>
        </w:sdtContent>
      </w:sdt>
      <w:r w:rsidRPr="00536A81">
        <w:rPr>
          <w:color w:val="000000" w:themeColor="text1"/>
        </w:rPr>
        <w:t>.</w:t>
      </w:r>
    </w:p>
    <w:p w14:paraId="69E92419" w14:textId="473CFEE3" w:rsidR="00180E71" w:rsidRPr="00536A81" w:rsidRDefault="00180E71" w:rsidP="007811C8">
      <w:pPr>
        <w:pStyle w:val="font-claude-response-body"/>
        <w:spacing w:line="360" w:lineRule="auto"/>
        <w:jc w:val="both"/>
        <w:rPr>
          <w:color w:val="000000" w:themeColor="text1"/>
        </w:rPr>
      </w:pPr>
      <w:r w:rsidRPr="00536A81">
        <w:rPr>
          <w:color w:val="000000" w:themeColor="text1"/>
        </w:rPr>
        <w:t xml:space="preserve">Partial implementation creates the most underappreciated risk: misplaced confidence. An organisation that has deployed Zero Trust across its modern infrastructure but left legacy systems outside the policy framework has a gap that is easy to overlook precisely because the modern parts look secure. The Microsoft breach is a direct illustration of what a single excluded account costs </w:t>
      </w:r>
      <w:sdt>
        <w:sdtPr>
          <w:rPr>
            <w:color w:val="000000"/>
            <w:highlight w:val="white"/>
          </w:rPr>
          <w:alias w:val="Citation"/>
          <w:tag w:val="{&quot;referencesIds&quot;:[&quot;doc:6a673f72846cf85db3cc3d23&quot;],&quot;referencesOptions&quot;:{&quot;doc:6a673f72846cf85db3cc3d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9482078"/>
          <w:placeholder>
            <w:docPart w:val="4AAA6B88B9B0C648B66EC2E05BD0AAE1"/>
          </w:placeholder>
        </w:sdtPr>
        <w:sdtContent>
          <w:r w:rsidR="00C41F30">
            <w:rPr>
              <w:color w:val="0B0B0B"/>
            </w:rPr>
            <w:t>[7]</w:t>
          </w:r>
        </w:sdtContent>
      </w:sdt>
      <w:r w:rsidRPr="00536A81">
        <w:rPr>
          <w:color w:val="000000" w:themeColor="text1"/>
        </w:rPr>
        <w:t xml:space="preserve">. The 2025 review found consistently that partial implementations produced worse security outcomes than comprehensive ones </w:t>
      </w:r>
      <w:sdt>
        <w:sdtPr>
          <w:rPr>
            <w:color w:val="000000"/>
            <w:highlight w:val="white"/>
          </w:rPr>
          <w:alias w:val="Citation"/>
          <w:tag w:val="{&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0087408"/>
          <w:placeholder>
            <w:docPart w:val="C59FCF15090E5B419461BEF8FFF92367"/>
          </w:placeholder>
        </w:sdtPr>
        <w:sdtContent>
          <w:r w:rsidR="00C41F30">
            <w:rPr>
              <w:color w:val="0B0B0B"/>
            </w:rPr>
            <w:t>[9]</w:t>
          </w:r>
        </w:sdtContent>
      </w:sdt>
      <w:r w:rsidRPr="00536A81">
        <w:rPr>
          <w:color w:val="000000" w:themeColor="text1"/>
        </w:rPr>
        <w:t xml:space="preserve"> and NIST SP 800-207 is unambiguous: the architecture delivers its intended benefits only when applied consistently across the full environment</w:t>
      </w:r>
      <w:sdt>
        <w:sdtPr>
          <w:rPr>
            <w:color w:val="000000"/>
            <w:highlight w:val="whit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7396948"/>
          <w:placeholder>
            <w:docPart w:val="E07740461E1EE840A72B57EC8A51F6E8"/>
          </w:placeholder>
        </w:sdtPr>
        <w:sdtContent>
          <w:r w:rsidR="00C41F30">
            <w:rPr>
              <w:color w:val="0B0B0B"/>
            </w:rPr>
            <w:t>[4]</w:t>
          </w:r>
        </w:sdtContent>
      </w:sdt>
      <w:r w:rsidRPr="00536A81">
        <w:rPr>
          <w:color w:val="000000" w:themeColor="text1"/>
        </w:rPr>
        <w:t>.</w:t>
      </w:r>
    </w:p>
    <w:p w14:paraId="1689F66B" w14:textId="77777777" w:rsidR="00B33957" w:rsidRPr="00536A81" w:rsidRDefault="00B33957" w:rsidP="007811C8">
      <w:pPr>
        <w:spacing w:line="360" w:lineRule="auto"/>
        <w:jc w:val="both"/>
        <w:rPr>
          <w:rStyle w:val="Strong"/>
          <w:rFonts w:ascii="Times New Roman" w:eastAsiaTheme="majorEastAsia" w:hAnsi="Times New Roman" w:cs="Times New Roman"/>
          <w:color w:val="000000" w:themeColor="text1"/>
          <w:sz w:val="40"/>
          <w:szCs w:val="40"/>
        </w:rPr>
      </w:pPr>
      <w:bookmarkStart w:id="18" w:name="_Toc235527130"/>
      <w:r w:rsidRPr="00536A81">
        <w:rPr>
          <w:rStyle w:val="Strong"/>
          <w:rFonts w:ascii="Times New Roman" w:hAnsi="Times New Roman" w:cs="Times New Roman"/>
          <w:color w:val="000000" w:themeColor="text1"/>
        </w:rPr>
        <w:br w:type="page"/>
      </w:r>
    </w:p>
    <w:p w14:paraId="1888E036" w14:textId="5999587E" w:rsidR="00DB742E" w:rsidRDefault="005901B1" w:rsidP="00B028BD">
      <w:pPr>
        <w:pStyle w:val="Heading1"/>
        <w:spacing w:line="360" w:lineRule="auto"/>
        <w:jc w:val="center"/>
        <w:rPr>
          <w:rStyle w:val="Strong"/>
          <w:rFonts w:ascii="Times New Roman" w:hAnsi="Times New Roman" w:cs="Times New Roman"/>
          <w:color w:val="000000" w:themeColor="text1"/>
        </w:rPr>
      </w:pPr>
      <w:bookmarkStart w:id="19" w:name="_Toc237297181"/>
      <w:r w:rsidRPr="00536A81">
        <w:rPr>
          <w:rStyle w:val="Strong"/>
          <w:rFonts w:ascii="Times New Roman" w:hAnsi="Times New Roman" w:cs="Times New Roman"/>
          <w:color w:val="000000" w:themeColor="text1"/>
        </w:rPr>
        <w:lastRenderedPageBreak/>
        <w:t>Task_ 2 Case Scenario: Equifax Data Breach</w:t>
      </w:r>
      <w:bookmarkEnd w:id="18"/>
      <w:bookmarkEnd w:id="19"/>
    </w:p>
    <w:p w14:paraId="0E4692D1" w14:textId="77777777" w:rsidR="00B028BD" w:rsidRPr="00B028BD" w:rsidRDefault="00B028BD" w:rsidP="00B028BD"/>
    <w:p w14:paraId="1F96BCB0" w14:textId="77777777" w:rsidR="00B028BD" w:rsidRDefault="005901B1" w:rsidP="00B028BD">
      <w:pPr>
        <w:pStyle w:val="Heading2"/>
        <w:spacing w:line="360" w:lineRule="auto"/>
        <w:jc w:val="center"/>
        <w:rPr>
          <w:rStyle w:val="Strong"/>
          <w:rFonts w:ascii="Times New Roman" w:hAnsi="Times New Roman" w:cs="Times New Roman"/>
          <w:color w:val="000000" w:themeColor="text1"/>
        </w:rPr>
      </w:pPr>
      <w:bookmarkStart w:id="20" w:name="_Toc235527131"/>
      <w:bookmarkStart w:id="21" w:name="_Toc237297182"/>
      <w:r w:rsidRPr="00536A81">
        <w:rPr>
          <w:rStyle w:val="Strong"/>
          <w:rFonts w:ascii="Times New Roman" w:hAnsi="Times New Roman" w:cs="Times New Roman"/>
          <w:color w:val="000000" w:themeColor="text1"/>
        </w:rPr>
        <w:t>Title: Designing a Forward-Looking Cybersecurity Programme After the 2017 Equifax Data Breach.</w:t>
      </w:r>
      <w:bookmarkEnd w:id="20"/>
    </w:p>
    <w:p w14:paraId="1B356639" w14:textId="54BE3226" w:rsidR="007811C8" w:rsidRPr="00BB2EDC" w:rsidRDefault="005901B1" w:rsidP="00B028BD">
      <w:pPr>
        <w:pStyle w:val="Heading2"/>
        <w:spacing w:line="360" w:lineRule="auto"/>
        <w:jc w:val="center"/>
        <w:rPr>
          <w:rFonts w:ascii="Times New Roman" w:hAnsi="Times New Roman" w:cs="Times New Roman"/>
          <w:b/>
          <w:bCs/>
          <w:color w:val="000000" w:themeColor="text1"/>
        </w:rPr>
      </w:pPr>
      <w:r w:rsidRPr="00536A81">
        <w:rPr>
          <w:rStyle w:val="Strong"/>
          <w:rFonts w:ascii="Times New Roman" w:hAnsi="Times New Roman" w:cs="Times New Roman"/>
          <w:color w:val="000000" w:themeColor="text1"/>
        </w:rPr>
        <w:br/>
      </w:r>
      <w:bookmarkStart w:id="22" w:name="_Toc235527132"/>
      <w:r w:rsidRPr="00536A81">
        <w:rPr>
          <w:rStyle w:val="Strong"/>
          <w:rFonts w:ascii="Times New Roman" w:hAnsi="Times New Roman" w:cs="Times New Roman"/>
          <w:color w:val="000000" w:themeColor="text1"/>
        </w:rPr>
        <w:t>2</w:t>
      </w:r>
      <w:r w:rsidR="0029050E" w:rsidRPr="00536A81">
        <w:rPr>
          <w:rStyle w:val="Strong"/>
          <w:rFonts w:ascii="Times New Roman" w:hAnsi="Times New Roman" w:cs="Times New Roman"/>
          <w:color w:val="000000" w:themeColor="text1"/>
        </w:rPr>
        <w:t xml:space="preserve">. </w:t>
      </w:r>
      <w:r w:rsidR="00180E71" w:rsidRPr="00536A81">
        <w:rPr>
          <w:rStyle w:val="Strong"/>
          <w:rFonts w:ascii="Times New Roman" w:hAnsi="Times New Roman" w:cs="Times New Roman"/>
          <w:color w:val="000000" w:themeColor="text1"/>
        </w:rPr>
        <w:t xml:space="preserve">ORGANISATIONAL </w:t>
      </w:r>
      <w:r w:rsidR="00180E71" w:rsidRPr="00536A81">
        <w:rPr>
          <w:rStyle w:val="Strong"/>
          <w:rFonts w:ascii="Times New Roman" w:hAnsi="Times New Roman" w:cs="Times New Roman"/>
          <w:color w:val="000000" w:themeColor="text1"/>
          <w:sz w:val="28"/>
          <w:szCs w:val="28"/>
        </w:rPr>
        <w:t>STRUCTURE</w:t>
      </w:r>
      <w:bookmarkEnd w:id="22"/>
      <w:r w:rsidR="007D05A0" w:rsidRPr="00536A81">
        <w:rPr>
          <w:rStyle w:val="Strong"/>
          <w:rFonts w:ascii="Times New Roman" w:hAnsi="Times New Roman" w:cs="Times New Roman"/>
          <w:color w:val="000000" w:themeColor="text1"/>
          <w:sz w:val="28"/>
          <w:szCs w:val="28"/>
        </w:rPr>
        <w:t xml:space="preserve"> </w:t>
      </w:r>
      <w:r w:rsidR="007D05A0" w:rsidRPr="00536A81">
        <w:rPr>
          <w:rFonts w:ascii="Times New Roman" w:eastAsia="Times New Roman" w:hAnsi="Times New Roman" w:cs="Times New Roman"/>
          <w:b/>
          <w:bCs/>
          <w:color w:val="000000" w:themeColor="text1"/>
          <w:kern w:val="0"/>
          <w:sz w:val="28"/>
          <w:szCs w:val="28"/>
          <w:lang w:eastAsia="en-GB"/>
          <w14:ligatures w14:val="none"/>
        </w:rPr>
        <w:t>AND ACCOUNTABILITY</w:t>
      </w:r>
      <w:bookmarkEnd w:id="21"/>
    </w:p>
    <w:p w14:paraId="6DC2B937" w14:textId="6B37CAFA" w:rsidR="007D05A0" w:rsidRPr="00536A81" w:rsidRDefault="007D05A0" w:rsidP="007811C8">
      <w:pPr>
        <w:shd w:val="clear" w:color="auto" w:fill="FCFCFB"/>
        <w:spacing w:after="0" w:line="360" w:lineRule="auto"/>
        <w:jc w:val="both"/>
        <w:rPr>
          <w:rFonts w:ascii="Times New Roman" w:eastAsia="Times New Roman" w:hAnsi="Times New Roman" w:cs="Times New Roman"/>
          <w:color w:val="000000" w:themeColor="text1"/>
          <w:kern w:val="0"/>
          <w:lang w:eastAsia="en-GB"/>
          <w14:ligatures w14:val="none"/>
        </w:rPr>
      </w:pPr>
      <w:r w:rsidRPr="00536A81">
        <w:rPr>
          <w:rFonts w:ascii="Times New Roman" w:eastAsia="Times New Roman" w:hAnsi="Times New Roman" w:cs="Times New Roman"/>
          <w:color w:val="000000" w:themeColor="text1"/>
          <w:kern w:val="0"/>
          <w:lang w:eastAsia="en-GB"/>
          <w14:ligatures w14:val="none"/>
        </w:rPr>
        <w:t xml:space="preserve">The 2017 Equifax breach was ultimately a governance failure wearing the clothes of a technical one. Patch management responsibilities were spread across teams without clear ownership, the CISO had no formal reporting line to the board, and the security function lacked the authority to enforce standards consistently across the organisation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0480973"/>
          <w:placeholder>
            <w:docPart w:val="6104D25053B1034CA7FAFCEE8F7201FE"/>
          </w:placeholder>
        </w:sdtPr>
        <w:sdtContent>
          <w:r w:rsidR="00C41F30">
            <w:rPr>
              <w:rFonts w:eastAsia="Times New Roman"/>
              <w:color w:val="0B0B0B"/>
            </w:rPr>
            <w:t>[11]</w:t>
          </w:r>
        </w:sdtContent>
      </w:sdt>
      <w:r w:rsidRPr="00536A81">
        <w:rPr>
          <w:rFonts w:ascii="Times New Roman" w:eastAsia="Times New Roman" w:hAnsi="Times New Roman" w:cs="Times New Roman"/>
          <w:color w:val="000000" w:themeColor="text1"/>
          <w:kern w:val="0"/>
          <w:lang w:eastAsia="en-GB"/>
          <w14:ligatures w14:val="none"/>
        </w:rPr>
        <w:t xml:space="preserve">. A publicly known vulnerability in Apache Struts sat unpatched across internet-facing systems for 78 days not because the patch did not exist, but because no single person was accountable for ensuring it was applied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831113"/>
          <w:placeholder>
            <w:docPart w:val="24183761E092824F96470F84C51AD1CE"/>
          </w:placeholder>
        </w:sdtPr>
        <w:sdtContent>
          <w:r w:rsidR="00C41F30">
            <w:rPr>
              <w:rFonts w:eastAsia="Times New Roman"/>
              <w:color w:val="0B0B0B"/>
            </w:rPr>
            <w:t>[12]</w:t>
          </w:r>
        </w:sdtContent>
      </w:sdt>
      <w:r w:rsidRPr="00536A81">
        <w:rPr>
          <w:rFonts w:ascii="Times New Roman" w:eastAsia="Times New Roman" w:hAnsi="Times New Roman" w:cs="Times New Roman"/>
          <w:color w:val="000000" w:themeColor="text1"/>
          <w:kern w:val="0"/>
          <w:lang w:eastAsia="en-GB"/>
          <w14:ligatures w14:val="none"/>
        </w:rPr>
        <w:t>. When accountability is diffuse, risk accumulates in the gaps between teams.</w:t>
      </w:r>
    </w:p>
    <w:p w14:paraId="6248670B" w14:textId="0D4DB4C1" w:rsidR="007811C8" w:rsidRDefault="007D05A0" w:rsidP="007811C8">
      <w:pPr>
        <w:shd w:val="clear" w:color="auto" w:fill="FCFCFB"/>
        <w:spacing w:after="0" w:line="360" w:lineRule="auto"/>
        <w:jc w:val="both"/>
        <w:rPr>
          <w:rFonts w:ascii="Times New Roman" w:eastAsia="Times New Roman" w:hAnsi="Times New Roman" w:cs="Times New Roman"/>
          <w:color w:val="000000" w:themeColor="text1"/>
          <w:kern w:val="0"/>
          <w:lang w:eastAsia="en-GB"/>
          <w14:ligatures w14:val="none"/>
        </w:rPr>
      </w:pPr>
      <w:r w:rsidRPr="00536A81">
        <w:rPr>
          <w:rFonts w:ascii="Times New Roman" w:eastAsia="Times New Roman" w:hAnsi="Times New Roman" w:cs="Times New Roman"/>
          <w:color w:val="000000" w:themeColor="text1"/>
          <w:kern w:val="0"/>
          <w:lang w:eastAsia="en-GB"/>
          <w14:ligatures w14:val="none"/>
        </w:rPr>
        <w:t xml:space="preserve">A forward-looking programme must close those gaps structurally. The proposed model places a Chief Information Security Officer with a mandatory direct reporting line to the board and a standing place in quarterly risk reviews. Framing cybersecurity as purely a technical concern, rather than a governance and organisational one, is precisely the condition that allowed the Equifax failure to persist undetected for as long as it did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4958160"/>
          <w:placeholder>
            <w:docPart w:val="14E2C0E37A034C48ACB05FBFC0261919"/>
          </w:placeholder>
        </w:sdtPr>
        <w:sdtContent>
          <w:r w:rsidR="00C41F30">
            <w:rPr>
              <w:rFonts w:eastAsia="Times New Roman"/>
              <w:color w:val="0B0B0B"/>
            </w:rPr>
            <w:t>[13]</w:t>
          </w:r>
        </w:sdtContent>
      </w:sdt>
      <w:r w:rsidRPr="00536A81">
        <w:rPr>
          <w:rFonts w:ascii="Times New Roman" w:eastAsia="Times New Roman" w:hAnsi="Times New Roman" w:cs="Times New Roman"/>
          <w:color w:val="000000" w:themeColor="text1"/>
          <w:kern w:val="0"/>
          <w:lang w:eastAsia="en-GB"/>
          <w14:ligatures w14:val="none"/>
        </w:rPr>
        <w:t xml:space="preserve">. The CISO's board relationship is not symbolic: it is the mechanism through which security risk is treated as a business priority, investment decisions are made with accurate information, and the visible leadership commitment that effective security programmes require is </w:t>
      </w:r>
      <w:proofErr w:type="gramStart"/>
      <w:r w:rsidRPr="00536A81">
        <w:rPr>
          <w:rFonts w:ascii="Times New Roman" w:eastAsia="Times New Roman" w:hAnsi="Times New Roman" w:cs="Times New Roman"/>
          <w:color w:val="000000" w:themeColor="text1"/>
          <w:kern w:val="0"/>
          <w:lang w:eastAsia="en-GB"/>
          <w14:ligatures w14:val="none"/>
        </w:rPr>
        <w:t>actually demonstrated</w:t>
      </w:r>
      <w:proofErr w:type="gramEnd"/>
      <w:r w:rsidRPr="00536A81">
        <w:rPr>
          <w:rFonts w:ascii="Times New Roman" w:eastAsia="Times New Roman" w:hAnsi="Times New Roman" w:cs="Times New Roman"/>
          <w:color w:val="000000" w:themeColor="text1"/>
          <w:kern w:val="0"/>
          <w:lang w:eastAsia="en-GB"/>
          <w14:ligatures w14:val="none"/>
        </w:rPr>
        <w:t xml:space="preserve"> rather than assumed.</w:t>
      </w:r>
    </w:p>
    <w:p w14:paraId="7FCFF899" w14:textId="27770840" w:rsidR="007D05A0" w:rsidRPr="00536A81" w:rsidRDefault="007811C8" w:rsidP="007811C8">
      <w:pPr>
        <w:spacing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br w:type="page"/>
      </w:r>
    </w:p>
    <w:p w14:paraId="35B0D0F3" w14:textId="5B4CBB3D" w:rsidR="00536A81" w:rsidRPr="00715A9D" w:rsidRDefault="007D05A0" w:rsidP="007811C8">
      <w:pPr>
        <w:pStyle w:val="Heading3"/>
        <w:spacing w:line="360" w:lineRule="auto"/>
        <w:jc w:val="both"/>
        <w:rPr>
          <w:rFonts w:ascii="Times New Roman" w:eastAsia="Times New Roman" w:hAnsi="Times New Roman" w:cs="Times New Roman"/>
          <w:b/>
          <w:bCs/>
          <w:color w:val="000000" w:themeColor="text1"/>
          <w:sz w:val="26"/>
          <w:szCs w:val="26"/>
          <w:lang w:eastAsia="en-GB"/>
        </w:rPr>
      </w:pPr>
      <w:bookmarkStart w:id="23" w:name="_Toc237297183"/>
      <w:r w:rsidRPr="00715A9D">
        <w:rPr>
          <w:rFonts w:ascii="Times New Roman" w:eastAsia="Times New Roman" w:hAnsi="Times New Roman" w:cs="Times New Roman"/>
          <w:b/>
          <w:bCs/>
          <w:color w:val="000000" w:themeColor="text1"/>
          <w:sz w:val="26"/>
          <w:szCs w:val="26"/>
          <w:lang w:eastAsia="en-GB"/>
        </w:rPr>
        <w:lastRenderedPageBreak/>
        <w:t>TABLE I — Proposed Information Security Governance Structure</w:t>
      </w:r>
      <w:bookmarkEnd w:id="23"/>
    </w:p>
    <w:tbl>
      <w:tblPr>
        <w:tblStyle w:val="GridTable1Light"/>
        <w:tblW w:w="0" w:type="auto"/>
        <w:tblLook w:val="04A0" w:firstRow="1" w:lastRow="0" w:firstColumn="1" w:lastColumn="0" w:noHBand="0" w:noVBand="1"/>
      </w:tblPr>
      <w:tblGrid>
        <w:gridCol w:w="2213"/>
        <w:gridCol w:w="6803"/>
      </w:tblGrid>
      <w:tr w:rsidR="007D05A0" w:rsidRPr="00536A81" w14:paraId="3AB6477F" w14:textId="77777777" w:rsidTr="00536A81">
        <w:trPr>
          <w:cnfStyle w:val="100000000000" w:firstRow="1" w:lastRow="0" w:firstColumn="0" w:lastColumn="0" w:oddVBand="0" w:evenVBand="0" w:oddHBand="0" w:evenHBand="0" w:firstRowFirstColumn="0" w:firstRowLastColumn="0" w:lastRowFirstColumn="0" w:lastRowLastColumn="0"/>
          <w:trHeight w:val="748"/>
        </w:trPr>
        <w:tc>
          <w:tcPr>
            <w:cnfStyle w:val="001000000000" w:firstRow="0" w:lastRow="0" w:firstColumn="1" w:lastColumn="0" w:oddVBand="0" w:evenVBand="0" w:oddHBand="0" w:evenHBand="0" w:firstRowFirstColumn="0" w:firstRowLastColumn="0" w:lastRowFirstColumn="0" w:lastRowLastColumn="0"/>
            <w:tcW w:w="0" w:type="auto"/>
            <w:hideMark/>
          </w:tcPr>
          <w:p w14:paraId="21DA5A19" w14:textId="77777777" w:rsidR="00536A81" w:rsidRPr="00715A9D" w:rsidRDefault="00536A81" w:rsidP="007811C8">
            <w:pPr>
              <w:spacing w:line="360" w:lineRule="auto"/>
              <w:jc w:val="both"/>
              <w:rPr>
                <w:rFonts w:ascii="Times New Roman" w:eastAsia="Times New Roman" w:hAnsi="Times New Roman" w:cs="Times New Roman"/>
                <w:b w:val="0"/>
                <w:bCs w:val="0"/>
                <w:color w:val="000000" w:themeColor="text1"/>
                <w:kern w:val="0"/>
                <w:lang w:eastAsia="en-GB"/>
                <w14:ligatures w14:val="none"/>
              </w:rPr>
            </w:pPr>
          </w:p>
          <w:p w14:paraId="10458D5D" w14:textId="03B7162C" w:rsidR="007D05A0" w:rsidRPr="00715A9D" w:rsidRDefault="007D05A0" w:rsidP="007811C8">
            <w:pPr>
              <w:spacing w:line="360" w:lineRule="auto"/>
              <w:jc w:val="both"/>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Role</w:t>
            </w:r>
          </w:p>
        </w:tc>
        <w:tc>
          <w:tcPr>
            <w:tcW w:w="0" w:type="auto"/>
            <w:hideMark/>
          </w:tcPr>
          <w:p w14:paraId="5A0EC562" w14:textId="77777777" w:rsidR="00536A81" w:rsidRPr="00715A9D" w:rsidRDefault="00536A81" w:rsidP="007811C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kern w:val="0"/>
                <w:lang w:eastAsia="en-GB"/>
                <w14:ligatures w14:val="none"/>
              </w:rPr>
            </w:pPr>
          </w:p>
          <w:p w14:paraId="574CDC8F" w14:textId="2FDD5B92" w:rsidR="007D05A0" w:rsidRPr="00715A9D" w:rsidRDefault="007D05A0" w:rsidP="007811C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Key Responsibilities</w:t>
            </w:r>
          </w:p>
        </w:tc>
      </w:tr>
      <w:tr w:rsidR="007D05A0" w:rsidRPr="00536A81" w14:paraId="5F1673DF" w14:textId="77777777" w:rsidTr="00536A81">
        <w:trPr>
          <w:trHeight w:val="822"/>
        </w:trPr>
        <w:tc>
          <w:tcPr>
            <w:cnfStyle w:val="001000000000" w:firstRow="0" w:lastRow="0" w:firstColumn="1" w:lastColumn="0" w:oddVBand="0" w:evenVBand="0" w:oddHBand="0" w:evenHBand="0" w:firstRowFirstColumn="0" w:firstRowLastColumn="0" w:lastRowFirstColumn="0" w:lastRowLastColumn="0"/>
            <w:tcW w:w="0" w:type="auto"/>
            <w:hideMark/>
          </w:tcPr>
          <w:p w14:paraId="6A01FE79" w14:textId="77777777" w:rsidR="00536A81" w:rsidRPr="00715A9D" w:rsidRDefault="007D05A0" w:rsidP="007811C8">
            <w:pPr>
              <w:spacing w:line="360" w:lineRule="auto"/>
              <w:jc w:val="both"/>
              <w:rPr>
                <w:rFonts w:ascii="Times New Roman" w:eastAsia="Times New Roman" w:hAnsi="Times New Roman" w:cs="Times New Roman"/>
                <w:b w:val="0"/>
                <w:bCs w:val="0"/>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CISO</w:t>
            </w:r>
          </w:p>
          <w:p w14:paraId="7DE19C0A" w14:textId="33A55D88" w:rsidR="007D05A0" w:rsidRPr="00715A9D" w:rsidRDefault="007D05A0" w:rsidP="007811C8">
            <w:pPr>
              <w:spacing w:line="360" w:lineRule="auto"/>
              <w:jc w:val="both"/>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(Board-Reporting)</w:t>
            </w:r>
          </w:p>
        </w:tc>
        <w:tc>
          <w:tcPr>
            <w:tcW w:w="0" w:type="auto"/>
            <w:hideMark/>
          </w:tcPr>
          <w:p w14:paraId="532C21B8" w14:textId="77777777" w:rsidR="007D05A0" w:rsidRPr="00715A9D" w:rsidRDefault="007D05A0"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Security strategy and governance; quarterly board risk reporting; regulatory liaison for FTC, FCRA, and GLBA; chairs Security Governance Committee</w:t>
            </w:r>
          </w:p>
        </w:tc>
      </w:tr>
      <w:tr w:rsidR="007D05A0" w:rsidRPr="00536A81" w14:paraId="43F59FAB" w14:textId="77777777" w:rsidTr="00536A81">
        <w:trPr>
          <w:trHeight w:val="698"/>
        </w:trPr>
        <w:tc>
          <w:tcPr>
            <w:cnfStyle w:val="001000000000" w:firstRow="0" w:lastRow="0" w:firstColumn="1" w:lastColumn="0" w:oddVBand="0" w:evenVBand="0" w:oddHBand="0" w:evenHBand="0" w:firstRowFirstColumn="0" w:firstRowLastColumn="0" w:lastRowFirstColumn="0" w:lastRowLastColumn="0"/>
            <w:tcW w:w="0" w:type="auto"/>
            <w:hideMark/>
          </w:tcPr>
          <w:p w14:paraId="101ADC9B" w14:textId="77777777" w:rsidR="00536A81" w:rsidRPr="00715A9D" w:rsidRDefault="007D05A0" w:rsidP="007811C8">
            <w:pPr>
              <w:spacing w:line="360" w:lineRule="auto"/>
              <w:jc w:val="both"/>
              <w:rPr>
                <w:rFonts w:ascii="Times New Roman" w:eastAsia="Times New Roman" w:hAnsi="Times New Roman" w:cs="Times New Roman"/>
                <w:b w:val="0"/>
                <w:bCs w:val="0"/>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VP</w:t>
            </w:r>
          </w:p>
          <w:p w14:paraId="7B681EA8" w14:textId="2787642D" w:rsidR="007D05A0" w:rsidRPr="00715A9D" w:rsidRDefault="007D05A0" w:rsidP="007811C8">
            <w:pPr>
              <w:spacing w:line="360" w:lineRule="auto"/>
              <w:jc w:val="both"/>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Vulnerability Management</w:t>
            </w:r>
          </w:p>
        </w:tc>
        <w:tc>
          <w:tcPr>
            <w:tcW w:w="0" w:type="auto"/>
            <w:hideMark/>
          </w:tcPr>
          <w:p w14:paraId="646CFB68" w14:textId="77777777" w:rsidR="007D05A0" w:rsidRPr="00715A9D" w:rsidRDefault="007D05A0"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Owns the full patch management lifecycle; maintains complete internet-facing asset inventory; enforces SLA compliance for critical CVE remediation</w:t>
            </w:r>
          </w:p>
        </w:tc>
      </w:tr>
      <w:tr w:rsidR="007D05A0" w:rsidRPr="00536A81" w14:paraId="6D1EEF8B" w14:textId="77777777" w:rsidTr="00536A81">
        <w:trPr>
          <w:trHeight w:val="836"/>
        </w:trPr>
        <w:tc>
          <w:tcPr>
            <w:cnfStyle w:val="001000000000" w:firstRow="0" w:lastRow="0" w:firstColumn="1" w:lastColumn="0" w:oddVBand="0" w:evenVBand="0" w:oddHBand="0" w:evenHBand="0" w:firstRowFirstColumn="0" w:firstRowLastColumn="0" w:lastRowFirstColumn="0" w:lastRowLastColumn="0"/>
            <w:tcW w:w="0" w:type="auto"/>
            <w:hideMark/>
          </w:tcPr>
          <w:p w14:paraId="40FB49A0" w14:textId="77777777" w:rsidR="007D05A0" w:rsidRPr="00715A9D" w:rsidRDefault="007D05A0" w:rsidP="007811C8">
            <w:pPr>
              <w:spacing w:line="360" w:lineRule="auto"/>
              <w:jc w:val="both"/>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Security Architecture Lead</w:t>
            </w:r>
          </w:p>
        </w:tc>
        <w:tc>
          <w:tcPr>
            <w:tcW w:w="0" w:type="auto"/>
            <w:hideMark/>
          </w:tcPr>
          <w:p w14:paraId="03444530" w14:textId="77777777" w:rsidR="007D05A0" w:rsidRPr="00715A9D" w:rsidRDefault="007D05A0"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Designs and enforces network segmentation; implements Zero Trust controls across all environments; manages encryption standards for all data stores</w:t>
            </w:r>
          </w:p>
        </w:tc>
      </w:tr>
      <w:tr w:rsidR="007D05A0" w:rsidRPr="00536A81" w14:paraId="3AE0B03C" w14:textId="77777777" w:rsidTr="00536A81">
        <w:trPr>
          <w:trHeight w:val="706"/>
        </w:trPr>
        <w:tc>
          <w:tcPr>
            <w:cnfStyle w:val="001000000000" w:firstRow="0" w:lastRow="0" w:firstColumn="1" w:lastColumn="0" w:oddVBand="0" w:evenVBand="0" w:oddHBand="0" w:evenHBand="0" w:firstRowFirstColumn="0" w:firstRowLastColumn="0" w:lastRowFirstColumn="0" w:lastRowLastColumn="0"/>
            <w:tcW w:w="0" w:type="auto"/>
            <w:hideMark/>
          </w:tcPr>
          <w:p w14:paraId="56D88EAC" w14:textId="77777777" w:rsidR="007D05A0" w:rsidRPr="00715A9D" w:rsidRDefault="007D05A0" w:rsidP="007811C8">
            <w:pPr>
              <w:spacing w:line="360" w:lineRule="auto"/>
              <w:jc w:val="both"/>
              <w:rPr>
                <w:rFonts w:ascii="Times New Roman" w:eastAsia="Times New Roman" w:hAnsi="Times New Roman" w:cs="Times New Roman"/>
                <w:color w:val="000000" w:themeColor="text1"/>
                <w:kern w:val="0"/>
                <w:lang w:eastAsia="en-GB"/>
                <w14:ligatures w14:val="none"/>
              </w:rPr>
            </w:pPr>
            <w:proofErr w:type="spellStart"/>
            <w:r w:rsidRPr="00715A9D">
              <w:rPr>
                <w:rFonts w:ascii="Times New Roman" w:eastAsia="Times New Roman" w:hAnsi="Times New Roman" w:cs="Times New Roman"/>
                <w:color w:val="000000" w:themeColor="text1"/>
                <w:kern w:val="0"/>
                <w:lang w:eastAsia="en-GB"/>
                <w14:ligatures w14:val="none"/>
              </w:rPr>
              <w:t>DevSecOps</w:t>
            </w:r>
            <w:proofErr w:type="spellEnd"/>
            <w:r w:rsidRPr="00715A9D">
              <w:rPr>
                <w:rFonts w:ascii="Times New Roman" w:eastAsia="Times New Roman" w:hAnsi="Times New Roman" w:cs="Times New Roman"/>
                <w:color w:val="000000" w:themeColor="text1"/>
                <w:kern w:val="0"/>
                <w:lang w:eastAsia="en-GB"/>
                <w14:ligatures w14:val="none"/>
              </w:rPr>
              <w:t xml:space="preserve"> Lead</w:t>
            </w:r>
          </w:p>
        </w:tc>
        <w:tc>
          <w:tcPr>
            <w:tcW w:w="0" w:type="auto"/>
            <w:hideMark/>
          </w:tcPr>
          <w:p w14:paraId="4CE651E6" w14:textId="77777777" w:rsidR="007D05A0" w:rsidRPr="00715A9D" w:rsidRDefault="007D05A0"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Embeds security into the SDLC; runs dependency scanning in CI/CD pipelines; manages third-party component and supply chain risk</w:t>
            </w:r>
          </w:p>
        </w:tc>
      </w:tr>
      <w:tr w:rsidR="007D05A0" w:rsidRPr="00536A81" w14:paraId="4B37A540" w14:textId="77777777" w:rsidTr="00536A81">
        <w:trPr>
          <w:trHeight w:val="830"/>
        </w:trPr>
        <w:tc>
          <w:tcPr>
            <w:cnfStyle w:val="001000000000" w:firstRow="0" w:lastRow="0" w:firstColumn="1" w:lastColumn="0" w:oddVBand="0" w:evenVBand="0" w:oddHBand="0" w:evenHBand="0" w:firstRowFirstColumn="0" w:firstRowLastColumn="0" w:lastRowFirstColumn="0" w:lastRowLastColumn="0"/>
            <w:tcW w:w="0" w:type="auto"/>
            <w:hideMark/>
          </w:tcPr>
          <w:p w14:paraId="58D5B2CE" w14:textId="77777777" w:rsidR="007D05A0" w:rsidRPr="00715A9D" w:rsidRDefault="007D05A0" w:rsidP="007811C8">
            <w:pPr>
              <w:spacing w:line="360" w:lineRule="auto"/>
              <w:jc w:val="both"/>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Compliance and Risk Officer</w:t>
            </w:r>
          </w:p>
        </w:tc>
        <w:tc>
          <w:tcPr>
            <w:tcW w:w="0" w:type="auto"/>
            <w:hideMark/>
          </w:tcPr>
          <w:p w14:paraId="19396DD8" w14:textId="77777777" w:rsidR="007D05A0" w:rsidRPr="00715A9D" w:rsidRDefault="007D05A0"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Maintains risk register; coordinates regulatory obligations; manages breach notification timelines and documentation</w:t>
            </w:r>
          </w:p>
        </w:tc>
      </w:tr>
      <w:tr w:rsidR="007D05A0" w:rsidRPr="00536A81" w14:paraId="0E9ED2EB" w14:textId="77777777" w:rsidTr="00536A81">
        <w:trPr>
          <w:trHeight w:val="772"/>
        </w:trPr>
        <w:tc>
          <w:tcPr>
            <w:cnfStyle w:val="001000000000" w:firstRow="0" w:lastRow="0" w:firstColumn="1" w:lastColumn="0" w:oddVBand="0" w:evenVBand="0" w:oddHBand="0" w:evenHBand="0" w:firstRowFirstColumn="0" w:firstRowLastColumn="0" w:lastRowFirstColumn="0" w:lastRowLastColumn="0"/>
            <w:tcW w:w="0" w:type="auto"/>
            <w:hideMark/>
          </w:tcPr>
          <w:p w14:paraId="6CC82E6F" w14:textId="77777777" w:rsidR="00536A81" w:rsidRPr="00715A9D" w:rsidRDefault="007D05A0" w:rsidP="007811C8">
            <w:pPr>
              <w:spacing w:line="360" w:lineRule="auto"/>
              <w:jc w:val="both"/>
              <w:rPr>
                <w:rFonts w:ascii="Times New Roman" w:eastAsia="Times New Roman" w:hAnsi="Times New Roman" w:cs="Times New Roman"/>
                <w:b w:val="0"/>
                <w:bCs w:val="0"/>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SOC</w:t>
            </w:r>
          </w:p>
          <w:p w14:paraId="30CB616A" w14:textId="4CECB4B5" w:rsidR="007D05A0" w:rsidRPr="00715A9D" w:rsidRDefault="007D05A0" w:rsidP="007811C8">
            <w:pPr>
              <w:spacing w:line="360" w:lineRule="auto"/>
              <w:jc w:val="both"/>
              <w:rPr>
                <w:rFonts w:ascii="Times New Roman" w:eastAsia="Times New Roman" w:hAnsi="Times New Roman" w:cs="Times New Roman"/>
                <w:color w:val="000000" w:themeColor="text1"/>
                <w:kern w:val="0"/>
                <w:lang w:eastAsia="en-GB"/>
                <w14:ligatures w14:val="none"/>
              </w:rPr>
            </w:pPr>
            <w:proofErr w:type="spellStart"/>
            <w:proofErr w:type="gramStart"/>
            <w:r w:rsidRPr="00715A9D">
              <w:rPr>
                <w:rFonts w:ascii="Times New Roman" w:eastAsia="Times New Roman" w:hAnsi="Times New Roman" w:cs="Times New Roman"/>
                <w:color w:val="000000" w:themeColor="text1"/>
                <w:kern w:val="0"/>
                <w:lang w:eastAsia="en-GB"/>
                <w14:ligatures w14:val="none"/>
              </w:rPr>
              <w:t>Manager</w:t>
            </w:r>
            <w:r w:rsidR="00536A81" w:rsidRPr="00715A9D">
              <w:rPr>
                <w:rFonts w:ascii="Times New Roman" w:eastAsia="Times New Roman" w:hAnsi="Times New Roman" w:cs="Times New Roman"/>
                <w:color w:val="000000" w:themeColor="text1"/>
                <w:kern w:val="0"/>
                <w:lang w:eastAsia="en-GB"/>
                <w14:ligatures w14:val="none"/>
              </w:rPr>
              <w:t>,</w:t>
            </w:r>
            <w:r w:rsidRPr="00715A9D">
              <w:rPr>
                <w:rFonts w:ascii="Times New Roman" w:eastAsia="Times New Roman" w:hAnsi="Times New Roman" w:cs="Times New Roman"/>
                <w:color w:val="000000" w:themeColor="text1"/>
                <w:kern w:val="0"/>
                <w:lang w:eastAsia="en-GB"/>
                <w14:ligatures w14:val="none"/>
              </w:rPr>
              <w:t>and</w:t>
            </w:r>
            <w:proofErr w:type="spellEnd"/>
            <w:proofErr w:type="gramEnd"/>
            <w:r w:rsidRPr="00715A9D">
              <w:rPr>
                <w:rFonts w:ascii="Times New Roman" w:eastAsia="Times New Roman" w:hAnsi="Times New Roman" w:cs="Times New Roman"/>
                <w:color w:val="000000" w:themeColor="text1"/>
                <w:kern w:val="0"/>
                <w:lang w:eastAsia="en-GB"/>
                <w14:ligatures w14:val="none"/>
              </w:rPr>
              <w:t xml:space="preserve"> Analysts (x3)</w:t>
            </w:r>
          </w:p>
        </w:tc>
        <w:tc>
          <w:tcPr>
            <w:tcW w:w="0" w:type="auto"/>
            <w:hideMark/>
          </w:tcPr>
          <w:p w14:paraId="0564FF32" w14:textId="77777777" w:rsidR="007D05A0" w:rsidRPr="00715A9D" w:rsidRDefault="007D05A0"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kern w:val="0"/>
                <w:lang w:eastAsia="en-GB"/>
                <w14:ligatures w14:val="none"/>
              </w:rPr>
            </w:pPr>
            <w:r w:rsidRPr="00715A9D">
              <w:rPr>
                <w:rFonts w:ascii="Times New Roman" w:eastAsia="Times New Roman" w:hAnsi="Times New Roman" w:cs="Times New Roman"/>
                <w:color w:val="000000" w:themeColor="text1"/>
                <w:kern w:val="0"/>
                <w:lang w:eastAsia="en-GB"/>
                <w14:ligatures w14:val="none"/>
              </w:rPr>
              <w:t>24/7 SIEM-based monitoring; threat hunting; incident triage and escalation</w:t>
            </w:r>
          </w:p>
        </w:tc>
      </w:tr>
    </w:tbl>
    <w:p w14:paraId="23D0B1C4" w14:textId="77777777" w:rsidR="007D05A0" w:rsidRPr="00536A81" w:rsidRDefault="007D05A0" w:rsidP="007811C8">
      <w:pPr>
        <w:shd w:val="clear" w:color="auto" w:fill="FCFCFB"/>
        <w:spacing w:after="0" w:line="360" w:lineRule="auto"/>
        <w:jc w:val="both"/>
        <w:rPr>
          <w:rFonts w:ascii="Times New Roman" w:eastAsia="Times New Roman" w:hAnsi="Times New Roman" w:cs="Times New Roman"/>
          <w:color w:val="000000" w:themeColor="text1"/>
          <w:kern w:val="0"/>
          <w:lang w:eastAsia="en-GB"/>
          <w14:ligatures w14:val="none"/>
        </w:rPr>
      </w:pPr>
    </w:p>
    <w:p w14:paraId="7E0E4C39" w14:textId="3847CBA1" w:rsidR="00B028BD" w:rsidRDefault="007D05A0" w:rsidP="007811C8">
      <w:pPr>
        <w:shd w:val="clear" w:color="auto" w:fill="FCFCFB"/>
        <w:spacing w:after="0" w:line="360" w:lineRule="auto"/>
        <w:jc w:val="both"/>
        <w:rPr>
          <w:rFonts w:ascii="Times New Roman" w:eastAsia="Times New Roman" w:hAnsi="Times New Roman" w:cs="Times New Roman"/>
          <w:color w:val="000000"/>
          <w:kern w:val="0"/>
          <w:lang w:eastAsia="en-GB"/>
          <w14:ligatures w14:val="none"/>
        </w:rPr>
      </w:pPr>
      <w:r w:rsidRPr="00536A81">
        <w:rPr>
          <w:rFonts w:ascii="Times New Roman" w:eastAsia="Times New Roman" w:hAnsi="Times New Roman" w:cs="Times New Roman"/>
          <w:color w:val="000000" w:themeColor="text1"/>
          <w:kern w:val="0"/>
          <w:lang w:eastAsia="en-GB"/>
          <w14:ligatures w14:val="none"/>
        </w:rPr>
        <w:t xml:space="preserve">The VP Vulnerability Management role directly addresses the accountability failure at Equifax. US-CERT issued an advisory about CVE-2017-5638 on 8 March 2017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5073761"/>
          <w:placeholder>
            <w:docPart w:val="DCD07BA036F0884D9284692A123AC244"/>
          </w:placeholder>
        </w:sdtPr>
        <w:sdtContent>
          <w:r w:rsidR="00C41F30">
            <w:rPr>
              <w:rFonts w:eastAsia="Times New Roman"/>
              <w:color w:val="0B0B0B"/>
            </w:rPr>
            <w:t>[11]</w:t>
          </w:r>
        </w:sdtContent>
      </w:sdt>
      <w:r w:rsidRPr="00536A81">
        <w:rPr>
          <w:rFonts w:ascii="Times New Roman" w:eastAsia="Times New Roman" w:hAnsi="Times New Roman" w:cs="Times New Roman"/>
          <w:color w:val="000000" w:themeColor="text1"/>
          <w:kern w:val="0"/>
          <w:lang w:eastAsia="en-GB"/>
          <w14:ligatures w14:val="none"/>
        </w:rPr>
        <w:t xml:space="preserve">. Equifax received it but no single person owned the remediation process end to end. A dedicated role with board-visible SLA metrics closes that gap permanently. The Security Architecture Lead's primary mandate is network segmentation: the attackers moved laterally across 48 databases after gaining initial access because internal trust was not enforced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0756766"/>
          <w:placeholder>
            <w:docPart w:val="23233E4F29172941ACD64D5327935173"/>
          </w:placeholder>
        </w:sdtPr>
        <w:sdtContent>
          <w:r w:rsidR="00C41F30">
            <w:rPr>
              <w:rFonts w:eastAsia="Times New Roman"/>
              <w:color w:val="0B0B0B"/>
            </w:rPr>
            <w:t>[11]</w:t>
          </w:r>
        </w:sdtContent>
      </w:sdt>
      <w:r w:rsidRPr="00536A81">
        <w:rPr>
          <w:rFonts w:ascii="Times New Roman" w:eastAsia="Times New Roman" w:hAnsi="Times New Roman" w:cs="Times New Roman"/>
          <w:color w:val="000000" w:themeColor="text1"/>
          <w:kern w:val="0"/>
          <w:lang w:eastAsia="en-GB"/>
          <w14:ligatures w14:val="none"/>
        </w:rPr>
        <w:t xml:space="preserve">. Zero Trust micro-segmentation, applied consistently across the environment, would have confined the initial compromise to a single segment rather than providing unrestricted access to the full estate </w:t>
      </w:r>
      <w:sdt>
        <w:sdtPr>
          <w:rPr>
            <w:rFonts w:ascii="Times New Roman" w:eastAsia="Times New Roman" w:hAnsi="Times New Roman" w:cs="Times New Roman"/>
            <w:color w:val="000000"/>
            <w:kern w:val="0"/>
            <w:highlight w:val="white"/>
            <w:lang w:eastAsia="en-GB"/>
            <w14:ligatures w14:val="non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976354"/>
          <w:placeholder>
            <w:docPart w:val="1483B94DEF376C45A8041D846BB023E9"/>
          </w:placeholder>
        </w:sdtPr>
        <w:sdtContent>
          <w:r w:rsidR="00C41F30">
            <w:rPr>
              <w:rFonts w:eastAsia="Times New Roman"/>
              <w:color w:val="0B0B0B"/>
            </w:rPr>
            <w:t>[4]</w:t>
          </w:r>
        </w:sdtContent>
      </w:sdt>
      <w:r w:rsidR="00E270D3">
        <w:rPr>
          <w:rFonts w:ascii="Times New Roman" w:eastAsia="Times New Roman" w:hAnsi="Times New Roman" w:cs="Times New Roman"/>
          <w:color w:val="000000"/>
          <w:kern w:val="0"/>
          <w:lang w:eastAsia="en-GB"/>
          <w14:ligatures w14:val="none"/>
        </w:rPr>
        <w:t>,</w:t>
      </w:r>
      <w:sdt>
        <w:sdtPr>
          <w:rPr>
            <w:rFonts w:ascii="Times New Roman" w:eastAsia="Times New Roman" w:hAnsi="Times New Roman" w:cs="Times New Roman"/>
            <w:color w:val="000000"/>
            <w:kern w:val="0"/>
            <w:highlight w:val="white"/>
            <w:lang w:eastAsia="en-GB"/>
            <w14:ligatures w14:val="none"/>
          </w:rPr>
          <w:alias w:val="Citation"/>
          <w:tag w:val="{&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1307839"/>
          <w:placeholder>
            <w:docPart w:val="3ECF47C8A49DD946A2065CDC1513A467"/>
          </w:placeholder>
        </w:sdtPr>
        <w:sdtContent>
          <w:r w:rsidR="00C41F30">
            <w:rPr>
              <w:rFonts w:eastAsia="Times New Roman"/>
              <w:color w:val="0B0B0B"/>
            </w:rPr>
            <w:t>[10]</w:t>
          </w:r>
        </w:sdtContent>
      </w:sdt>
      <w:r w:rsidR="00E270D3">
        <w:rPr>
          <w:rFonts w:ascii="Times New Roman" w:eastAsia="Times New Roman" w:hAnsi="Times New Roman" w:cs="Times New Roman"/>
          <w:color w:val="000000"/>
          <w:kern w:val="0"/>
          <w:lang w:eastAsia="en-GB"/>
          <w14:ligatures w14:val="none"/>
        </w:rPr>
        <w:t>.</w:t>
      </w:r>
    </w:p>
    <w:p w14:paraId="421B9C4B" w14:textId="142DD390" w:rsidR="007D05A0" w:rsidRPr="00B028BD" w:rsidRDefault="00B028BD" w:rsidP="00B028BD">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br w:type="page"/>
      </w:r>
    </w:p>
    <w:p w14:paraId="7CBB0CFB" w14:textId="7141E45A" w:rsidR="0029050E" w:rsidRPr="00B028BD" w:rsidRDefault="005901B1" w:rsidP="009557CA">
      <w:pPr>
        <w:pStyle w:val="Heading2"/>
        <w:rPr>
          <w:rFonts w:ascii="Times New Roman" w:hAnsi="Times New Roman" w:cs="Times New Roman"/>
          <w:color w:val="000000" w:themeColor="text1"/>
          <w:sz w:val="28"/>
          <w:szCs w:val="28"/>
        </w:rPr>
      </w:pPr>
      <w:bookmarkStart w:id="24" w:name="_Toc235527133"/>
      <w:bookmarkStart w:id="25" w:name="_Toc237297184"/>
      <w:r w:rsidRPr="00B028BD">
        <w:rPr>
          <w:rStyle w:val="Strong"/>
          <w:rFonts w:ascii="Times New Roman" w:hAnsi="Times New Roman" w:cs="Times New Roman"/>
          <w:color w:val="000000" w:themeColor="text1"/>
          <w:sz w:val="28"/>
          <w:szCs w:val="28"/>
        </w:rPr>
        <w:lastRenderedPageBreak/>
        <w:t>2</w:t>
      </w:r>
      <w:r w:rsidR="00180E71" w:rsidRPr="00B028BD">
        <w:rPr>
          <w:rStyle w:val="Strong"/>
          <w:rFonts w:ascii="Times New Roman" w:hAnsi="Times New Roman" w:cs="Times New Roman"/>
          <w:color w:val="000000" w:themeColor="text1"/>
          <w:sz w:val="28"/>
          <w:szCs w:val="28"/>
        </w:rPr>
        <w:t>.</w:t>
      </w:r>
      <w:r w:rsidR="0029050E" w:rsidRPr="00B028BD">
        <w:rPr>
          <w:rStyle w:val="Strong"/>
          <w:rFonts w:ascii="Times New Roman" w:hAnsi="Times New Roman" w:cs="Times New Roman"/>
          <w:color w:val="000000" w:themeColor="text1"/>
          <w:sz w:val="28"/>
          <w:szCs w:val="28"/>
        </w:rPr>
        <w:t xml:space="preserve">1 </w:t>
      </w:r>
      <w:r w:rsidR="00180E71" w:rsidRPr="00B028BD">
        <w:rPr>
          <w:rStyle w:val="Strong"/>
          <w:rFonts w:ascii="Times New Roman" w:hAnsi="Times New Roman" w:cs="Times New Roman"/>
          <w:color w:val="000000" w:themeColor="text1"/>
          <w:sz w:val="28"/>
          <w:szCs w:val="28"/>
        </w:rPr>
        <w:t xml:space="preserve">POLICIES </w:t>
      </w:r>
      <w:r w:rsidR="00180E71" w:rsidRPr="00B028BD">
        <w:rPr>
          <w:rFonts w:ascii="Times New Roman" w:hAnsi="Times New Roman" w:cs="Times New Roman"/>
          <w:b/>
          <w:bCs/>
          <w:color w:val="000000" w:themeColor="text1"/>
          <w:sz w:val="28"/>
          <w:szCs w:val="28"/>
        </w:rPr>
        <w:t>AND PROCEDURES</w:t>
      </w:r>
      <w:bookmarkEnd w:id="24"/>
      <w:bookmarkEnd w:id="25"/>
    </w:p>
    <w:p w14:paraId="7C655DE8" w14:textId="06990E61" w:rsidR="00180E71" w:rsidRPr="00715A9D" w:rsidRDefault="0029050E" w:rsidP="007811C8">
      <w:pPr>
        <w:pStyle w:val="Heading4"/>
        <w:numPr>
          <w:ilvl w:val="0"/>
          <w:numId w:val="2"/>
        </w:numPr>
        <w:spacing w:line="360" w:lineRule="auto"/>
        <w:jc w:val="both"/>
        <w:rPr>
          <w:rFonts w:ascii="Times New Roman" w:hAnsi="Times New Roman" w:cs="Times New Roman"/>
          <w:b/>
          <w:bCs/>
          <w:i w:val="0"/>
          <w:iCs w:val="0"/>
          <w:color w:val="000000" w:themeColor="text1"/>
          <w:sz w:val="26"/>
          <w:szCs w:val="26"/>
        </w:rPr>
      </w:pPr>
      <w:r w:rsidRPr="00715A9D">
        <w:rPr>
          <w:rFonts w:ascii="Times New Roman" w:hAnsi="Times New Roman" w:cs="Times New Roman"/>
          <w:b/>
          <w:bCs/>
          <w:i w:val="0"/>
          <w:iCs w:val="0"/>
          <w:color w:val="000000" w:themeColor="text1"/>
          <w:sz w:val="26"/>
          <w:szCs w:val="26"/>
        </w:rPr>
        <w:t>Patch Management Policy</w:t>
      </w:r>
    </w:p>
    <w:p w14:paraId="55476B7A" w14:textId="60B57762" w:rsidR="0029050E" w:rsidRPr="007811C8" w:rsidRDefault="0029050E" w:rsidP="007811C8">
      <w:pPr>
        <w:jc w:val="both"/>
        <w:rPr>
          <w:rStyle w:val="Emphasis"/>
          <w:rFonts w:ascii="Times New Roman" w:hAnsi="Times New Roman" w:cs="Times New Roman"/>
          <w:b/>
          <w:bCs/>
          <w:i w:val="0"/>
          <w:iCs w:val="0"/>
          <w:color w:val="000000" w:themeColor="text1"/>
        </w:rPr>
      </w:pPr>
      <w:r w:rsidRPr="007811C8">
        <w:rPr>
          <w:rFonts w:ascii="Times New Roman" w:hAnsi="Times New Roman" w:cs="Times New Roman"/>
        </w:rPr>
        <w:t xml:space="preserve">All internet-facing systems must be patched within 48 hours of a critical vulnerability (CVSS score 9.0 and above) being publicly disclosed. High-severity findings (CVSS 7.0–8.9) require remediation within 14 days. Compliance is measured through automated scanning and reported weekly to the CISO dashboard, reviewed at monthly governance meetings. Any exception requires documented risk acceptance signed by the CISO within 24 hours of the missed deadline, with a compensating control in place and mandatory reassessment after 7 days. The 48-hour window reflects a real operational constraint: the gap between public disclosure and active exploitation has shortened to days in many cases, as research into shared-code vulnerability patching confirms </w:t>
      </w:r>
      <w:sdt>
        <w:sdtPr>
          <w:rPr>
            <w:rFonts w:ascii="Times New Roman" w:hAnsi="Times New Roman" w:cs="Times New Roman"/>
            <w:color w:val="000000"/>
            <w:highlight w:val="white"/>
          </w:rPr>
          <w:alias w:val="Citation"/>
          <w:tag w:val="{&quot;referencesIds&quot;:[&quot;doc:6a71d818b973893f31f9810e&quot;],&quot;referencesOptions&quot;:{&quot;doc:6a71d818b973893f31f98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1840161"/>
          <w:placeholder>
            <w:docPart w:val="3FE8728D089C4A429BD90AC61B7B837F"/>
          </w:placeholder>
        </w:sdtPr>
        <w:sdtContent>
          <w:r w:rsidR="00C41F30">
            <w:rPr>
              <w:rFonts w:eastAsia="Times New Roman"/>
              <w:color w:val="0B0B0B"/>
            </w:rPr>
            <w:t>[14]</w:t>
          </w:r>
        </w:sdtContent>
      </w:sdt>
      <w:r w:rsidRPr="007811C8">
        <w:rPr>
          <w:rFonts w:ascii="Times New Roman" w:hAnsi="Times New Roman" w:cs="Times New Roman"/>
        </w:rPr>
        <w:t xml:space="preserve">. CVE-2017-5638 was being exploited in the wild within days of disclosure, yet Equifax's systems remained exposed for 78 days after the advisory was issued </w:t>
      </w:r>
      <w:sdt>
        <w:sdtPr>
          <w:rPr>
            <w:rFonts w:ascii="Times New Roman" w:hAnsi="Times New Roman" w:cs="Times New Roman"/>
            <w:color w:val="000000"/>
            <w:highlight w:val="whit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6732054"/>
          <w:placeholder>
            <w:docPart w:val="0AE19DD04928BA44AE9DD0CDDA290646"/>
          </w:placeholder>
        </w:sdtPr>
        <w:sdtContent>
          <w:r w:rsidR="00C41F30">
            <w:rPr>
              <w:rFonts w:eastAsia="Times New Roman"/>
              <w:color w:val="0B0B0B"/>
            </w:rPr>
            <w:t>[11]</w:t>
          </w:r>
        </w:sdtContent>
      </w:sdt>
      <w:r w:rsidRPr="007811C8">
        <w:rPr>
          <w:rFonts w:ascii="Times New Roman" w:hAnsi="Times New Roman" w:cs="Times New Roman"/>
        </w:rPr>
        <w:t>.</w:t>
      </w:r>
    </w:p>
    <w:p w14:paraId="74219EA0" w14:textId="339D7715" w:rsidR="00180E71" w:rsidRPr="00715A9D" w:rsidRDefault="0029050E" w:rsidP="007811C8">
      <w:pPr>
        <w:pStyle w:val="Heading4"/>
        <w:numPr>
          <w:ilvl w:val="0"/>
          <w:numId w:val="2"/>
        </w:numPr>
        <w:spacing w:line="360" w:lineRule="auto"/>
        <w:jc w:val="both"/>
        <w:rPr>
          <w:rFonts w:ascii="Times New Roman" w:hAnsi="Times New Roman" w:cs="Times New Roman"/>
          <w:b/>
          <w:bCs/>
          <w:i w:val="0"/>
          <w:iCs w:val="0"/>
          <w:color w:val="000000" w:themeColor="text1"/>
          <w:sz w:val="26"/>
          <w:szCs w:val="26"/>
        </w:rPr>
      </w:pPr>
      <w:r w:rsidRPr="00715A9D">
        <w:rPr>
          <w:rFonts w:ascii="Times New Roman" w:hAnsi="Times New Roman" w:cs="Times New Roman"/>
          <w:b/>
          <w:bCs/>
          <w:i w:val="0"/>
          <w:iCs w:val="0"/>
          <w:color w:val="000000" w:themeColor="text1"/>
          <w:sz w:val="26"/>
          <w:szCs w:val="26"/>
        </w:rPr>
        <w:t>Asset Inventory and Vulnerability Management Policy</w:t>
      </w:r>
    </w:p>
    <w:p w14:paraId="3DAC1E0E" w14:textId="27D9024F" w:rsidR="0029050E" w:rsidRPr="00536A81" w:rsidRDefault="0029050E" w:rsidP="007811C8">
      <w:pPr>
        <w:jc w:val="both"/>
        <w:rPr>
          <w:rStyle w:val="Emphasis"/>
          <w:rFonts w:ascii="Times New Roman" w:hAnsi="Times New Roman" w:cs="Times New Roman"/>
          <w:b/>
          <w:bCs/>
          <w:i w:val="0"/>
          <w:iCs w:val="0"/>
          <w:color w:val="000000" w:themeColor="text1"/>
        </w:rPr>
      </w:pPr>
      <w:r w:rsidRPr="00536A81">
        <w:t xml:space="preserve">A patch management policy can only function if the organisation knows what it is patching. The Equifax investigation found the security team was unaware of all internet-facing assets within scope, which is how some systems were never scanned and never patched </w:t>
      </w:r>
      <w:sdt>
        <w:sdtPr>
          <w:rPr>
            <w:rFonts w:ascii="Aptos" w:hAnsi="Aptos"/>
            <w:color w:val="000000"/>
            <w:highlight w:val="whit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2023416"/>
          <w:placeholder>
            <w:docPart w:val="B703749D83B32A46A2AC53D02D8C7A82"/>
          </w:placeholder>
        </w:sdtPr>
        <w:sdtContent>
          <w:r w:rsidR="00C41F30">
            <w:rPr>
              <w:rFonts w:eastAsia="Times New Roman"/>
              <w:color w:val="0B0B0B"/>
            </w:rPr>
            <w:t>[11]</w:t>
          </w:r>
        </w:sdtContent>
      </w:sdt>
      <w:r w:rsidRPr="00536A81">
        <w:t>. Under this policy, all assets must be registered in a Configuration Management Database within 24 hours of provisioning. Automated discovery tools run continuously and flag any internet-facing asset absent from the CMDB for immediate investigation and isolation. Vulnerability scanning covers all registered assets on a continuous basis, with critical findings generating alerts to the VP Vulnerability Management and the CISO within 15 minutes of detection.</w:t>
      </w:r>
    </w:p>
    <w:p w14:paraId="54BDFE8F" w14:textId="1439BA85" w:rsidR="00180E71" w:rsidRPr="00715A9D" w:rsidRDefault="0029050E" w:rsidP="007811C8">
      <w:pPr>
        <w:pStyle w:val="Heading4"/>
        <w:numPr>
          <w:ilvl w:val="0"/>
          <w:numId w:val="2"/>
        </w:numPr>
        <w:spacing w:line="360" w:lineRule="auto"/>
        <w:jc w:val="both"/>
        <w:rPr>
          <w:rFonts w:ascii="Times New Roman" w:hAnsi="Times New Roman" w:cs="Times New Roman"/>
          <w:b/>
          <w:bCs/>
          <w:i w:val="0"/>
          <w:iCs w:val="0"/>
          <w:color w:val="000000" w:themeColor="text1"/>
          <w:sz w:val="26"/>
          <w:szCs w:val="26"/>
        </w:rPr>
      </w:pPr>
      <w:r w:rsidRPr="00715A9D">
        <w:rPr>
          <w:rFonts w:ascii="Times New Roman" w:hAnsi="Times New Roman" w:cs="Times New Roman"/>
          <w:b/>
          <w:bCs/>
          <w:i w:val="0"/>
          <w:iCs w:val="0"/>
          <w:color w:val="000000" w:themeColor="text1"/>
          <w:sz w:val="26"/>
          <w:szCs w:val="26"/>
        </w:rPr>
        <w:t>Data Classification and Access Control Policy</w:t>
      </w:r>
    </w:p>
    <w:p w14:paraId="605839EC" w14:textId="74F7D19C" w:rsidR="0029050E" w:rsidRDefault="0029050E" w:rsidP="007811C8">
      <w:pPr>
        <w:jc w:val="both"/>
      </w:pPr>
      <w:bookmarkStart w:id="26" w:name="_Toc235527134"/>
      <w:r w:rsidRPr="00536A81">
        <w:t xml:space="preserve">Equifax held Social Security numbers, dates of birth, and addresses for 147 million people in systems where access was insufficiently restricted and data was not protected in a way that would have limited the damage during extraction </w:t>
      </w:r>
      <w:sdt>
        <w:sdtPr>
          <w:rPr>
            <w:rFonts w:ascii="Aptos" w:hAnsi="Aptos"/>
            <w:color w:val="000000"/>
            <w:highlight w:val="white"/>
          </w:rPr>
          <w:alias w:val="Citation"/>
          <w:tag w:val="{&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4111222"/>
          <w:placeholder>
            <w:docPart w:val="85ADF1B4E961F44B966F9FFA02AD6987"/>
          </w:placeholder>
        </w:sdtPr>
        <w:sdtContent>
          <w:r w:rsidR="00C41F30">
            <w:rPr>
              <w:rFonts w:eastAsia="Times New Roman"/>
              <w:color w:val="0B0B0B"/>
            </w:rPr>
            <w:t>[12]</w:t>
          </w:r>
        </w:sdtContent>
      </w:sdt>
      <w:r w:rsidRPr="00536A81">
        <w:t xml:space="preserve">. All datasets must be classified at intake as Restricted, Confidential, Internal, or Public. Restricted data, which includes all personally identifiable and financial information, requires AES-256 encryption at rest and in transit, access governed by least-privilege principles and reviewed quarterly, and phishing-resistant MFA enforced at every access point regardless of network location. Access logs for Restricted datasets are retained for a minimum of 24 months and reviewed monthly for anomalous patterns. Addressing only the technical layer without enforcing data classification and access controls misses the structural conditions that made the Equifax breach as damaging as it was </w:t>
      </w:r>
      <w:sdt>
        <w:sdtPr>
          <w:rPr>
            <w:rFonts w:ascii="Aptos" w:hAnsi="Aptos"/>
            <w:color w:val="000000"/>
            <w:highlight w:val="white"/>
          </w:rPr>
          <w:alias w:val="Citation"/>
          <w:tag w:val="{&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2915818"/>
          <w:placeholder>
            <w:docPart w:val="DB1DF328FFEABF48B30D94214791809A"/>
          </w:placeholder>
        </w:sdtPr>
        <w:sdtContent>
          <w:r w:rsidR="00C41F30">
            <w:rPr>
              <w:rFonts w:eastAsia="Times New Roman"/>
              <w:color w:val="0B0B0B"/>
            </w:rPr>
            <w:t>[13]</w:t>
          </w:r>
        </w:sdtContent>
      </w:sdt>
      <w:r w:rsidRPr="00536A81">
        <w:t>.</w:t>
      </w:r>
    </w:p>
    <w:p w14:paraId="4AE2DB35" w14:textId="77777777" w:rsidR="009557CA" w:rsidRDefault="009557CA" w:rsidP="007811C8">
      <w:pPr>
        <w:jc w:val="both"/>
      </w:pPr>
    </w:p>
    <w:p w14:paraId="7879E5EC" w14:textId="77777777" w:rsidR="009557CA" w:rsidRPr="00536A81" w:rsidRDefault="009557CA" w:rsidP="007811C8">
      <w:pPr>
        <w:jc w:val="both"/>
        <w:rPr>
          <w:rStyle w:val="Strong"/>
          <w:rFonts w:ascii="Times New Roman" w:hAnsi="Times New Roman" w:cs="Times New Roman"/>
          <w:color w:val="000000" w:themeColor="text1"/>
        </w:rPr>
      </w:pPr>
    </w:p>
    <w:p w14:paraId="02695160" w14:textId="6E47170B" w:rsidR="00536A81" w:rsidRPr="00B028BD" w:rsidRDefault="005901B1" w:rsidP="009557CA">
      <w:pPr>
        <w:pStyle w:val="Heading2"/>
        <w:rPr>
          <w:rFonts w:ascii="Times New Roman" w:hAnsi="Times New Roman" w:cs="Times New Roman"/>
          <w:b/>
          <w:bCs/>
          <w:color w:val="000000" w:themeColor="text1"/>
          <w:sz w:val="28"/>
          <w:szCs w:val="28"/>
        </w:rPr>
      </w:pPr>
      <w:bookmarkStart w:id="27" w:name="_Toc237297185"/>
      <w:bookmarkEnd w:id="26"/>
      <w:r w:rsidRPr="00B028BD">
        <w:rPr>
          <w:rStyle w:val="Strong"/>
          <w:rFonts w:ascii="Times New Roman" w:hAnsi="Times New Roman" w:cs="Times New Roman"/>
          <w:color w:val="000000" w:themeColor="text1"/>
          <w:sz w:val="28"/>
          <w:szCs w:val="28"/>
        </w:rPr>
        <w:lastRenderedPageBreak/>
        <w:t>2</w:t>
      </w:r>
      <w:r w:rsidRPr="00B028BD">
        <w:rPr>
          <w:rStyle w:val="Heading3Char"/>
          <w:rFonts w:ascii="Times New Roman" w:hAnsi="Times New Roman" w:cs="Times New Roman"/>
          <w:b/>
          <w:bCs/>
          <w:color w:val="000000" w:themeColor="text1"/>
        </w:rPr>
        <w:t>.</w:t>
      </w:r>
      <w:r w:rsidR="00F45B45" w:rsidRPr="00B028BD">
        <w:rPr>
          <w:rStyle w:val="Heading3Char"/>
          <w:rFonts w:ascii="Times New Roman" w:hAnsi="Times New Roman" w:cs="Times New Roman"/>
          <w:b/>
          <w:bCs/>
          <w:color w:val="000000" w:themeColor="text1"/>
        </w:rPr>
        <w:t>2</w:t>
      </w:r>
      <w:r w:rsidR="0029050E" w:rsidRPr="00B028BD">
        <w:rPr>
          <w:rStyle w:val="Heading3Char"/>
          <w:rFonts w:ascii="Times New Roman" w:hAnsi="Times New Roman" w:cs="Times New Roman"/>
          <w:b/>
          <w:bCs/>
          <w:color w:val="000000" w:themeColor="text1"/>
        </w:rPr>
        <w:t xml:space="preserve"> </w:t>
      </w:r>
      <w:r w:rsidR="0029050E" w:rsidRPr="00B028BD">
        <w:rPr>
          <w:rFonts w:ascii="Times New Roman" w:hAnsi="Times New Roman" w:cs="Times New Roman"/>
          <w:b/>
          <w:bCs/>
          <w:color w:val="000000" w:themeColor="text1"/>
          <w:sz w:val="28"/>
          <w:szCs w:val="28"/>
        </w:rPr>
        <w:t>GOVERNANCE AND STRATEGIC ALIGNMENT</w:t>
      </w:r>
      <w:bookmarkStart w:id="28" w:name="_Toc235527135"/>
      <w:bookmarkEnd w:id="27"/>
    </w:p>
    <w:p w14:paraId="63D0174A" w14:textId="6362C2E1" w:rsidR="00536A81" w:rsidRPr="00715A9D" w:rsidRDefault="0029050E" w:rsidP="007811C8">
      <w:pPr>
        <w:pStyle w:val="font-claude-response-body"/>
        <w:spacing w:line="360" w:lineRule="auto"/>
        <w:jc w:val="both"/>
      </w:pPr>
      <w:r w:rsidRPr="00715A9D">
        <w:t xml:space="preserve">NIST CSF 2.0, published in February 2024, provides the strategic governance model for this programme </w:t>
      </w:r>
      <w:sdt>
        <w:sdtPr>
          <w:rPr>
            <w:color w:val="000000"/>
            <w:highlight w:val="white"/>
          </w:rPr>
          <w:alias w:val="Citation"/>
          <w:tag w:val="{&quot;referencesIds&quot;:[&quot;doc:6a673f5e6ea8294ba2d2b04f&quot;],&quot;referencesOptions&quot;:{&quot;doc:6a673f5e6ea8294ba2d2b0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9764484"/>
          <w:placeholder>
            <w:docPart w:val="CAD25660622F6B4498FD967FBF0BF902"/>
          </w:placeholder>
        </w:sdtPr>
        <w:sdtContent>
          <w:r w:rsidR="00C41F30">
            <w:rPr>
              <w:color w:val="0B0B0B"/>
            </w:rPr>
            <w:t>[15]</w:t>
          </w:r>
        </w:sdtContent>
      </w:sdt>
      <w:r w:rsidRPr="00715A9D">
        <w:t xml:space="preserve">. The most significant change from the previous version is the addition of the Govern function, which places cybersecurity risk management explicitly at board level. This is the structural shift that matters most in the context of Equifax, where the absence of board-level security accountability was a primary condition that allowed the breach to occur, persist for 76 days, and reach 48 databases before anyone noticed </w:t>
      </w:r>
      <w:sdt>
        <w:sdtPr>
          <w:rPr>
            <w:color w:val="000000"/>
            <w:highlight w:val="whit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9910900"/>
          <w:placeholder>
            <w:docPart w:val="43708E47C328954FB2C705CC33EF8802"/>
          </w:placeholder>
        </w:sdtPr>
        <w:sdtContent>
          <w:r w:rsidR="00C41F30">
            <w:rPr>
              <w:color w:val="0B0B0B"/>
            </w:rPr>
            <w:t>[11]</w:t>
          </w:r>
        </w:sdtContent>
      </w:sdt>
      <w:r w:rsidRPr="00715A9D">
        <w:t>. The six functions together describe the complete programme lifecycle from strategic oversight through detection, response, and recovery.</w:t>
      </w:r>
    </w:p>
    <w:p w14:paraId="411A6A38" w14:textId="3C02CFD2" w:rsidR="0029050E" w:rsidRPr="00B028BD" w:rsidRDefault="0029050E" w:rsidP="00B028BD">
      <w:pPr>
        <w:pStyle w:val="Heading3"/>
        <w:rPr>
          <w:rFonts w:ascii="Times New Roman" w:eastAsia="Times New Roman" w:hAnsi="Times New Roman" w:cs="Times New Roman"/>
          <w:b/>
          <w:bCs/>
          <w:lang w:eastAsia="en-GB"/>
        </w:rPr>
      </w:pPr>
      <w:bookmarkStart w:id="29" w:name="_Toc237297186"/>
      <w:r w:rsidRPr="00B028BD">
        <w:rPr>
          <w:rFonts w:ascii="Times New Roman" w:eastAsia="Times New Roman" w:hAnsi="Times New Roman" w:cs="Times New Roman"/>
          <w:b/>
          <w:bCs/>
          <w:color w:val="000000" w:themeColor="text1"/>
          <w:lang w:eastAsia="en-GB"/>
        </w:rPr>
        <w:t>TABLE II — NIST CSF 2.0 Applied to Post-Equifax Programme</w:t>
      </w:r>
      <w:bookmarkEnd w:id="29"/>
    </w:p>
    <w:tbl>
      <w:tblPr>
        <w:tblStyle w:val="GridTable1Light"/>
        <w:tblW w:w="0" w:type="auto"/>
        <w:tblLook w:val="04A0" w:firstRow="1" w:lastRow="0" w:firstColumn="1" w:lastColumn="0" w:noHBand="0" w:noVBand="1"/>
      </w:tblPr>
      <w:tblGrid>
        <w:gridCol w:w="1256"/>
        <w:gridCol w:w="4634"/>
        <w:gridCol w:w="3126"/>
      </w:tblGrid>
      <w:tr w:rsidR="0029050E" w:rsidRPr="00715A9D" w14:paraId="1099F6EB" w14:textId="77777777" w:rsidTr="002905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69B53F" w14:textId="77777777" w:rsidR="0029050E" w:rsidRPr="00715A9D" w:rsidRDefault="0029050E" w:rsidP="007811C8">
            <w:pPr>
              <w:spacing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CSF Function</w:t>
            </w:r>
          </w:p>
        </w:tc>
        <w:tc>
          <w:tcPr>
            <w:tcW w:w="0" w:type="auto"/>
            <w:hideMark/>
          </w:tcPr>
          <w:p w14:paraId="4B5AEFA1" w14:textId="77777777" w:rsidR="0029050E" w:rsidRPr="00715A9D" w:rsidRDefault="0029050E" w:rsidP="007811C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lang w:eastAsia="en-GB"/>
                <w14:ligatures w14:val="none"/>
              </w:rPr>
            </w:pPr>
            <w:r w:rsidRPr="00715A9D">
              <w:rPr>
                <w:rFonts w:ascii="Times New Roman" w:eastAsia="Times New Roman" w:hAnsi="Times New Roman" w:cs="Times New Roman"/>
                <w:b w:val="0"/>
                <w:bCs w:val="0"/>
                <w:kern w:val="0"/>
                <w:lang w:eastAsia="en-GB"/>
                <w14:ligatures w14:val="none"/>
              </w:rPr>
              <w:t>Programme Application</w:t>
            </w:r>
          </w:p>
        </w:tc>
        <w:tc>
          <w:tcPr>
            <w:tcW w:w="0" w:type="auto"/>
            <w:hideMark/>
          </w:tcPr>
          <w:p w14:paraId="7AA7C0BC" w14:textId="77777777" w:rsidR="0029050E" w:rsidRPr="00715A9D" w:rsidRDefault="0029050E" w:rsidP="007811C8">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lang w:eastAsia="en-GB"/>
                <w14:ligatures w14:val="none"/>
              </w:rPr>
            </w:pPr>
            <w:r w:rsidRPr="00715A9D">
              <w:rPr>
                <w:rFonts w:ascii="Times New Roman" w:eastAsia="Times New Roman" w:hAnsi="Times New Roman" w:cs="Times New Roman"/>
                <w:b w:val="0"/>
                <w:bCs w:val="0"/>
                <w:kern w:val="0"/>
                <w:lang w:eastAsia="en-GB"/>
                <w14:ligatures w14:val="none"/>
              </w:rPr>
              <w:t>Business Objective</w:t>
            </w:r>
          </w:p>
        </w:tc>
      </w:tr>
      <w:tr w:rsidR="0029050E" w:rsidRPr="00715A9D" w14:paraId="057AD37E" w14:textId="77777777" w:rsidTr="0029050E">
        <w:tc>
          <w:tcPr>
            <w:cnfStyle w:val="001000000000" w:firstRow="0" w:lastRow="0" w:firstColumn="1" w:lastColumn="0" w:oddVBand="0" w:evenVBand="0" w:oddHBand="0" w:evenHBand="0" w:firstRowFirstColumn="0" w:firstRowLastColumn="0" w:lastRowFirstColumn="0" w:lastRowLastColumn="0"/>
            <w:tcW w:w="0" w:type="auto"/>
            <w:hideMark/>
          </w:tcPr>
          <w:p w14:paraId="7DA24A31" w14:textId="77777777" w:rsidR="0029050E" w:rsidRPr="00715A9D" w:rsidRDefault="0029050E" w:rsidP="007811C8">
            <w:pPr>
              <w:spacing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Govern</w:t>
            </w:r>
          </w:p>
        </w:tc>
        <w:tc>
          <w:tcPr>
            <w:tcW w:w="0" w:type="auto"/>
            <w:hideMark/>
          </w:tcPr>
          <w:p w14:paraId="56053C2D"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CISO with direct board reporting; quarterly risk reviews; patch SLA metrics presented at board level</w:t>
            </w:r>
          </w:p>
        </w:tc>
        <w:tc>
          <w:tcPr>
            <w:tcW w:w="0" w:type="auto"/>
            <w:hideMark/>
          </w:tcPr>
          <w:p w14:paraId="21E26649"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Board-level ownership of residual risk; regulatory accountability to FTC and FCRA</w:t>
            </w:r>
          </w:p>
        </w:tc>
      </w:tr>
      <w:tr w:rsidR="0029050E" w:rsidRPr="00715A9D" w14:paraId="315546D3" w14:textId="77777777" w:rsidTr="0029050E">
        <w:tc>
          <w:tcPr>
            <w:cnfStyle w:val="001000000000" w:firstRow="0" w:lastRow="0" w:firstColumn="1" w:lastColumn="0" w:oddVBand="0" w:evenVBand="0" w:oddHBand="0" w:evenHBand="0" w:firstRowFirstColumn="0" w:firstRowLastColumn="0" w:lastRowFirstColumn="0" w:lastRowLastColumn="0"/>
            <w:tcW w:w="0" w:type="auto"/>
            <w:hideMark/>
          </w:tcPr>
          <w:p w14:paraId="54103B80" w14:textId="77777777" w:rsidR="0029050E" w:rsidRPr="00715A9D" w:rsidRDefault="0029050E" w:rsidP="007811C8">
            <w:pPr>
              <w:spacing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Identify</w:t>
            </w:r>
          </w:p>
        </w:tc>
        <w:tc>
          <w:tcPr>
            <w:tcW w:w="0" w:type="auto"/>
            <w:hideMark/>
          </w:tcPr>
          <w:p w14:paraId="0DC77638"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Complete internet-facing asset inventory via CMDB; continuous vulnerability scanning; data classification programme for all PII</w:t>
            </w:r>
          </w:p>
        </w:tc>
        <w:tc>
          <w:tcPr>
            <w:tcW w:w="0" w:type="auto"/>
            <w:hideMark/>
          </w:tcPr>
          <w:p w14:paraId="380EF838"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Full risk visibility across the estate; no unregistered or unscanned assets</w:t>
            </w:r>
          </w:p>
        </w:tc>
      </w:tr>
      <w:tr w:rsidR="0029050E" w:rsidRPr="00715A9D" w14:paraId="33401D80" w14:textId="77777777" w:rsidTr="0029050E">
        <w:tc>
          <w:tcPr>
            <w:cnfStyle w:val="001000000000" w:firstRow="0" w:lastRow="0" w:firstColumn="1" w:lastColumn="0" w:oddVBand="0" w:evenVBand="0" w:oddHBand="0" w:evenHBand="0" w:firstRowFirstColumn="0" w:firstRowLastColumn="0" w:lastRowFirstColumn="0" w:lastRowLastColumn="0"/>
            <w:tcW w:w="0" w:type="auto"/>
            <w:hideMark/>
          </w:tcPr>
          <w:p w14:paraId="2F8AD542" w14:textId="77777777" w:rsidR="0029050E" w:rsidRPr="00715A9D" w:rsidRDefault="0029050E" w:rsidP="007811C8">
            <w:pPr>
              <w:spacing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Protect</w:t>
            </w:r>
          </w:p>
        </w:tc>
        <w:tc>
          <w:tcPr>
            <w:tcW w:w="0" w:type="auto"/>
            <w:hideMark/>
          </w:tcPr>
          <w:p w14:paraId="7C241F30"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Zero Trust network segmentation; least-privilege access reviewed quarterly; AES-256 encryption of all PII at rest and in transit; phishing-resistant MFA</w:t>
            </w:r>
          </w:p>
        </w:tc>
        <w:tc>
          <w:tcPr>
            <w:tcW w:w="0" w:type="auto"/>
            <w:hideMark/>
          </w:tcPr>
          <w:p w14:paraId="10CD68F4"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Limit blast radius of any breach; protect consumer data at the point of storage</w:t>
            </w:r>
          </w:p>
        </w:tc>
      </w:tr>
      <w:tr w:rsidR="0029050E" w:rsidRPr="00715A9D" w14:paraId="210172CD" w14:textId="77777777" w:rsidTr="0029050E">
        <w:tc>
          <w:tcPr>
            <w:cnfStyle w:val="001000000000" w:firstRow="0" w:lastRow="0" w:firstColumn="1" w:lastColumn="0" w:oddVBand="0" w:evenVBand="0" w:oddHBand="0" w:evenHBand="0" w:firstRowFirstColumn="0" w:firstRowLastColumn="0" w:lastRowFirstColumn="0" w:lastRowLastColumn="0"/>
            <w:tcW w:w="0" w:type="auto"/>
            <w:hideMark/>
          </w:tcPr>
          <w:p w14:paraId="3DB88E91" w14:textId="77777777" w:rsidR="0029050E" w:rsidRPr="00715A9D" w:rsidRDefault="0029050E" w:rsidP="007811C8">
            <w:pPr>
              <w:spacing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Detect</w:t>
            </w:r>
          </w:p>
        </w:tc>
        <w:tc>
          <w:tcPr>
            <w:tcW w:w="0" w:type="auto"/>
            <w:hideMark/>
          </w:tcPr>
          <w:p w14:paraId="6C422D0F"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SIEM with behavioural analytics; anomalous outbound data transfer alerts; 24/7 SOC with active threat hunting</w:t>
            </w:r>
          </w:p>
        </w:tc>
        <w:tc>
          <w:tcPr>
            <w:tcW w:w="0" w:type="auto"/>
            <w:hideMark/>
          </w:tcPr>
          <w:p w14:paraId="41C7973A"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Reduce dwell time from 76 days to under 24 hours</w:t>
            </w:r>
          </w:p>
        </w:tc>
      </w:tr>
      <w:tr w:rsidR="0029050E" w:rsidRPr="00715A9D" w14:paraId="2029F464" w14:textId="77777777" w:rsidTr="0029050E">
        <w:tc>
          <w:tcPr>
            <w:cnfStyle w:val="001000000000" w:firstRow="0" w:lastRow="0" w:firstColumn="1" w:lastColumn="0" w:oddVBand="0" w:evenVBand="0" w:oddHBand="0" w:evenHBand="0" w:firstRowFirstColumn="0" w:firstRowLastColumn="0" w:lastRowFirstColumn="0" w:lastRowLastColumn="0"/>
            <w:tcW w:w="0" w:type="auto"/>
            <w:hideMark/>
          </w:tcPr>
          <w:p w14:paraId="4F9DD712" w14:textId="77777777" w:rsidR="0029050E" w:rsidRPr="00715A9D" w:rsidRDefault="0029050E" w:rsidP="007811C8">
            <w:pPr>
              <w:spacing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Respond</w:t>
            </w:r>
          </w:p>
        </w:tc>
        <w:tc>
          <w:tcPr>
            <w:tcW w:w="0" w:type="auto"/>
            <w:hideMark/>
          </w:tcPr>
          <w:p w14:paraId="7550BB02"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Documented incident response plan with regulatory notification timelines; tested escalation chains; named owner for each regulatory obligation</w:t>
            </w:r>
          </w:p>
        </w:tc>
        <w:tc>
          <w:tcPr>
            <w:tcW w:w="0" w:type="auto"/>
            <w:hideMark/>
          </w:tcPr>
          <w:p w14:paraId="35232407"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Meet FTC, FCRA, and state notification deadlines; limit reputational damage</w:t>
            </w:r>
          </w:p>
        </w:tc>
      </w:tr>
      <w:tr w:rsidR="0029050E" w:rsidRPr="00715A9D" w14:paraId="6153D92F" w14:textId="77777777" w:rsidTr="0029050E">
        <w:tc>
          <w:tcPr>
            <w:cnfStyle w:val="001000000000" w:firstRow="0" w:lastRow="0" w:firstColumn="1" w:lastColumn="0" w:oddVBand="0" w:evenVBand="0" w:oddHBand="0" w:evenHBand="0" w:firstRowFirstColumn="0" w:firstRowLastColumn="0" w:lastRowFirstColumn="0" w:lastRowLastColumn="0"/>
            <w:tcW w:w="0" w:type="auto"/>
            <w:hideMark/>
          </w:tcPr>
          <w:p w14:paraId="04915DA0" w14:textId="77777777" w:rsidR="0029050E" w:rsidRPr="00715A9D" w:rsidRDefault="0029050E" w:rsidP="007811C8">
            <w:pPr>
              <w:spacing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Recover</w:t>
            </w:r>
          </w:p>
        </w:tc>
        <w:tc>
          <w:tcPr>
            <w:tcW w:w="0" w:type="auto"/>
            <w:hideMark/>
          </w:tcPr>
          <w:p w14:paraId="57C16691"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Immutable backups with tested restoration procedures; defined RTOs for critical systems; board report within 14 days of incident closure</w:t>
            </w:r>
          </w:p>
        </w:tc>
        <w:tc>
          <w:tcPr>
            <w:tcW w:w="0" w:type="auto"/>
            <w:hideMark/>
          </w:tcPr>
          <w:p w14:paraId="31889F4B" w14:textId="77777777" w:rsidR="0029050E" w:rsidRPr="00715A9D" w:rsidRDefault="0029050E" w:rsidP="007811C8">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Operational continuity; regulatory evidence of adequate controls</w:t>
            </w:r>
          </w:p>
        </w:tc>
      </w:tr>
    </w:tbl>
    <w:p w14:paraId="0214261A" w14:textId="53D62C42" w:rsidR="0029050E" w:rsidRPr="00BB2EDC" w:rsidRDefault="0029050E" w:rsidP="00BB2EDC">
      <w:pPr>
        <w:spacing w:before="100" w:beforeAutospacing="1" w:after="100" w:afterAutospacing="1" w:line="360" w:lineRule="auto"/>
        <w:jc w:val="both"/>
        <w:rPr>
          <w:rStyle w:val="Strong"/>
          <w:rFonts w:ascii="Times New Roman" w:eastAsia="Times New Roman" w:hAnsi="Times New Roman" w:cs="Times New Roman"/>
          <w:b w:val="0"/>
          <w:bCs w:val="0"/>
          <w:kern w:val="0"/>
          <w:lang w:eastAsia="en-GB"/>
          <w14:ligatures w14:val="none"/>
        </w:rPr>
      </w:pPr>
      <w:r w:rsidRPr="00715A9D">
        <w:rPr>
          <w:rFonts w:ascii="Times New Roman" w:eastAsia="Times New Roman" w:hAnsi="Times New Roman" w:cs="Times New Roman"/>
          <w:kern w:val="0"/>
          <w:lang w:eastAsia="en-GB"/>
          <w14:ligatures w14:val="none"/>
        </w:rPr>
        <w:lastRenderedPageBreak/>
        <w:t xml:space="preserve">The Identify function is where Equifax's programme most visibly failed. An incomplete asset inventory meant vulnerabilities could not be systematically found and fixed because the full attack surface was simply not known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0770329"/>
          <w:placeholder>
            <w:docPart w:val="7F80AB7A251B33438D5375AFC2A42551"/>
          </w:placeholder>
        </w:sdtPr>
        <w:sdtContent>
          <w:r w:rsidR="00C41F30">
            <w:rPr>
              <w:rFonts w:eastAsia="Times New Roman"/>
              <w:color w:val="0B0B0B"/>
            </w:rPr>
            <w:t>[11]</w:t>
          </w:r>
        </w:sdtContent>
      </w:sdt>
      <w:r w:rsidRPr="00715A9D">
        <w:rPr>
          <w:rFonts w:ascii="Times New Roman" w:eastAsia="Times New Roman" w:hAnsi="Times New Roman" w:cs="Times New Roman"/>
          <w:kern w:val="0"/>
          <w:lang w:eastAsia="en-GB"/>
          <w14:ligatures w14:val="none"/>
        </w:rPr>
        <w:t xml:space="preserve">. Treating cybersecurity as a purely technical problem, without the organisational visibility that governance frameworks provide, is what creates these blind spots </w:t>
      </w:r>
      <w:r w:rsidR="00E270D3">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4401100"/>
          <w:placeholder>
            <w:docPart w:val="CF5DE1369D2EE54D83F1AAF87189ABB4"/>
          </w:placeholder>
        </w:sdtPr>
        <w:sdtContent>
          <w:r w:rsidR="00C41F30">
            <w:rPr>
              <w:rFonts w:eastAsia="Times New Roman"/>
              <w:color w:val="0B0B0B"/>
            </w:rPr>
            <w:t>[13]</w:t>
          </w:r>
        </w:sdtContent>
      </w:sdt>
      <w:r w:rsidR="00E270D3">
        <w:rPr>
          <w:rFonts w:ascii="Times New Roman" w:eastAsia="Times New Roman" w:hAnsi="Times New Roman" w:cs="Times New Roman"/>
          <w:color w:val="000000"/>
          <w:kern w:val="0"/>
          <w:lang w:eastAsia="en-GB"/>
          <w14:ligatures w14:val="none"/>
        </w:rPr>
        <w:t>.</w:t>
      </w:r>
      <w:r w:rsidRPr="00715A9D">
        <w:rPr>
          <w:rFonts w:ascii="Times New Roman" w:eastAsia="Times New Roman" w:hAnsi="Times New Roman" w:cs="Times New Roman"/>
          <w:kern w:val="0"/>
          <w:lang w:eastAsia="en-GB"/>
          <w14:ligatures w14:val="none"/>
        </w:rPr>
        <w:t xml:space="preserve"> </w:t>
      </w:r>
      <w:r w:rsidR="00E270D3">
        <w:rPr>
          <w:rFonts w:ascii="Times New Roman" w:eastAsia="Times New Roman" w:hAnsi="Times New Roman" w:cs="Times New Roman"/>
          <w:kern w:val="0"/>
          <w:lang w:eastAsia="en-GB"/>
          <w14:ligatures w14:val="none"/>
        </w:rPr>
        <w:t xml:space="preserve"> </w:t>
      </w:r>
      <w:r w:rsidRPr="00715A9D">
        <w:rPr>
          <w:rFonts w:ascii="Times New Roman" w:eastAsia="Times New Roman" w:hAnsi="Times New Roman" w:cs="Times New Roman"/>
          <w:kern w:val="0"/>
          <w:lang w:eastAsia="en-GB"/>
          <w14:ligatures w14:val="none"/>
        </w:rPr>
        <w:t xml:space="preserve">The Detect function directly targets the 76-day dwell time: SIEM behavioural analytics applied to outbound traffic should have flagged the volume and pattern of data extraction within hours, not weeks. The Respond and Recover functions address Equifax's 39-day delay between discovering the breach on 29 July 2017 and notifying the public on 7 September 2017, a delay that drew specific criticism from regulators and legislators and resulted in significant additional harm to affected consumers </w:t>
      </w:r>
      <w:sdt>
        <w:sdtPr>
          <w:rPr>
            <w:rFonts w:ascii="Times New Roman" w:eastAsia="Times New Roman" w:hAnsi="Times New Roman" w:cs="Times New Roman"/>
            <w:color w:val="000000"/>
            <w:kern w:val="0"/>
            <w:highlight w:val="white"/>
            <w:lang w:eastAsia="en-GB"/>
            <w14:ligatures w14:val="none"/>
          </w:rPr>
          <w:alias w:val="Citation"/>
          <w:tag w:val="{&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2353664"/>
          <w:placeholder>
            <w:docPart w:val="C2413E1368AFBB4290CC29FF20BE7176"/>
          </w:placeholder>
        </w:sdtPr>
        <w:sdtContent>
          <w:r w:rsidR="00C41F30">
            <w:rPr>
              <w:rFonts w:eastAsia="Times New Roman"/>
              <w:color w:val="0B0B0B"/>
            </w:rPr>
            <w:t>[12]</w:t>
          </w:r>
        </w:sdtContent>
      </w:sdt>
      <w:r w:rsidR="00BB2EDC">
        <w:rPr>
          <w:rFonts w:ascii="Times New Roman" w:eastAsia="Times New Roman" w:hAnsi="Times New Roman" w:cs="Times New Roman"/>
          <w:kern w:val="0"/>
          <w:lang w:eastAsia="en-GB"/>
          <w14:ligatures w14:val="none"/>
        </w:rPr>
        <w:t>.</w:t>
      </w:r>
    </w:p>
    <w:p w14:paraId="07621112" w14:textId="5289E4BB" w:rsidR="0029050E" w:rsidRPr="00B028BD" w:rsidRDefault="005901B1" w:rsidP="009557CA">
      <w:pPr>
        <w:pStyle w:val="Heading2"/>
        <w:rPr>
          <w:rFonts w:ascii="Times New Roman" w:hAnsi="Times New Roman" w:cs="Times New Roman"/>
          <w:color w:val="000000" w:themeColor="text1"/>
          <w:sz w:val="28"/>
          <w:szCs w:val="28"/>
        </w:rPr>
      </w:pPr>
      <w:bookmarkStart w:id="30" w:name="_Toc237297187"/>
      <w:r w:rsidRPr="00B028BD">
        <w:rPr>
          <w:rStyle w:val="Strong"/>
          <w:rFonts w:ascii="Times New Roman" w:hAnsi="Times New Roman" w:cs="Times New Roman"/>
          <w:color w:val="000000" w:themeColor="text1"/>
          <w:sz w:val="28"/>
          <w:szCs w:val="28"/>
        </w:rPr>
        <w:t>2.</w:t>
      </w:r>
      <w:r w:rsidR="00F45B45" w:rsidRPr="00B028BD">
        <w:rPr>
          <w:rStyle w:val="Strong"/>
          <w:rFonts w:ascii="Times New Roman" w:hAnsi="Times New Roman" w:cs="Times New Roman"/>
          <w:color w:val="000000" w:themeColor="text1"/>
          <w:sz w:val="28"/>
          <w:szCs w:val="28"/>
        </w:rPr>
        <w:t>3</w:t>
      </w:r>
      <w:r w:rsidR="00180E71" w:rsidRPr="00B028BD">
        <w:rPr>
          <w:rStyle w:val="Strong"/>
          <w:rFonts w:ascii="Times New Roman" w:hAnsi="Times New Roman" w:cs="Times New Roman"/>
          <w:color w:val="000000" w:themeColor="text1"/>
          <w:sz w:val="28"/>
          <w:szCs w:val="28"/>
        </w:rPr>
        <w:t xml:space="preserve"> </w:t>
      </w:r>
      <w:bookmarkEnd w:id="28"/>
      <w:r w:rsidR="0029050E" w:rsidRPr="00B028BD">
        <w:rPr>
          <w:rFonts w:ascii="Times New Roman" w:hAnsi="Times New Roman" w:cs="Times New Roman"/>
          <w:b/>
          <w:bCs/>
          <w:color w:val="000000" w:themeColor="text1"/>
          <w:sz w:val="28"/>
          <w:szCs w:val="28"/>
        </w:rPr>
        <w:t>RISK MANAGEMENT AND ASSESSMENT</w:t>
      </w:r>
      <w:bookmarkStart w:id="31" w:name="_Toc235527136"/>
      <w:bookmarkEnd w:id="30"/>
    </w:p>
    <w:p w14:paraId="58358FF1" w14:textId="35B02C51" w:rsidR="007811C8" w:rsidRDefault="0029050E" w:rsidP="007811C8">
      <w:pPr>
        <w:shd w:val="clear" w:color="auto" w:fill="FCFCFB"/>
        <w:spacing w:after="0" w:line="360" w:lineRule="auto"/>
        <w:jc w:val="both"/>
        <w:rPr>
          <w:rFonts w:ascii="Times New Roman" w:eastAsia="Times New Roman" w:hAnsi="Times New Roman" w:cs="Times New Roman"/>
          <w:color w:val="0B0B0B"/>
          <w:kern w:val="0"/>
          <w:lang w:eastAsia="en-GB"/>
          <w14:ligatures w14:val="none"/>
        </w:rPr>
      </w:pPr>
      <w:r w:rsidRPr="00715A9D">
        <w:rPr>
          <w:rFonts w:ascii="Times New Roman" w:eastAsia="Times New Roman" w:hAnsi="Times New Roman" w:cs="Times New Roman"/>
          <w:color w:val="0B0B0B"/>
          <w:kern w:val="0"/>
          <w:lang w:eastAsia="en-GB"/>
          <w14:ligatures w14:val="none"/>
        </w:rPr>
        <w:t>Equifax's 2017 risk profile was defined by a concentration of extremely high-value consumer PII across a poorly segmented network, with internet-facing applications that were not systematically patched and an internal environment that offered unrestricted lateral movement once the perimeter was bypassed. A high-level risk assessment for the redesigned programme identifies the following priorities.</w:t>
      </w:r>
    </w:p>
    <w:p w14:paraId="30974148" w14:textId="01DB2270" w:rsidR="0029050E" w:rsidRPr="00715A9D" w:rsidRDefault="007811C8" w:rsidP="00BB2EDC">
      <w:pPr>
        <w:rPr>
          <w:rFonts w:ascii="Times New Roman" w:eastAsia="Times New Roman" w:hAnsi="Times New Roman" w:cs="Times New Roman"/>
          <w:color w:val="0B0B0B"/>
          <w:kern w:val="0"/>
          <w:lang w:eastAsia="en-GB"/>
          <w14:ligatures w14:val="none"/>
        </w:rPr>
      </w:pPr>
      <w:r>
        <w:rPr>
          <w:rFonts w:ascii="Times New Roman" w:eastAsia="Times New Roman" w:hAnsi="Times New Roman" w:cs="Times New Roman"/>
          <w:color w:val="0B0B0B"/>
          <w:kern w:val="0"/>
          <w:lang w:eastAsia="en-GB"/>
          <w14:ligatures w14:val="none"/>
        </w:rPr>
        <w:br w:type="page"/>
      </w:r>
    </w:p>
    <w:p w14:paraId="227F4B44" w14:textId="77777777" w:rsidR="0029050E" w:rsidRPr="00715A9D" w:rsidRDefault="0029050E" w:rsidP="007811C8">
      <w:pPr>
        <w:shd w:val="clear" w:color="auto" w:fill="FCFCFB"/>
        <w:spacing w:after="0" w:line="360" w:lineRule="auto"/>
        <w:jc w:val="both"/>
        <w:rPr>
          <w:rFonts w:ascii="Times New Roman" w:eastAsia="Times New Roman" w:hAnsi="Times New Roman" w:cs="Times New Roman"/>
          <w:b/>
          <w:bCs/>
          <w:color w:val="0B0B0B"/>
          <w:kern w:val="0"/>
          <w:sz w:val="26"/>
          <w:szCs w:val="26"/>
          <w:lang w:eastAsia="en-GB"/>
          <w14:ligatures w14:val="none"/>
        </w:rPr>
      </w:pPr>
    </w:p>
    <w:p w14:paraId="19DFF76E" w14:textId="77777777" w:rsidR="0029050E" w:rsidRPr="00B028BD" w:rsidRDefault="0029050E" w:rsidP="00B028BD">
      <w:pPr>
        <w:pStyle w:val="Heading3"/>
        <w:rPr>
          <w:rFonts w:ascii="Times New Roman" w:eastAsia="Times New Roman" w:hAnsi="Times New Roman" w:cs="Times New Roman"/>
          <w:b/>
          <w:bCs/>
          <w:color w:val="000000" w:themeColor="text1"/>
          <w:lang w:eastAsia="en-GB"/>
        </w:rPr>
      </w:pPr>
      <w:bookmarkStart w:id="32" w:name="_Toc237297188"/>
      <w:r w:rsidRPr="00B028BD">
        <w:rPr>
          <w:rFonts w:ascii="Times New Roman" w:eastAsia="Times New Roman" w:hAnsi="Times New Roman" w:cs="Times New Roman"/>
          <w:b/>
          <w:bCs/>
          <w:color w:val="000000" w:themeColor="text1"/>
          <w:lang w:eastAsia="en-GB"/>
        </w:rPr>
        <w:t>TABLE III — High-Level Risk Assessment</w:t>
      </w:r>
      <w:bookmarkEnd w:id="32"/>
    </w:p>
    <w:p w14:paraId="270013E4" w14:textId="77777777" w:rsidR="00536A81" w:rsidRPr="00715A9D" w:rsidRDefault="00536A81" w:rsidP="007811C8">
      <w:pPr>
        <w:shd w:val="clear" w:color="auto" w:fill="FCFCFB"/>
        <w:spacing w:after="0" w:line="360" w:lineRule="auto"/>
        <w:jc w:val="both"/>
        <w:rPr>
          <w:rFonts w:ascii="Times New Roman" w:eastAsia="Times New Roman" w:hAnsi="Times New Roman" w:cs="Times New Roman"/>
          <w:b/>
          <w:bCs/>
          <w:color w:val="0B0B0B"/>
          <w:kern w:val="0"/>
          <w:sz w:val="26"/>
          <w:szCs w:val="26"/>
          <w:lang w:eastAsia="en-GB"/>
          <w14:ligatures w14:val="none"/>
        </w:rPr>
      </w:pPr>
    </w:p>
    <w:tbl>
      <w:tblPr>
        <w:tblW w:w="0" w:type="auto"/>
        <w:tblCellMar>
          <w:left w:w="0" w:type="dxa"/>
          <w:right w:w="0" w:type="dxa"/>
        </w:tblCellMar>
        <w:tblLook w:val="04A0" w:firstRow="1" w:lastRow="0" w:firstColumn="1" w:lastColumn="0" w:noHBand="0" w:noVBand="1"/>
      </w:tblPr>
      <w:tblGrid>
        <w:gridCol w:w="2448"/>
        <w:gridCol w:w="1294"/>
        <w:gridCol w:w="960"/>
        <w:gridCol w:w="960"/>
        <w:gridCol w:w="3358"/>
      </w:tblGrid>
      <w:tr w:rsidR="0029050E" w:rsidRPr="00715A9D" w14:paraId="3F30C6E3" w14:textId="77777777">
        <w:trPr>
          <w:tblHeader/>
        </w:trPr>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4023F97F" w14:textId="77777777" w:rsidR="0029050E" w:rsidRPr="00715A9D" w:rsidRDefault="0029050E" w:rsidP="007811C8">
            <w:pPr>
              <w:spacing w:after="0" w:line="360" w:lineRule="auto"/>
              <w:jc w:val="both"/>
              <w:rPr>
                <w:rFonts w:ascii="Times New Roman" w:eastAsia="Times New Roman" w:hAnsi="Times New Roman" w:cs="Times New Roman"/>
                <w:b/>
                <w:bCs/>
                <w:kern w:val="0"/>
                <w:lang w:eastAsia="en-GB"/>
                <w14:ligatures w14:val="none"/>
              </w:rPr>
            </w:pPr>
            <w:r w:rsidRPr="00715A9D">
              <w:rPr>
                <w:rFonts w:ascii="Times New Roman" w:eastAsia="Times New Roman" w:hAnsi="Times New Roman" w:cs="Times New Roman"/>
                <w:b/>
                <w:bCs/>
                <w:kern w:val="0"/>
                <w:lang w:eastAsia="en-GB"/>
                <w14:ligatures w14:val="none"/>
              </w:rPr>
              <w:t>Risk</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3F27625D"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Likelihood</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64F572D5"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Impact</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3743488B"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Rating</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2B42DD4E"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Primary Mitigation</w:t>
            </w:r>
          </w:p>
        </w:tc>
      </w:tr>
      <w:tr w:rsidR="0029050E" w:rsidRPr="00715A9D" w14:paraId="3C421E4F" w14:textId="77777777">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4D4ACC3A" w14:textId="77777777" w:rsidR="0029050E" w:rsidRPr="00715A9D" w:rsidRDefault="0029050E" w:rsidP="007811C8">
            <w:pPr>
              <w:spacing w:after="0" w:line="360" w:lineRule="auto"/>
              <w:jc w:val="both"/>
              <w:rPr>
                <w:rFonts w:ascii="Times New Roman" w:eastAsia="Times New Roman" w:hAnsi="Times New Roman" w:cs="Times New Roman"/>
                <w:b/>
                <w:bCs/>
                <w:kern w:val="0"/>
                <w:lang w:eastAsia="en-GB"/>
                <w14:ligatures w14:val="none"/>
              </w:rPr>
            </w:pPr>
            <w:r w:rsidRPr="00715A9D">
              <w:rPr>
                <w:rFonts w:ascii="Times New Roman" w:eastAsia="Times New Roman" w:hAnsi="Times New Roman" w:cs="Times New Roman"/>
                <w:b/>
                <w:bCs/>
                <w:kern w:val="0"/>
                <w:lang w:eastAsia="en-GB"/>
                <w14:ligatures w14:val="none"/>
              </w:rPr>
              <w:t>Unpatched internet-facing application (critical CVE)</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222FC5BE"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2F2A8B2B"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4989BE23" w14:textId="1DC1CEE3"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High</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1A8F06E0"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48CA58F5"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4450223A" w14:textId="7C078D72"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Critical</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215B7310" w14:textId="77777777" w:rsidR="007811C8" w:rsidRDefault="007811C8" w:rsidP="007811C8">
            <w:pPr>
              <w:spacing w:after="0" w:line="360" w:lineRule="auto"/>
              <w:jc w:val="both"/>
              <w:rPr>
                <w:rFonts w:ascii="Times New Roman" w:eastAsia="Times New Roman" w:hAnsi="Times New Roman" w:cs="Times New Roman"/>
                <w:kern w:val="0"/>
                <w:lang w:eastAsia="en-GB"/>
                <w14:ligatures w14:val="none"/>
              </w:rPr>
            </w:pPr>
          </w:p>
          <w:p w14:paraId="30A1F5AD" w14:textId="77777777" w:rsidR="007811C8" w:rsidRDefault="007811C8" w:rsidP="007811C8">
            <w:pPr>
              <w:spacing w:after="0" w:line="360" w:lineRule="auto"/>
              <w:jc w:val="both"/>
              <w:rPr>
                <w:rFonts w:ascii="Times New Roman" w:eastAsia="Times New Roman" w:hAnsi="Times New Roman" w:cs="Times New Roman"/>
                <w:kern w:val="0"/>
                <w:lang w:eastAsia="en-GB"/>
                <w14:ligatures w14:val="none"/>
              </w:rPr>
            </w:pPr>
          </w:p>
          <w:p w14:paraId="513DD8EC" w14:textId="4C59EB3A"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Critical</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4CB7A502"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48-hour patch SLA; automated continuous scanning; CISO dashboard; mandatory exception process with compensating controls</w:t>
            </w:r>
          </w:p>
        </w:tc>
      </w:tr>
      <w:tr w:rsidR="0029050E" w:rsidRPr="00715A9D" w14:paraId="510DB34E" w14:textId="77777777">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4F919BB5" w14:textId="3B3A2158" w:rsidR="0029050E" w:rsidRPr="00715A9D" w:rsidRDefault="0029050E" w:rsidP="007811C8">
            <w:pPr>
              <w:spacing w:after="0" w:line="360" w:lineRule="auto"/>
              <w:jc w:val="both"/>
              <w:rPr>
                <w:rFonts w:ascii="Times New Roman" w:eastAsia="Times New Roman" w:hAnsi="Times New Roman" w:cs="Times New Roman"/>
                <w:b/>
                <w:bCs/>
                <w:kern w:val="0"/>
                <w:lang w:eastAsia="en-GB"/>
                <w14:ligatures w14:val="none"/>
              </w:rPr>
            </w:pPr>
            <w:r w:rsidRPr="00715A9D">
              <w:rPr>
                <w:rFonts w:ascii="Times New Roman" w:eastAsia="Times New Roman" w:hAnsi="Times New Roman" w:cs="Times New Roman"/>
                <w:b/>
                <w:bCs/>
                <w:kern w:val="0"/>
                <w:lang w:eastAsia="en-GB"/>
                <w14:ligatures w14:val="none"/>
              </w:rPr>
              <w:t xml:space="preserve">Lateral movement </w:t>
            </w:r>
            <w:proofErr w:type="spellStart"/>
            <w:proofErr w:type="gramStart"/>
            <w:r w:rsidRPr="00715A9D">
              <w:rPr>
                <w:rFonts w:ascii="Times New Roman" w:eastAsia="Times New Roman" w:hAnsi="Times New Roman" w:cs="Times New Roman"/>
                <w:b/>
                <w:bCs/>
                <w:kern w:val="0"/>
                <w:lang w:eastAsia="en-GB"/>
                <w14:ligatures w14:val="none"/>
              </w:rPr>
              <w:t>after</w:t>
            </w:r>
            <w:r w:rsidR="00715A9D">
              <w:rPr>
                <w:rFonts w:ascii="Times New Roman" w:eastAsia="Times New Roman" w:hAnsi="Times New Roman" w:cs="Times New Roman"/>
                <w:b/>
                <w:bCs/>
                <w:kern w:val="0"/>
                <w:lang w:eastAsia="en-GB"/>
                <w14:ligatures w14:val="none"/>
              </w:rPr>
              <w:t>,</w:t>
            </w:r>
            <w:r w:rsidRPr="00715A9D">
              <w:rPr>
                <w:rFonts w:ascii="Times New Roman" w:eastAsia="Times New Roman" w:hAnsi="Times New Roman" w:cs="Times New Roman"/>
                <w:b/>
                <w:bCs/>
                <w:kern w:val="0"/>
                <w:lang w:eastAsia="en-GB"/>
                <w14:ligatures w14:val="none"/>
              </w:rPr>
              <w:t>initial</w:t>
            </w:r>
            <w:proofErr w:type="spellEnd"/>
            <w:proofErr w:type="gramEnd"/>
            <w:r w:rsidRPr="00715A9D">
              <w:rPr>
                <w:rFonts w:ascii="Times New Roman" w:eastAsia="Times New Roman" w:hAnsi="Times New Roman" w:cs="Times New Roman"/>
                <w:b/>
                <w:bCs/>
                <w:kern w:val="0"/>
                <w:lang w:eastAsia="en-GB"/>
                <w14:ligatures w14:val="none"/>
              </w:rPr>
              <w:t xml:space="preserve"> compromise</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74AA9E24"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200F54E2" w14:textId="6E326C8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High</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0890E1B7"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07382BAF" w14:textId="15C3834D"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Critical</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25C9743C" w14:textId="77777777" w:rsidR="007811C8" w:rsidRDefault="007811C8" w:rsidP="007811C8">
            <w:pPr>
              <w:spacing w:after="0" w:line="360" w:lineRule="auto"/>
              <w:jc w:val="both"/>
              <w:rPr>
                <w:rFonts w:ascii="Times New Roman" w:eastAsia="Times New Roman" w:hAnsi="Times New Roman" w:cs="Times New Roman"/>
                <w:kern w:val="0"/>
                <w:lang w:eastAsia="en-GB"/>
                <w14:ligatures w14:val="none"/>
              </w:rPr>
            </w:pPr>
          </w:p>
          <w:p w14:paraId="10F09A4A" w14:textId="03DBE414"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Critical</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795BC7D2"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Zero Trust micro-segmentation; no implicit internal trust; least-privilege enforced across all systems</w:t>
            </w:r>
          </w:p>
        </w:tc>
      </w:tr>
      <w:tr w:rsidR="0029050E" w:rsidRPr="00715A9D" w14:paraId="2C5BA118" w14:textId="77777777">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15A4A675" w14:textId="77777777" w:rsidR="0029050E" w:rsidRPr="00715A9D" w:rsidRDefault="0029050E" w:rsidP="007811C8">
            <w:pPr>
              <w:spacing w:after="0" w:line="360" w:lineRule="auto"/>
              <w:jc w:val="both"/>
              <w:rPr>
                <w:rFonts w:ascii="Times New Roman" w:eastAsia="Times New Roman" w:hAnsi="Times New Roman" w:cs="Times New Roman"/>
                <w:b/>
                <w:bCs/>
                <w:kern w:val="0"/>
                <w:lang w:eastAsia="en-GB"/>
                <w14:ligatures w14:val="none"/>
              </w:rPr>
            </w:pPr>
            <w:r w:rsidRPr="00715A9D">
              <w:rPr>
                <w:rFonts w:ascii="Times New Roman" w:eastAsia="Times New Roman" w:hAnsi="Times New Roman" w:cs="Times New Roman"/>
                <w:b/>
                <w:bCs/>
                <w:kern w:val="0"/>
                <w:lang w:eastAsia="en-GB"/>
                <w14:ligatures w14:val="none"/>
              </w:rPr>
              <w:t>Unknown or unregistered internet-facing assets</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5FB99914"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6892984A" w14:textId="4C72808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High</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5F8FA83B" w14:textId="77777777" w:rsidR="007811C8" w:rsidRDefault="007811C8" w:rsidP="007811C8">
            <w:pPr>
              <w:spacing w:after="0" w:line="360" w:lineRule="auto"/>
              <w:jc w:val="both"/>
              <w:rPr>
                <w:rFonts w:ascii="Times New Roman" w:eastAsia="Times New Roman" w:hAnsi="Times New Roman" w:cs="Times New Roman"/>
                <w:kern w:val="0"/>
                <w:lang w:eastAsia="en-GB"/>
                <w14:ligatures w14:val="none"/>
              </w:rPr>
            </w:pPr>
          </w:p>
          <w:p w14:paraId="5AE93B27" w14:textId="4947B8F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High</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5CCEC802" w14:textId="77777777" w:rsidR="007811C8" w:rsidRDefault="007811C8" w:rsidP="007811C8">
            <w:pPr>
              <w:spacing w:after="0" w:line="360" w:lineRule="auto"/>
              <w:jc w:val="both"/>
              <w:rPr>
                <w:rFonts w:ascii="Times New Roman" w:eastAsia="Times New Roman" w:hAnsi="Times New Roman" w:cs="Times New Roman"/>
                <w:kern w:val="0"/>
                <w:lang w:eastAsia="en-GB"/>
                <w14:ligatures w14:val="none"/>
              </w:rPr>
            </w:pPr>
          </w:p>
          <w:p w14:paraId="408F3311" w14:textId="02DFBFD4"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Critical</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50A6DC3B"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CMDB with automated discovery; automated isolation of any unregistered asset</w:t>
            </w:r>
          </w:p>
        </w:tc>
      </w:tr>
      <w:tr w:rsidR="0029050E" w:rsidRPr="00715A9D" w14:paraId="6154F5D9" w14:textId="77777777">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523FF181" w14:textId="06267FCE" w:rsidR="0029050E" w:rsidRPr="00715A9D" w:rsidRDefault="0029050E" w:rsidP="007811C8">
            <w:pPr>
              <w:spacing w:after="0" w:line="360" w:lineRule="auto"/>
              <w:jc w:val="both"/>
              <w:rPr>
                <w:rFonts w:ascii="Times New Roman" w:eastAsia="Times New Roman" w:hAnsi="Times New Roman" w:cs="Times New Roman"/>
                <w:b/>
                <w:bCs/>
                <w:kern w:val="0"/>
                <w:lang w:eastAsia="en-GB"/>
                <w14:ligatures w14:val="none"/>
              </w:rPr>
            </w:pPr>
            <w:proofErr w:type="spellStart"/>
            <w:proofErr w:type="gramStart"/>
            <w:r w:rsidRPr="00715A9D">
              <w:rPr>
                <w:rFonts w:ascii="Times New Roman" w:eastAsia="Times New Roman" w:hAnsi="Times New Roman" w:cs="Times New Roman"/>
                <w:b/>
                <w:bCs/>
                <w:kern w:val="0"/>
                <w:lang w:eastAsia="en-GB"/>
                <w14:ligatures w14:val="none"/>
              </w:rPr>
              <w:t>Delayed</w:t>
            </w:r>
            <w:r w:rsidR="00715A9D">
              <w:rPr>
                <w:rFonts w:ascii="Times New Roman" w:eastAsia="Times New Roman" w:hAnsi="Times New Roman" w:cs="Times New Roman"/>
                <w:b/>
                <w:bCs/>
                <w:kern w:val="0"/>
                <w:lang w:eastAsia="en-GB"/>
                <w14:ligatures w14:val="none"/>
              </w:rPr>
              <w:t>,</w:t>
            </w:r>
            <w:r w:rsidRPr="00715A9D">
              <w:rPr>
                <w:rFonts w:ascii="Times New Roman" w:eastAsia="Times New Roman" w:hAnsi="Times New Roman" w:cs="Times New Roman"/>
                <w:b/>
                <w:bCs/>
                <w:kern w:val="0"/>
                <w:lang w:eastAsia="en-GB"/>
                <w14:ligatures w14:val="none"/>
              </w:rPr>
              <w:t>breach</w:t>
            </w:r>
            <w:proofErr w:type="spellEnd"/>
            <w:proofErr w:type="gramEnd"/>
            <w:r w:rsidRPr="00715A9D">
              <w:rPr>
                <w:rFonts w:ascii="Times New Roman" w:eastAsia="Times New Roman" w:hAnsi="Times New Roman" w:cs="Times New Roman"/>
                <w:b/>
                <w:bCs/>
                <w:kern w:val="0"/>
                <w:lang w:eastAsia="en-GB"/>
                <w14:ligatures w14:val="none"/>
              </w:rPr>
              <w:t xml:space="preserve"> </w:t>
            </w:r>
            <w:proofErr w:type="spellStart"/>
            <w:proofErr w:type="gramStart"/>
            <w:r w:rsidRPr="00715A9D">
              <w:rPr>
                <w:rFonts w:ascii="Times New Roman" w:eastAsia="Times New Roman" w:hAnsi="Times New Roman" w:cs="Times New Roman"/>
                <w:b/>
                <w:bCs/>
                <w:kern w:val="0"/>
                <w:lang w:eastAsia="en-GB"/>
                <w14:ligatures w14:val="none"/>
              </w:rPr>
              <w:t>detection</w:t>
            </w:r>
            <w:r w:rsidR="00715A9D">
              <w:rPr>
                <w:rFonts w:ascii="Times New Roman" w:eastAsia="Times New Roman" w:hAnsi="Times New Roman" w:cs="Times New Roman"/>
                <w:b/>
                <w:bCs/>
                <w:kern w:val="0"/>
                <w:lang w:eastAsia="en-GB"/>
                <w14:ligatures w14:val="none"/>
              </w:rPr>
              <w:t>,</w:t>
            </w:r>
            <w:r w:rsidRPr="00715A9D">
              <w:rPr>
                <w:rFonts w:ascii="Times New Roman" w:eastAsia="Times New Roman" w:hAnsi="Times New Roman" w:cs="Times New Roman"/>
                <w:b/>
                <w:bCs/>
                <w:kern w:val="0"/>
                <w:lang w:eastAsia="en-GB"/>
                <w14:ligatures w14:val="none"/>
              </w:rPr>
              <w:t>and</w:t>
            </w:r>
            <w:proofErr w:type="spellEnd"/>
            <w:proofErr w:type="gramEnd"/>
            <w:r w:rsidRPr="00715A9D">
              <w:rPr>
                <w:rFonts w:ascii="Times New Roman" w:eastAsia="Times New Roman" w:hAnsi="Times New Roman" w:cs="Times New Roman"/>
                <w:b/>
                <w:bCs/>
                <w:kern w:val="0"/>
                <w:lang w:eastAsia="en-GB"/>
                <w14:ligatures w14:val="none"/>
              </w:rPr>
              <w:t xml:space="preserve"> extended dwell time</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7161FD92" w14:textId="77777777" w:rsidR="00715A9D" w:rsidRDefault="00715A9D" w:rsidP="007811C8">
            <w:pPr>
              <w:spacing w:after="0" w:line="360" w:lineRule="auto"/>
              <w:jc w:val="both"/>
              <w:rPr>
                <w:rFonts w:ascii="Times New Roman" w:eastAsia="Times New Roman" w:hAnsi="Times New Roman" w:cs="Times New Roman"/>
                <w:kern w:val="0"/>
                <w:lang w:eastAsia="en-GB"/>
                <w14:ligatures w14:val="none"/>
              </w:rPr>
            </w:pPr>
          </w:p>
          <w:p w14:paraId="7A20CF41" w14:textId="5749B662"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High</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1BAF45F9" w14:textId="77777777" w:rsidR="007811C8" w:rsidRDefault="007811C8" w:rsidP="007811C8">
            <w:pPr>
              <w:spacing w:after="0" w:line="360" w:lineRule="auto"/>
              <w:jc w:val="both"/>
              <w:rPr>
                <w:rFonts w:ascii="Times New Roman" w:eastAsia="Times New Roman" w:hAnsi="Times New Roman" w:cs="Times New Roman"/>
                <w:kern w:val="0"/>
                <w:lang w:eastAsia="en-GB"/>
                <w14:ligatures w14:val="none"/>
              </w:rPr>
            </w:pPr>
          </w:p>
          <w:p w14:paraId="57BBF84F" w14:textId="2535CABC"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Critical</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061F8937" w14:textId="77777777" w:rsidR="007811C8" w:rsidRDefault="007811C8" w:rsidP="007811C8">
            <w:pPr>
              <w:spacing w:after="0" w:line="360" w:lineRule="auto"/>
              <w:jc w:val="both"/>
              <w:rPr>
                <w:rFonts w:ascii="Times New Roman" w:eastAsia="Times New Roman" w:hAnsi="Times New Roman" w:cs="Times New Roman"/>
                <w:kern w:val="0"/>
                <w:lang w:eastAsia="en-GB"/>
                <w14:ligatures w14:val="none"/>
              </w:rPr>
            </w:pPr>
          </w:p>
          <w:p w14:paraId="6131C6BD" w14:textId="2E1C135C"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Critical</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4DA22AE8"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SIEM behavioural analytics; anomalous outbound data volume alerts; 24/7 SOC with threat hunting</w:t>
            </w:r>
          </w:p>
        </w:tc>
      </w:tr>
      <w:tr w:rsidR="0029050E" w:rsidRPr="00715A9D" w14:paraId="34D5A7F0" w14:textId="77777777">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161D6B7E" w14:textId="77777777" w:rsidR="00536A81" w:rsidRPr="00715A9D" w:rsidRDefault="0029050E" w:rsidP="007811C8">
            <w:pPr>
              <w:spacing w:after="0" w:line="360" w:lineRule="auto"/>
              <w:jc w:val="both"/>
              <w:rPr>
                <w:rFonts w:ascii="Times New Roman" w:eastAsia="Times New Roman" w:hAnsi="Times New Roman" w:cs="Times New Roman"/>
                <w:b/>
                <w:bCs/>
                <w:kern w:val="0"/>
                <w:lang w:eastAsia="en-GB"/>
                <w14:ligatures w14:val="none"/>
              </w:rPr>
            </w:pPr>
            <w:r w:rsidRPr="00715A9D">
              <w:rPr>
                <w:rFonts w:ascii="Times New Roman" w:eastAsia="Times New Roman" w:hAnsi="Times New Roman" w:cs="Times New Roman"/>
                <w:b/>
                <w:bCs/>
                <w:kern w:val="0"/>
                <w:lang w:eastAsia="en-GB"/>
                <w14:ligatures w14:val="none"/>
              </w:rPr>
              <w:t xml:space="preserve">Third-party data sharing without </w:t>
            </w:r>
          </w:p>
          <w:p w14:paraId="1368716F" w14:textId="64C935AF" w:rsidR="0029050E" w:rsidRPr="00715A9D" w:rsidRDefault="0029050E" w:rsidP="007811C8">
            <w:pPr>
              <w:spacing w:after="0" w:line="360" w:lineRule="auto"/>
              <w:jc w:val="both"/>
              <w:rPr>
                <w:rFonts w:ascii="Times New Roman" w:eastAsia="Times New Roman" w:hAnsi="Times New Roman" w:cs="Times New Roman"/>
                <w:b/>
                <w:bCs/>
                <w:kern w:val="0"/>
                <w:lang w:eastAsia="en-GB"/>
                <w14:ligatures w14:val="none"/>
              </w:rPr>
            </w:pPr>
            <w:r w:rsidRPr="00715A9D">
              <w:rPr>
                <w:rFonts w:ascii="Times New Roman" w:eastAsia="Times New Roman" w:hAnsi="Times New Roman" w:cs="Times New Roman"/>
                <w:b/>
                <w:bCs/>
                <w:kern w:val="0"/>
                <w:lang w:eastAsia="en-GB"/>
                <w14:ligatures w14:val="none"/>
              </w:rPr>
              <w:t>adequate controls</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28D45C82"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Medium</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75EDAF01"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High</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3A5FBA04"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High</w:t>
            </w:r>
          </w:p>
        </w:tc>
        <w:tc>
          <w:tcPr>
            <w:tcW w:w="0" w:type="auto"/>
            <w:tcBorders>
              <w:top w:val="single" w:sz="2" w:space="0" w:color="auto"/>
              <w:left w:val="single" w:sz="2" w:space="0" w:color="auto"/>
              <w:bottom w:val="single" w:sz="2" w:space="0" w:color="auto"/>
              <w:right w:val="single" w:sz="2" w:space="0" w:color="auto"/>
            </w:tcBorders>
            <w:tcMar>
              <w:top w:w="0" w:type="dxa"/>
              <w:left w:w="0" w:type="dxa"/>
              <w:bottom w:w="0" w:type="dxa"/>
              <w:right w:w="240" w:type="dxa"/>
            </w:tcMar>
            <w:hideMark/>
          </w:tcPr>
          <w:p w14:paraId="057000A7" w14:textId="77777777" w:rsidR="0029050E" w:rsidRPr="00715A9D" w:rsidRDefault="0029050E" w:rsidP="007811C8">
            <w:pPr>
              <w:spacing w:after="0" w:line="360" w:lineRule="auto"/>
              <w:jc w:val="both"/>
              <w:rPr>
                <w:rFonts w:ascii="Times New Roman" w:eastAsia="Times New Roman" w:hAnsi="Times New Roman" w:cs="Times New Roman"/>
                <w:kern w:val="0"/>
                <w:lang w:eastAsia="en-GB"/>
                <w14:ligatures w14:val="none"/>
              </w:rPr>
            </w:pPr>
            <w:r w:rsidRPr="00715A9D">
              <w:rPr>
                <w:rFonts w:ascii="Times New Roman" w:eastAsia="Times New Roman" w:hAnsi="Times New Roman" w:cs="Times New Roman"/>
                <w:kern w:val="0"/>
                <w:lang w:eastAsia="en-GB"/>
                <w14:ligatures w14:val="none"/>
              </w:rPr>
              <w:t>Contractual security requirements; periodic third-party audits; Zero Trust controls for all partner access</w:t>
            </w:r>
          </w:p>
        </w:tc>
      </w:tr>
    </w:tbl>
    <w:p w14:paraId="13FB7C6D" w14:textId="77777777" w:rsidR="00536A81" w:rsidRPr="00715A9D" w:rsidRDefault="00536A81" w:rsidP="007811C8">
      <w:pPr>
        <w:shd w:val="clear" w:color="auto" w:fill="FCFCFB"/>
        <w:spacing w:after="0" w:line="360" w:lineRule="auto"/>
        <w:jc w:val="both"/>
        <w:rPr>
          <w:rFonts w:ascii="Times New Roman" w:eastAsia="Times New Roman" w:hAnsi="Times New Roman" w:cs="Times New Roman"/>
          <w:color w:val="0B0B0B"/>
          <w:kern w:val="0"/>
          <w:lang w:eastAsia="en-GB"/>
          <w14:ligatures w14:val="none"/>
        </w:rPr>
      </w:pPr>
    </w:p>
    <w:p w14:paraId="03986E8B" w14:textId="37897B70" w:rsidR="0029050E" w:rsidRPr="00715A9D" w:rsidRDefault="0029050E" w:rsidP="007811C8">
      <w:pPr>
        <w:shd w:val="clear" w:color="auto" w:fill="FCFCFB"/>
        <w:spacing w:after="0" w:line="360" w:lineRule="auto"/>
        <w:jc w:val="both"/>
        <w:rPr>
          <w:rFonts w:ascii="Times New Roman" w:eastAsia="Times New Roman" w:hAnsi="Times New Roman" w:cs="Times New Roman"/>
          <w:color w:val="0B0B0B"/>
          <w:kern w:val="0"/>
          <w:lang w:eastAsia="en-GB"/>
          <w14:ligatures w14:val="none"/>
        </w:rPr>
      </w:pPr>
      <w:r w:rsidRPr="00715A9D">
        <w:rPr>
          <w:rFonts w:ascii="Times New Roman" w:eastAsia="Times New Roman" w:hAnsi="Times New Roman" w:cs="Times New Roman"/>
          <w:color w:val="0B0B0B"/>
          <w:kern w:val="0"/>
          <w:lang w:eastAsia="en-GB"/>
          <w14:ligatures w14:val="none"/>
        </w:rPr>
        <w:t xml:space="preserve">The unpatched application risk is rated Critical in both likelihood and impact because the Equifax breach demonstrated exactly this failure at scale. The 78-day gap between the US-CERT advisory and exploitation at Equifax was not exceptional — research shows that the window between public disclosure and active exploitation is shrinking across the industry, making timely remediation a survival requirement rather than a best practice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818b973893f31f9810e&quot;],&quot;referencesOptions&quot;:{&quot;doc:6a71d818b973893f31f98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7995130"/>
          <w:placeholder>
            <w:docPart w:val="EA88C572F850514892EEF27436B61698"/>
          </w:placeholder>
        </w:sdtPr>
        <w:sdtContent>
          <w:r w:rsidR="00C41F30">
            <w:rPr>
              <w:rFonts w:eastAsia="Times New Roman"/>
              <w:color w:val="0B0B0B"/>
            </w:rPr>
            <w:t>[14]</w:t>
          </w:r>
        </w:sdtContent>
      </w:sdt>
      <w:r w:rsidRPr="00715A9D">
        <w:rPr>
          <w:rFonts w:ascii="Times New Roman" w:eastAsia="Times New Roman" w:hAnsi="Times New Roman" w:cs="Times New Roman"/>
          <w:color w:val="0B0B0B"/>
          <w:kern w:val="0"/>
          <w:lang w:eastAsia="en-GB"/>
          <w14:ligatures w14:val="none"/>
        </w:rPr>
        <w:t>. Mitigation is deliberately specific and measurable: a 48-hour SLA requires a defined process, tooling that runs automatically, and a named individual accountable for each finding.</w:t>
      </w:r>
    </w:p>
    <w:p w14:paraId="3410884B" w14:textId="567B84B9" w:rsidR="0029050E" w:rsidRDefault="0029050E" w:rsidP="00BB2EDC">
      <w:pPr>
        <w:shd w:val="clear" w:color="auto" w:fill="FCFCFB"/>
        <w:spacing w:after="0" w:line="360" w:lineRule="auto"/>
        <w:jc w:val="both"/>
        <w:rPr>
          <w:rFonts w:ascii="Times New Roman" w:eastAsia="Times New Roman" w:hAnsi="Times New Roman" w:cs="Times New Roman"/>
          <w:color w:val="0B0B0B"/>
          <w:kern w:val="0"/>
          <w:lang w:eastAsia="en-GB"/>
          <w14:ligatures w14:val="none"/>
        </w:rPr>
      </w:pPr>
      <w:r w:rsidRPr="00715A9D">
        <w:rPr>
          <w:rFonts w:ascii="Times New Roman" w:eastAsia="Times New Roman" w:hAnsi="Times New Roman" w:cs="Times New Roman"/>
          <w:color w:val="0B0B0B"/>
          <w:kern w:val="0"/>
          <w:lang w:eastAsia="en-GB"/>
          <w14:ligatures w14:val="none"/>
        </w:rPr>
        <w:t xml:space="preserve">Lateral movement risk is equally Critical because poor segmentation was the mechanism by which a single exploited application became access to 48 databases containing 147 million </w:t>
      </w:r>
      <w:r w:rsidRPr="00715A9D">
        <w:rPr>
          <w:rFonts w:ascii="Times New Roman" w:eastAsia="Times New Roman" w:hAnsi="Times New Roman" w:cs="Times New Roman"/>
          <w:color w:val="0B0B0B"/>
          <w:kern w:val="0"/>
          <w:lang w:eastAsia="en-GB"/>
          <w14:ligatures w14:val="none"/>
        </w:rPr>
        <w:lastRenderedPageBreak/>
        <w:t xml:space="preserve">people's most sensitive personal information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5855207"/>
          <w:placeholder>
            <w:docPart w:val="E372DE2FAD033D47BFB7F9E5FBB84ECC"/>
          </w:placeholder>
        </w:sdtPr>
        <w:sdtContent>
          <w:r w:rsidR="00C41F30">
            <w:rPr>
              <w:rFonts w:eastAsia="Times New Roman"/>
              <w:color w:val="0B0B0B"/>
            </w:rPr>
            <w:t>[11]</w:t>
          </w:r>
        </w:sdtContent>
      </w:sdt>
      <w:r w:rsidRPr="00715A9D">
        <w:rPr>
          <w:rFonts w:ascii="Times New Roman" w:eastAsia="Times New Roman" w:hAnsi="Times New Roman" w:cs="Times New Roman"/>
          <w:color w:val="0B0B0B"/>
          <w:kern w:val="0"/>
          <w:lang w:eastAsia="en-GB"/>
          <w14:ligatures w14:val="none"/>
        </w:rPr>
        <w:t xml:space="preserve">. Zero Trust micro-segmentation directly addresses this by ensuring that even a successfully exploited asset provides access only to its own isolated segment, not to the broader environment </w:t>
      </w:r>
      <w:sdt>
        <w:sdtPr>
          <w:rPr>
            <w:rFonts w:ascii="Times New Roman" w:eastAsia="Times New Roman" w:hAnsi="Times New Roman" w:cs="Times New Roman"/>
            <w:color w:val="0B0B0B"/>
            <w:kern w:val="0"/>
            <w:highlight w:val="white"/>
            <w:lang w:eastAsia="en-GB"/>
            <w14:ligatures w14:val="non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1557604"/>
          <w:placeholder>
            <w:docPart w:val="6A20E14677BEC34F83B31CDA9108103C"/>
          </w:placeholder>
        </w:sdtPr>
        <w:sdtContent>
          <w:r w:rsidR="00C41F30">
            <w:rPr>
              <w:rFonts w:eastAsia="Times New Roman"/>
              <w:color w:val="0B0B0B"/>
            </w:rPr>
            <w:t>[4]</w:t>
          </w:r>
        </w:sdtContent>
      </w:sdt>
      <w:sdt>
        <w:sdtPr>
          <w:rPr>
            <w:rFonts w:ascii="Times New Roman" w:eastAsia="Times New Roman" w:hAnsi="Times New Roman" w:cs="Times New Roman"/>
            <w:color w:val="0B0B0B"/>
            <w:kern w:val="0"/>
            <w:highlight w:val="white"/>
            <w:lang w:eastAsia="en-GB"/>
            <w14:ligatures w14:val="none"/>
          </w:rPr>
          <w:alias w:val="Citation"/>
          <w:tag w:val="{&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6068097"/>
          <w:placeholder>
            <w:docPart w:val="A35BF340F83AF94A9EEDB786052EE8FD"/>
          </w:placeholder>
        </w:sdtPr>
        <w:sdtContent>
          <w:r w:rsidR="00C41F30">
            <w:rPr>
              <w:rFonts w:eastAsia="Times New Roman"/>
              <w:color w:val="0B0B0B"/>
            </w:rPr>
            <w:t>[10]</w:t>
          </w:r>
        </w:sdtContent>
      </w:sdt>
      <w:r w:rsidR="00E270D3">
        <w:rPr>
          <w:rFonts w:ascii="Times New Roman" w:eastAsia="Times New Roman" w:hAnsi="Times New Roman" w:cs="Times New Roman"/>
          <w:color w:val="0B0B0B"/>
          <w:kern w:val="0"/>
          <w:lang w:eastAsia="en-GB"/>
          <w14:ligatures w14:val="none"/>
        </w:rPr>
        <w:t>.</w:t>
      </w:r>
      <w:r w:rsidRPr="00715A9D">
        <w:rPr>
          <w:rFonts w:ascii="Times New Roman" w:eastAsia="Times New Roman" w:hAnsi="Times New Roman" w:cs="Times New Roman"/>
          <w:color w:val="0B0B0B"/>
          <w:kern w:val="0"/>
          <w:lang w:eastAsia="en-GB"/>
          <w14:ligatures w14:val="none"/>
        </w:rPr>
        <w:t xml:space="preserve"> The extended dwell time risk reflects the 76 days Equifax's attackers operated undetected — a failure of monitoring, not just of prevention. An organisation that cannot detect anomalous outbound data volumes at the scale involved in the Equifax extraction does not have an adequate detection capability, regardless of what its policies say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0378002"/>
          <w:placeholder>
            <w:docPart w:val="74AD1E42368AC749B4FC1A19A28A527A"/>
          </w:placeholder>
        </w:sdtPr>
        <w:sdtContent>
          <w:r w:rsidR="00C41F30">
            <w:rPr>
              <w:rFonts w:eastAsia="Times New Roman"/>
              <w:color w:val="0B0B0B"/>
            </w:rPr>
            <w:t>[12]</w:t>
          </w:r>
        </w:sdtContent>
      </w:sdt>
      <w:r w:rsidRPr="00715A9D">
        <w:rPr>
          <w:rFonts w:ascii="Times New Roman" w:eastAsia="Times New Roman" w:hAnsi="Times New Roman" w:cs="Times New Roman"/>
          <w:color w:val="0B0B0B"/>
          <w:kern w:val="0"/>
          <w:lang w:eastAsia="en-GB"/>
          <w14:ligatures w14:val="none"/>
        </w:rPr>
        <w:t>.</w:t>
      </w:r>
    </w:p>
    <w:p w14:paraId="20522C85" w14:textId="77777777" w:rsidR="00BB2EDC" w:rsidRPr="00BB2EDC" w:rsidRDefault="00BB2EDC" w:rsidP="00BB2EDC">
      <w:pPr>
        <w:shd w:val="clear" w:color="auto" w:fill="FCFCFB"/>
        <w:spacing w:after="0" w:line="360" w:lineRule="auto"/>
        <w:jc w:val="both"/>
        <w:rPr>
          <w:rStyle w:val="Strong"/>
          <w:rFonts w:ascii="Times New Roman" w:eastAsia="Times New Roman" w:hAnsi="Times New Roman" w:cs="Times New Roman"/>
          <w:b w:val="0"/>
          <w:bCs w:val="0"/>
          <w:color w:val="0B0B0B"/>
          <w:kern w:val="0"/>
          <w:lang w:eastAsia="en-GB"/>
          <w14:ligatures w14:val="none"/>
        </w:rPr>
      </w:pPr>
    </w:p>
    <w:p w14:paraId="6E95B4E5" w14:textId="3D19FDB3" w:rsidR="00B028BD" w:rsidRPr="00B028BD" w:rsidRDefault="005901B1" w:rsidP="00B028BD">
      <w:pPr>
        <w:pStyle w:val="Heading2"/>
        <w:rPr>
          <w:rFonts w:ascii="Times New Roman" w:hAnsi="Times New Roman" w:cs="Times New Roman"/>
          <w:b/>
          <w:bCs/>
          <w:color w:val="000000" w:themeColor="text1"/>
          <w:sz w:val="28"/>
          <w:szCs w:val="28"/>
        </w:rPr>
      </w:pPr>
      <w:bookmarkStart w:id="33" w:name="_Toc237297189"/>
      <w:r w:rsidRPr="00B028BD">
        <w:rPr>
          <w:rStyle w:val="Strong"/>
          <w:rFonts w:ascii="Times New Roman" w:hAnsi="Times New Roman" w:cs="Times New Roman"/>
          <w:color w:val="000000" w:themeColor="text1"/>
          <w:sz w:val="28"/>
          <w:szCs w:val="28"/>
        </w:rPr>
        <w:t>2.</w:t>
      </w:r>
      <w:r w:rsidR="00F45B45" w:rsidRPr="00B028BD">
        <w:rPr>
          <w:rStyle w:val="Strong"/>
          <w:rFonts w:ascii="Times New Roman" w:hAnsi="Times New Roman" w:cs="Times New Roman"/>
          <w:color w:val="000000" w:themeColor="text1"/>
          <w:sz w:val="28"/>
          <w:szCs w:val="28"/>
        </w:rPr>
        <w:t>4</w:t>
      </w:r>
      <w:r w:rsidR="0029050E" w:rsidRPr="00B028BD">
        <w:rPr>
          <w:rStyle w:val="Strong"/>
          <w:rFonts w:ascii="Times New Roman" w:hAnsi="Times New Roman" w:cs="Times New Roman"/>
          <w:color w:val="000000" w:themeColor="text1"/>
          <w:sz w:val="28"/>
          <w:szCs w:val="28"/>
        </w:rPr>
        <w:t xml:space="preserve"> </w:t>
      </w:r>
      <w:bookmarkStart w:id="34" w:name="_Toc235527137"/>
      <w:bookmarkEnd w:id="31"/>
      <w:r w:rsidR="0029050E" w:rsidRPr="00B028BD">
        <w:rPr>
          <w:rFonts w:ascii="Times New Roman" w:hAnsi="Times New Roman" w:cs="Times New Roman"/>
          <w:b/>
          <w:bCs/>
          <w:color w:val="000000" w:themeColor="text1"/>
          <w:sz w:val="28"/>
          <w:szCs w:val="28"/>
        </w:rPr>
        <w:t>COMPLIANCE, INCIDENT RESPONSE, AND PROTECTION CONTROLS</w:t>
      </w:r>
      <w:bookmarkEnd w:id="33"/>
    </w:p>
    <w:p w14:paraId="3641A868" w14:textId="77777777" w:rsidR="0029050E" w:rsidRPr="00715A9D" w:rsidRDefault="0029050E" w:rsidP="007811C8">
      <w:pPr>
        <w:pStyle w:val="ListParagraph"/>
        <w:numPr>
          <w:ilvl w:val="0"/>
          <w:numId w:val="3"/>
        </w:numPr>
        <w:shd w:val="clear" w:color="auto" w:fill="FCFCFB"/>
        <w:spacing w:after="0" w:line="360" w:lineRule="auto"/>
        <w:jc w:val="both"/>
        <w:rPr>
          <w:rFonts w:ascii="Times New Roman" w:eastAsia="Times New Roman" w:hAnsi="Times New Roman" w:cs="Times New Roman"/>
          <w:b/>
          <w:bCs/>
          <w:color w:val="0B0B0B"/>
          <w:kern w:val="0"/>
          <w:sz w:val="26"/>
          <w:szCs w:val="26"/>
          <w:lang w:eastAsia="en-GB"/>
          <w14:ligatures w14:val="none"/>
        </w:rPr>
      </w:pPr>
      <w:r w:rsidRPr="00715A9D">
        <w:rPr>
          <w:rFonts w:ascii="Times New Roman" w:eastAsia="Times New Roman" w:hAnsi="Times New Roman" w:cs="Times New Roman"/>
          <w:b/>
          <w:bCs/>
          <w:color w:val="0B0B0B"/>
          <w:kern w:val="0"/>
          <w:sz w:val="26"/>
          <w:szCs w:val="26"/>
          <w:lang w:eastAsia="en-GB"/>
          <w14:ligatures w14:val="none"/>
        </w:rPr>
        <w:t>Regulatory Alignment</w:t>
      </w:r>
    </w:p>
    <w:p w14:paraId="4C4195AF" w14:textId="4D4F669E" w:rsidR="00536A81" w:rsidRPr="00BB2EDC" w:rsidRDefault="0029050E" w:rsidP="007811C8">
      <w:pPr>
        <w:shd w:val="clear" w:color="auto" w:fill="FCFCFB"/>
        <w:spacing w:after="0" w:line="360" w:lineRule="auto"/>
        <w:jc w:val="both"/>
        <w:rPr>
          <w:rFonts w:ascii="Times New Roman" w:eastAsia="Times New Roman" w:hAnsi="Times New Roman" w:cs="Times New Roman"/>
          <w:color w:val="0B0B0B"/>
          <w:kern w:val="0"/>
          <w:lang w:eastAsia="en-GB"/>
          <w14:ligatures w14:val="none"/>
        </w:rPr>
      </w:pPr>
      <w:r w:rsidRPr="00715A9D">
        <w:rPr>
          <w:rFonts w:ascii="Times New Roman" w:eastAsia="Times New Roman" w:hAnsi="Times New Roman" w:cs="Times New Roman"/>
          <w:color w:val="0B0B0B"/>
          <w:kern w:val="0"/>
          <w:lang w:eastAsia="en-GB"/>
          <w14:ligatures w14:val="none"/>
        </w:rPr>
        <w:t xml:space="preserve">Equifax operates as a consumer reporting agency subject to the Fair Credit Reporting Act, the FTC Act Section 5, and the Gramm-Leach-Bliley Act Safeguards Rule, each of which places enforceable obligations on how consumer data is collected, stored, and protected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2483231"/>
          <w:placeholder>
            <w:docPart w:val="A982245DE096424E827CA78A8AD204BC"/>
          </w:placeholder>
        </w:sdtPr>
        <w:sdtContent>
          <w:r w:rsidR="00C41F30">
            <w:rPr>
              <w:rFonts w:eastAsia="Times New Roman"/>
              <w:color w:val="0B0B0B"/>
            </w:rPr>
            <w:t>[12]</w:t>
          </w:r>
        </w:sdtContent>
      </w:sdt>
      <w:r w:rsidRPr="00715A9D">
        <w:rPr>
          <w:rFonts w:ascii="Times New Roman" w:eastAsia="Times New Roman" w:hAnsi="Times New Roman" w:cs="Times New Roman"/>
          <w:color w:val="0B0B0B"/>
          <w:kern w:val="0"/>
          <w:lang w:eastAsia="en-GB"/>
          <w14:ligatures w14:val="none"/>
        </w:rPr>
        <w:t xml:space="preserve">. The FTC's action against Equifax documented specific violations including failure to patch known vulnerabilities, failure to maintain adequate network segmentation, and failure to implement monitoring controls sufficient to detect the breach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0741839"/>
          <w:placeholder>
            <w:docPart w:val="3F18A3D694134B4B9E6CD8E13809F834"/>
          </w:placeholder>
        </w:sdtPr>
        <w:sdtContent>
          <w:r w:rsidR="00C41F30">
            <w:rPr>
              <w:rFonts w:eastAsia="Times New Roman"/>
              <w:color w:val="0B0B0B"/>
            </w:rPr>
            <w:t>[12]</w:t>
          </w:r>
        </w:sdtContent>
      </w:sdt>
      <w:r w:rsidRPr="00715A9D">
        <w:rPr>
          <w:rFonts w:ascii="Times New Roman" w:eastAsia="Times New Roman" w:hAnsi="Times New Roman" w:cs="Times New Roman"/>
          <w:color w:val="0B0B0B"/>
          <w:kern w:val="0"/>
          <w:lang w:eastAsia="en-GB"/>
          <w14:ligatures w14:val="none"/>
        </w:rPr>
        <w:t xml:space="preserve">. For any EU individuals whose data was affected, GDPR requires notification to the relevant supervisory authority within 72 hours of confirmed breach awareness. All regulatory obligations are documented in a single Regulatory Obligations Register with a named owner for each requirement, reviewed quarterly and updated whenever regulatory guidance changes. Compliance is not treated as a periodic exercise but as a continuous operational state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291304"/>
          <w:placeholder>
            <w:docPart w:val="1B7ECBA11561DE44A020305BF3A1F2E2"/>
          </w:placeholder>
        </w:sdtPr>
        <w:sdtContent>
          <w:r w:rsidR="00C41F30">
            <w:rPr>
              <w:rFonts w:eastAsia="Times New Roman"/>
              <w:color w:val="0B0B0B"/>
            </w:rPr>
            <w:t>[13]</w:t>
          </w:r>
        </w:sdtContent>
      </w:sdt>
      <w:r w:rsidRPr="00715A9D">
        <w:rPr>
          <w:rFonts w:ascii="Times New Roman" w:eastAsia="Times New Roman" w:hAnsi="Times New Roman" w:cs="Times New Roman"/>
          <w:color w:val="0B0B0B"/>
          <w:kern w:val="0"/>
          <w:lang w:eastAsia="en-GB"/>
          <w14:ligatures w14:val="none"/>
        </w:rPr>
        <w:t>.</w:t>
      </w:r>
    </w:p>
    <w:p w14:paraId="0BCFFB1A" w14:textId="211FBA4F" w:rsidR="00536A81" w:rsidRPr="00715A9D" w:rsidRDefault="0029050E" w:rsidP="007811C8">
      <w:pPr>
        <w:pStyle w:val="ListParagraph"/>
        <w:numPr>
          <w:ilvl w:val="0"/>
          <w:numId w:val="3"/>
        </w:numPr>
        <w:shd w:val="clear" w:color="auto" w:fill="FCFCFB"/>
        <w:spacing w:after="0" w:line="360" w:lineRule="auto"/>
        <w:jc w:val="both"/>
        <w:rPr>
          <w:rFonts w:ascii="Times New Roman" w:eastAsia="Times New Roman" w:hAnsi="Times New Roman" w:cs="Times New Roman"/>
          <w:b/>
          <w:bCs/>
          <w:color w:val="0B0B0B"/>
          <w:kern w:val="0"/>
          <w:sz w:val="26"/>
          <w:szCs w:val="26"/>
          <w:lang w:eastAsia="en-GB"/>
          <w14:ligatures w14:val="none"/>
        </w:rPr>
      </w:pPr>
      <w:r w:rsidRPr="00715A9D">
        <w:rPr>
          <w:rFonts w:ascii="Times New Roman" w:eastAsia="Times New Roman" w:hAnsi="Times New Roman" w:cs="Times New Roman"/>
          <w:b/>
          <w:bCs/>
          <w:color w:val="0B0B0B"/>
          <w:kern w:val="0"/>
          <w:sz w:val="26"/>
          <w:szCs w:val="26"/>
          <w:lang w:eastAsia="en-GB"/>
          <w14:ligatures w14:val="none"/>
        </w:rPr>
        <w:t>Incident Response</w:t>
      </w:r>
    </w:p>
    <w:p w14:paraId="46DAF20B" w14:textId="2745033C" w:rsidR="00B028BD" w:rsidRDefault="0029050E" w:rsidP="007811C8">
      <w:pPr>
        <w:shd w:val="clear" w:color="auto" w:fill="FCFCFB"/>
        <w:spacing w:after="0" w:line="360" w:lineRule="auto"/>
        <w:jc w:val="both"/>
        <w:rPr>
          <w:rFonts w:ascii="Times New Roman" w:eastAsia="Times New Roman" w:hAnsi="Times New Roman" w:cs="Times New Roman"/>
          <w:color w:val="0B0B0B"/>
          <w:kern w:val="0"/>
          <w:lang w:eastAsia="en-GB"/>
          <w14:ligatures w14:val="none"/>
        </w:rPr>
      </w:pPr>
      <w:r w:rsidRPr="00715A9D">
        <w:rPr>
          <w:rFonts w:ascii="Times New Roman" w:eastAsia="Times New Roman" w:hAnsi="Times New Roman" w:cs="Times New Roman"/>
          <w:color w:val="0B0B0B"/>
          <w:kern w:val="0"/>
          <w:lang w:eastAsia="en-GB"/>
          <w14:ligatures w14:val="none"/>
        </w:rPr>
        <w:t xml:space="preserve">Equifax's incident response had two critical failures beyond the 76-day dwell time: the 39-day delay between confirming the breach on 29 July 2017 and notifying the public on 7 September 2017, and the quality of the response itself, including a breach notification website that was found to have its own security vulnerabilities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098846"/>
          <w:placeholder>
            <w:docPart w:val="A45DC0564B5317469357B6C7F333BFB9"/>
          </w:placeholder>
        </w:sdtPr>
        <w:sdtContent>
          <w:r w:rsidR="00C41F30">
            <w:rPr>
              <w:rFonts w:eastAsia="Times New Roman"/>
              <w:color w:val="0B0B0B"/>
            </w:rPr>
            <w:t>[11]</w:t>
          </w:r>
        </w:sdtContent>
      </w:sdt>
      <w:r w:rsidRPr="00715A9D">
        <w:rPr>
          <w:rFonts w:ascii="Times New Roman" w:eastAsia="Times New Roman" w:hAnsi="Times New Roman" w:cs="Times New Roman"/>
          <w:color w:val="0B0B0B"/>
          <w:kern w:val="0"/>
          <w:lang w:eastAsia="en-GB"/>
          <w14:ligatures w14:val="none"/>
        </w:rPr>
        <w:t>. The proposed incident response plan requires the following timelines: regulatory counsel notified within 2 hours of a confirmed breach; preliminary scope assessment completed within 12 hours; regulatory notification filed within the applicable legal deadline, whether 72 hours under GDPR or the relevant window under US state law. The plan is tested through quarterly tabletop exercises and a full simulation at least once annually. Named owners for each regulatory obligation are confirmed before each exercise begins, not assigned during an actual incident when the pressure to act is already high.</w:t>
      </w:r>
    </w:p>
    <w:p w14:paraId="75F085AC" w14:textId="30CA29E9" w:rsidR="00B028BD" w:rsidRPr="00BB2EDC" w:rsidRDefault="00B028BD" w:rsidP="00B028BD">
      <w:pPr>
        <w:rPr>
          <w:rFonts w:ascii="Times New Roman" w:eastAsia="Times New Roman" w:hAnsi="Times New Roman" w:cs="Times New Roman"/>
          <w:color w:val="0B0B0B"/>
          <w:kern w:val="0"/>
          <w:lang w:eastAsia="en-GB"/>
          <w14:ligatures w14:val="none"/>
        </w:rPr>
      </w:pPr>
      <w:r>
        <w:rPr>
          <w:rFonts w:ascii="Times New Roman" w:eastAsia="Times New Roman" w:hAnsi="Times New Roman" w:cs="Times New Roman"/>
          <w:color w:val="0B0B0B"/>
          <w:kern w:val="0"/>
          <w:lang w:eastAsia="en-GB"/>
          <w14:ligatures w14:val="none"/>
        </w:rPr>
        <w:br w:type="page"/>
      </w:r>
    </w:p>
    <w:p w14:paraId="427B19E9" w14:textId="77777777" w:rsidR="0029050E" w:rsidRPr="00715A9D" w:rsidRDefault="0029050E" w:rsidP="007811C8">
      <w:pPr>
        <w:pStyle w:val="ListParagraph"/>
        <w:numPr>
          <w:ilvl w:val="0"/>
          <w:numId w:val="3"/>
        </w:numPr>
        <w:shd w:val="clear" w:color="auto" w:fill="FCFCFB"/>
        <w:spacing w:after="0" w:line="360" w:lineRule="auto"/>
        <w:jc w:val="both"/>
        <w:rPr>
          <w:rFonts w:ascii="Times New Roman" w:eastAsia="Times New Roman" w:hAnsi="Times New Roman" w:cs="Times New Roman"/>
          <w:b/>
          <w:bCs/>
          <w:color w:val="0B0B0B"/>
          <w:kern w:val="0"/>
          <w:sz w:val="26"/>
          <w:szCs w:val="26"/>
          <w:lang w:eastAsia="en-GB"/>
          <w14:ligatures w14:val="none"/>
        </w:rPr>
      </w:pPr>
      <w:r w:rsidRPr="00715A9D">
        <w:rPr>
          <w:rFonts w:ascii="Times New Roman" w:eastAsia="Times New Roman" w:hAnsi="Times New Roman" w:cs="Times New Roman"/>
          <w:b/>
          <w:bCs/>
          <w:color w:val="0B0B0B"/>
          <w:kern w:val="0"/>
          <w:sz w:val="26"/>
          <w:szCs w:val="26"/>
          <w:lang w:eastAsia="en-GB"/>
          <w14:ligatures w14:val="none"/>
        </w:rPr>
        <w:lastRenderedPageBreak/>
        <w:t>Protection Controls</w:t>
      </w:r>
    </w:p>
    <w:p w14:paraId="079DC7E1" w14:textId="16A231EC" w:rsidR="0029050E" w:rsidRPr="00715A9D" w:rsidRDefault="0029050E" w:rsidP="007811C8">
      <w:pPr>
        <w:shd w:val="clear" w:color="auto" w:fill="FCFCFB"/>
        <w:spacing w:after="0" w:line="360" w:lineRule="auto"/>
        <w:jc w:val="both"/>
        <w:rPr>
          <w:rFonts w:ascii="Times New Roman" w:eastAsia="Times New Roman" w:hAnsi="Times New Roman" w:cs="Times New Roman"/>
          <w:color w:val="0B0B0B"/>
          <w:kern w:val="0"/>
          <w:lang w:eastAsia="en-GB"/>
          <w14:ligatures w14:val="none"/>
        </w:rPr>
      </w:pPr>
      <w:r w:rsidRPr="00715A9D">
        <w:rPr>
          <w:rFonts w:ascii="Times New Roman" w:eastAsia="Times New Roman" w:hAnsi="Times New Roman" w:cs="Times New Roman"/>
          <w:color w:val="0B0B0B"/>
          <w:kern w:val="0"/>
          <w:lang w:eastAsia="en-GB"/>
          <w14:ligatures w14:val="none"/>
        </w:rPr>
        <w:t xml:space="preserve">Automated vulnerability scanning runs continuously against all internet-facing assets, with critical findings generating alerts within 15 minutes. This directly targets the specific mechanism of the Equifax breach: a known vulnerability that remained undetected across the full asset estate because scanning was neither continuous nor comprehensive </w:t>
      </w:r>
      <w:sdt>
        <w:sdtPr>
          <w:rPr>
            <w:rFonts w:ascii="Times New Roman" w:eastAsia="Times New Roman" w:hAnsi="Times New Roman" w:cs="Times New Roman"/>
            <w:color w:val="0B0B0B"/>
            <w:kern w:val="0"/>
            <w:highlight w:val="white"/>
            <w:lang w:eastAsia="en-GB"/>
            <w14:ligatures w14:val="none"/>
          </w:rPr>
          <w:alias w:val="Citation"/>
          <w:tag w:val="{&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622817"/>
          <w:placeholder>
            <w:docPart w:val="79AB76609526214BA2C5C706FFEF9851"/>
          </w:placeholder>
        </w:sdtPr>
        <w:sdtContent>
          <w:r w:rsidR="00C41F30">
            <w:rPr>
              <w:rFonts w:eastAsia="Times New Roman"/>
              <w:color w:val="0B0B0B"/>
            </w:rPr>
            <w:t>[11]</w:t>
          </w:r>
        </w:sdtContent>
      </w:sdt>
      <w:r w:rsidRPr="00715A9D">
        <w:rPr>
          <w:rFonts w:ascii="Times New Roman" w:eastAsia="Times New Roman" w:hAnsi="Times New Roman" w:cs="Times New Roman"/>
          <w:color w:val="0B0B0B"/>
          <w:kern w:val="0"/>
          <w:lang w:eastAsia="en-GB"/>
          <w14:ligatures w14:val="none"/>
        </w:rPr>
        <w:t xml:space="preserve">. Network micro-segmentation enforced through Zero Trust controls ensures that even a successfully exploited internet-facing application provides the attacker access only to that isolated segment, not to the wider environment </w:t>
      </w:r>
      <w:sdt>
        <w:sdtPr>
          <w:rPr>
            <w:rFonts w:ascii="Times New Roman" w:eastAsia="Times New Roman" w:hAnsi="Times New Roman" w:cs="Times New Roman"/>
            <w:color w:val="0B0B0B"/>
            <w:kern w:val="0"/>
            <w:highlight w:val="white"/>
            <w:lang w:eastAsia="en-GB"/>
            <w14:ligatures w14:val="none"/>
          </w:rPr>
          <w:alias w:val="Citation"/>
          <w:tag w:val="{&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2735936"/>
          <w:placeholder>
            <w:docPart w:val="030F02B2F2F2F4408D2B781524A48914"/>
          </w:placeholder>
        </w:sdtPr>
        <w:sdtContent>
          <w:r w:rsidR="00C41F30">
            <w:rPr>
              <w:rFonts w:eastAsia="Times New Roman"/>
              <w:color w:val="0B0B0B"/>
            </w:rPr>
            <w:t>[4]</w:t>
          </w:r>
        </w:sdtContent>
      </w:sdt>
      <w:sdt>
        <w:sdtPr>
          <w:rPr>
            <w:rFonts w:ascii="Times New Roman" w:eastAsia="Times New Roman" w:hAnsi="Times New Roman" w:cs="Times New Roman"/>
            <w:color w:val="0B0B0B"/>
            <w:kern w:val="0"/>
            <w:highlight w:val="white"/>
            <w:lang w:eastAsia="en-GB"/>
            <w14:ligatures w14:val="none"/>
          </w:rPr>
          <w:alias w:val="Citation"/>
          <w:tag w:val="{&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4036719"/>
          <w:placeholder>
            <w:docPart w:val="E0D38915043EE64AB22E2CF0B3209EF9"/>
          </w:placeholder>
        </w:sdtPr>
        <w:sdtContent>
          <w:r w:rsidR="00C41F30">
            <w:rPr>
              <w:rFonts w:eastAsia="Times New Roman"/>
              <w:color w:val="0B0B0B"/>
            </w:rPr>
            <w:t>[10]</w:t>
          </w:r>
        </w:sdtContent>
      </w:sdt>
      <w:r w:rsidR="00C41F30">
        <w:rPr>
          <w:rFonts w:ascii="Times New Roman" w:eastAsia="Times New Roman" w:hAnsi="Times New Roman" w:cs="Times New Roman"/>
          <w:color w:val="0B0B0B"/>
          <w:kern w:val="0"/>
          <w:lang w:eastAsia="en-GB"/>
          <w14:ligatures w14:val="none"/>
        </w:rPr>
        <w:t xml:space="preserve">. </w:t>
      </w:r>
      <w:r w:rsidRPr="00715A9D">
        <w:rPr>
          <w:rFonts w:ascii="Times New Roman" w:eastAsia="Times New Roman" w:hAnsi="Times New Roman" w:cs="Times New Roman"/>
          <w:color w:val="0B0B0B"/>
          <w:kern w:val="0"/>
          <w:lang w:eastAsia="en-GB"/>
          <w14:ligatures w14:val="none"/>
        </w:rPr>
        <w:t>This is the control that would have had the greatest impact in 2017: the lateral movement to 48 databases was only possible because internal trust was never challenged.</w:t>
      </w:r>
    </w:p>
    <w:p w14:paraId="2047F5D1" w14:textId="1BE38983" w:rsidR="0029050E" w:rsidRPr="00F45B45" w:rsidRDefault="0029050E" w:rsidP="00F45B45">
      <w:pPr>
        <w:shd w:val="clear" w:color="auto" w:fill="FCFCFB"/>
        <w:spacing w:after="0" w:line="360" w:lineRule="auto"/>
        <w:jc w:val="center"/>
        <w:rPr>
          <w:rFonts w:ascii="Times New Roman" w:eastAsia="Times New Roman" w:hAnsi="Times New Roman" w:cs="Times New Roman"/>
          <w:color w:val="0B0B0B"/>
          <w:kern w:val="0"/>
          <w:lang w:eastAsia="en-GB"/>
          <w14:ligatures w14:val="none"/>
        </w:rPr>
      </w:pPr>
      <w:r w:rsidRPr="00715A9D">
        <w:rPr>
          <w:rFonts w:ascii="Times New Roman" w:eastAsia="Times New Roman" w:hAnsi="Times New Roman" w:cs="Times New Roman"/>
          <w:color w:val="0B0B0B"/>
          <w:kern w:val="0"/>
          <w:lang w:eastAsia="en-GB"/>
          <w14:ligatures w14:val="none"/>
        </w:rPr>
        <w:t xml:space="preserve">SIEM with behavioural analytics is configured to alert on anomalous outbound data volumes. The extraction of 147 million records involved data transfers that should have been statistically detectable as outliers against the established baseline </w:t>
      </w:r>
      <w:sdt>
        <w:sdtPr>
          <w:rPr>
            <w:rFonts w:ascii="Times New Roman" w:eastAsia="Times New Roman" w:hAnsi="Times New Roman" w:cs="Times New Roman"/>
            <w:color w:val="0B0B0B"/>
            <w:kern w:val="0"/>
            <w:highlight w:val="white"/>
            <w:lang w:eastAsia="en-GB"/>
            <w14:ligatures w14:val="none"/>
          </w:rPr>
          <w:alias w:val="Citation"/>
          <w:tag w:val="{&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857533"/>
          <w:placeholder>
            <w:docPart w:val="5B5478BFD2DC654FACE5F18482124B1A"/>
          </w:placeholder>
        </w:sdtPr>
        <w:sdtContent>
          <w:r w:rsidR="00C41F30">
            <w:rPr>
              <w:rFonts w:eastAsia="Times New Roman"/>
              <w:color w:val="0B0B0B"/>
            </w:rPr>
            <w:t>[9]</w:t>
          </w:r>
        </w:sdtContent>
      </w:sdt>
      <w:r w:rsidR="005B7F77">
        <w:rPr>
          <w:rFonts w:ascii="Times New Roman" w:eastAsia="Times New Roman" w:hAnsi="Times New Roman" w:cs="Times New Roman"/>
          <w:color w:val="0B0B0B"/>
          <w:kern w:val="0"/>
          <w:lang w:eastAsia="en-GB"/>
          <w14:ligatures w14:val="none"/>
        </w:rPr>
        <w:t>.</w:t>
      </w:r>
      <w:r w:rsidRPr="00715A9D">
        <w:rPr>
          <w:rFonts w:ascii="Times New Roman" w:eastAsia="Times New Roman" w:hAnsi="Times New Roman" w:cs="Times New Roman"/>
          <w:color w:val="0B0B0B"/>
          <w:kern w:val="0"/>
          <w:lang w:eastAsia="en-GB"/>
          <w14:ligatures w14:val="none"/>
        </w:rPr>
        <w:t xml:space="preserve">Endpoint Detection and Response with automated containment limits what an attacker can do with access that has already been gained, isolating compromised assets without waiting for analyst intervention and reducing dwell time as a result </w:t>
      </w:r>
      <w:sdt>
        <w:sdtPr>
          <w:rPr>
            <w:rFonts w:ascii="Times New Roman" w:eastAsia="Times New Roman" w:hAnsi="Times New Roman" w:cs="Times New Roman"/>
            <w:color w:val="0B0B0B"/>
            <w:kern w:val="0"/>
            <w:highlight w:val="white"/>
            <w:lang w:eastAsia="en-GB"/>
            <w14:ligatures w14:val="none"/>
          </w:rPr>
          <w:alias w:val="Citation"/>
          <w:tag w:val="{&quot;referencesIds&quot;:[&quot;doc:6a673f037b91ef02af375bf4&quot;],&quot;referencesOptions&quot;:{&quot;doc:6a673f037b91ef02af375b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7374961"/>
          <w:placeholder>
            <w:docPart w:val="8422C6719BBADD438EAA093B2617AD7B"/>
          </w:placeholder>
        </w:sdtPr>
        <w:sdtContent>
          <w:r w:rsidR="00C41F30">
            <w:rPr>
              <w:rFonts w:eastAsia="Times New Roman"/>
              <w:color w:val="0B0B0B"/>
            </w:rPr>
            <w:t>[16]</w:t>
          </w:r>
        </w:sdtContent>
      </w:sdt>
      <w:r w:rsidRPr="00715A9D">
        <w:rPr>
          <w:rFonts w:ascii="Times New Roman" w:eastAsia="Times New Roman" w:hAnsi="Times New Roman" w:cs="Times New Roman"/>
          <w:color w:val="0B0B0B"/>
          <w:kern w:val="0"/>
          <w:lang w:eastAsia="en-GB"/>
          <w14:ligatures w14:val="none"/>
        </w:rPr>
        <w:t xml:space="preserve">. AES-256 encryption of all PII at rest ensures that data exfiltrated from a compromised segment is unreadable without keys stored separately, limiting the usable value of anything extracted. Phishing-resistant MFA enforced across all administrative access eliminates credential theft as a viable initial access vector </w:t>
      </w:r>
      <w:sdt>
        <w:sdtPr>
          <w:rPr>
            <w:rFonts w:ascii="Times New Roman" w:eastAsia="Times New Roman" w:hAnsi="Times New Roman" w:cs="Times New Roman"/>
            <w:color w:val="0B0B0B"/>
            <w:kern w:val="0"/>
            <w:highlight w:val="white"/>
            <w:lang w:eastAsia="en-GB"/>
            <w14:ligatures w14:val="none"/>
          </w:rPr>
          <w:alias w:val="Citation"/>
          <w:tag w:val="{&quot;referencesIds&quot;:[&quot;doc:6a673ee5a799961e1e6173c7&quot;],&quot;referencesOptions&quot;:{&quot;doc:6a673ee5a799961e1e6173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6142506"/>
          <w:placeholder>
            <w:docPart w:val="5A92E91C9C119E4F9D2190A551A03A35"/>
          </w:placeholder>
        </w:sdtPr>
        <w:sdtContent>
          <w:r w:rsidR="00C41F30">
            <w:rPr>
              <w:rFonts w:eastAsia="Times New Roman"/>
              <w:color w:val="0B0B0B"/>
            </w:rPr>
            <w:t>[1]</w:t>
          </w:r>
        </w:sdtContent>
      </w:sdt>
      <w:r w:rsidRPr="00715A9D">
        <w:rPr>
          <w:rFonts w:ascii="Times New Roman" w:eastAsia="Times New Roman" w:hAnsi="Times New Roman" w:cs="Times New Roman"/>
          <w:color w:val="0B0B0B"/>
          <w:kern w:val="0"/>
          <w:lang w:eastAsia="en-GB"/>
          <w14:ligatures w14:val="none"/>
        </w:rPr>
        <w:t>. Together these controls do not just add layers: they target the specific failure points of the Equifax breach and the structural conditions that made its impact so severe.</w:t>
      </w:r>
      <w:bookmarkStart w:id="35" w:name="_Toc235527138"/>
      <w:bookmarkEnd w:id="34"/>
      <w:r w:rsidR="00B33957" w:rsidRPr="00536A81">
        <w:rPr>
          <w:rStyle w:val="Strong"/>
          <w:rFonts w:ascii="Times New Roman" w:hAnsi="Times New Roman" w:cs="Times New Roman"/>
          <w:color w:val="000000" w:themeColor="text1"/>
        </w:rPr>
        <w:br w:type="page"/>
      </w:r>
      <w:r w:rsidR="00180E71" w:rsidRPr="00536A81">
        <w:rPr>
          <w:rStyle w:val="Strong"/>
          <w:rFonts w:ascii="Times New Roman" w:hAnsi="Times New Roman" w:cs="Times New Roman"/>
          <w:color w:val="000000" w:themeColor="text1"/>
          <w:sz w:val="40"/>
          <w:szCs w:val="40"/>
        </w:rPr>
        <w:lastRenderedPageBreak/>
        <w:t>CONCLUSION</w:t>
      </w:r>
      <w:bookmarkEnd w:id="35"/>
    </w:p>
    <w:p w14:paraId="6DABFEFC" w14:textId="65356DE9" w:rsidR="0029050E" w:rsidRPr="00536A81" w:rsidRDefault="0029050E" w:rsidP="007811C8">
      <w:pPr>
        <w:pStyle w:val="font-claude-response-body"/>
        <w:spacing w:line="360" w:lineRule="auto"/>
        <w:jc w:val="both"/>
      </w:pPr>
      <w:r w:rsidRPr="00536A81">
        <w:t>A consistent argument runs through both parts of this paper: security failures of the scale seen at Equifax in 2017 are not accidents. They are the predictable outcome of governance structures that do not hold security to board-level account, policies that exist on paper but are not enforced, and risk management processes that do not accurately reflect the organisation's actual exposure. The perimeter model was built for a world with stable, defensible boundaries. What the Equifax breach demonstrated is that once an attacker finds a single unpatched entry point in that boundary, an environment built on implicit internal trust offers almost nothing to stop them. One exploited vulnerability became access to 48 databases and 147 million people's most sensitive personal information, sustained for 76 days without detection</w:t>
      </w:r>
      <w:r w:rsidR="00536A81" w:rsidRPr="00536A81">
        <w:t>.</w:t>
      </w:r>
    </w:p>
    <w:p w14:paraId="7A620613" w14:textId="524BF2D9" w:rsidR="0029050E" w:rsidRPr="00536A81" w:rsidRDefault="0029050E" w:rsidP="007811C8">
      <w:pPr>
        <w:pStyle w:val="font-claude-response-body"/>
        <w:spacing w:line="360" w:lineRule="auto"/>
        <w:jc w:val="both"/>
      </w:pPr>
      <w:r w:rsidRPr="00536A81">
        <w:t>Zero Trust addresses this not by adding more controls on top of a failing architecture but by replacing its foundational assumption. No user, device, or system is trusted by default regardless of where it sits on the network. Every access request is evaluated on its own terms: who is making it, from what device, with what authorisation, for what resource. Applied consistently, this would have confined the Equifax attackers to a single network segment even after initial access, rather than allowing unrestricted lateral movement across the full environment. The evidence that this architecture works at scale is now substantial: peer-reviewed research across 74 studies confirms that more mature Zero Trust implementations produce measurably better outcomes against exactly these attack patterns</w:t>
      </w:r>
      <w:r w:rsidR="00735F49">
        <w:t xml:space="preserve">, </w:t>
      </w:r>
      <w:r w:rsidRPr="00536A81">
        <w:t>and the controls proposed in this programme are each grounded in that evidence</w:t>
      </w:r>
      <w:r w:rsidR="00536A81" w:rsidRPr="00536A81">
        <w:t>.</w:t>
      </w:r>
    </w:p>
    <w:p w14:paraId="25CB3FDF" w14:textId="7DD8862C" w:rsidR="00536A81" w:rsidRPr="00715A9D" w:rsidRDefault="0029050E" w:rsidP="007811C8">
      <w:pPr>
        <w:pStyle w:val="font-claude-response-body"/>
        <w:spacing w:line="360" w:lineRule="auto"/>
        <w:jc w:val="both"/>
        <w:rPr>
          <w:rStyle w:val="Strong"/>
          <w:b w:val="0"/>
          <w:bCs w:val="0"/>
        </w:rPr>
      </w:pPr>
      <w:r w:rsidRPr="00536A81">
        <w:t>The Equifax breach is a useful case not because it represents an unusual or sophisticated attack, but because it does not. A publicly disclosed vulnerability, left unpatched for 78 days due to unclear accountability, was the entry point. The damage came from what happened after: 76 days of undetected access to an environment that trusted everything inside it. The programme designed here tries to take that honestly</w:t>
      </w:r>
      <w:r w:rsidR="009557CA">
        <w:t xml:space="preserve">: </w:t>
      </w:r>
      <w:r w:rsidRPr="00536A81">
        <w:t>clear governance with named owners, enforced policies with measurable SLAs, a complete picture of the asset estate, and technical controls calibrated to reduce both the likelihood of initial compromise and the blast radius when it occurs. Zero Trust does not eliminate risk. What it offers is a significantly better starting position: one that assumes breach will happen, limits what an attacker can accomplish when it does, and enforces the discipline that makes every other control more effective.</w:t>
      </w:r>
    </w:p>
    <w:p w14:paraId="684B0BF5" w14:textId="16300988" w:rsidR="00A91782" w:rsidRPr="00536A81" w:rsidRDefault="0029050E" w:rsidP="00BB2EDC">
      <w:pPr>
        <w:pStyle w:val="Heading1"/>
        <w:spacing w:line="360" w:lineRule="auto"/>
        <w:jc w:val="center"/>
        <w:rPr>
          <w:rStyle w:val="Strong"/>
          <w:rFonts w:ascii="Times New Roman" w:hAnsi="Times New Roman" w:cs="Times New Roman"/>
          <w:color w:val="000000" w:themeColor="text1"/>
          <w:sz w:val="36"/>
          <w:szCs w:val="36"/>
        </w:rPr>
      </w:pPr>
      <w:bookmarkStart w:id="36" w:name="_Toc235527139"/>
      <w:r w:rsidRPr="00536A81">
        <w:rPr>
          <w:rStyle w:val="Strong"/>
          <w:rFonts w:ascii="Times New Roman" w:hAnsi="Times New Roman" w:cs="Times New Roman"/>
          <w:color w:val="000000" w:themeColor="text1"/>
          <w:sz w:val="36"/>
          <w:szCs w:val="36"/>
        </w:rPr>
        <w:lastRenderedPageBreak/>
        <w:br/>
      </w:r>
      <w:bookmarkStart w:id="37" w:name="_Toc237297190"/>
      <w:r w:rsidR="00180E71" w:rsidRPr="00536A81">
        <w:rPr>
          <w:rStyle w:val="Strong"/>
          <w:rFonts w:ascii="Times New Roman" w:hAnsi="Times New Roman" w:cs="Times New Roman"/>
          <w:color w:val="000000" w:themeColor="text1"/>
          <w:sz w:val="36"/>
          <w:szCs w:val="36"/>
        </w:rPr>
        <w:t>REFERENCES</w:t>
      </w:r>
      <w:bookmarkEnd w:id="36"/>
      <w:bookmarkEnd w:id="37"/>
    </w:p>
    <w:p w14:paraId="586485CC" w14:textId="77777777" w:rsidR="00536A81" w:rsidRPr="00715A9D" w:rsidRDefault="00536A81" w:rsidP="007811C8">
      <w:pPr>
        <w:spacing w:line="360" w:lineRule="auto"/>
        <w:jc w:val="both"/>
        <w:rPr>
          <w:rFonts w:ascii="Times New Roman" w:hAnsi="Times New Roman" w:cs="Times New Roman"/>
        </w:rPr>
      </w:pPr>
    </w:p>
    <w:p w14:paraId="321564F8"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 xml:space="preserve">[1] J. Kindervag, S. </w:t>
      </w:r>
      <w:proofErr w:type="spellStart"/>
      <w:r w:rsidRPr="00715A9D">
        <w:rPr>
          <w:color w:val="000000"/>
        </w:rPr>
        <w:t>Balaouras</w:t>
      </w:r>
      <w:proofErr w:type="spellEnd"/>
      <w:r w:rsidRPr="00715A9D">
        <w:rPr>
          <w:color w:val="000000"/>
        </w:rPr>
        <w:t xml:space="preserve">, K. Mak and J. </w:t>
      </w:r>
      <w:proofErr w:type="spellStart"/>
      <w:r w:rsidRPr="00715A9D">
        <w:rPr>
          <w:color w:val="000000"/>
        </w:rPr>
        <w:t>Blackborow</w:t>
      </w:r>
      <w:proofErr w:type="spellEnd"/>
      <w:r w:rsidRPr="00715A9D">
        <w:rPr>
          <w:color w:val="000000"/>
        </w:rPr>
        <w:t xml:space="preserve">, "No more chewy </w:t>
      </w:r>
      <w:proofErr w:type="spellStart"/>
      <w:r w:rsidRPr="00715A9D">
        <w:rPr>
          <w:color w:val="000000"/>
        </w:rPr>
        <w:t>centers</w:t>
      </w:r>
      <w:proofErr w:type="spellEnd"/>
      <w:r w:rsidRPr="00715A9D">
        <w:rPr>
          <w:color w:val="000000"/>
        </w:rPr>
        <w:t>: The zero trust model of information security," vol. 23, 2016,</w:t>
      </w:r>
      <w:r w:rsidRPr="00715A9D">
        <w:rPr>
          <w:rStyle w:val="apple-converted-space"/>
          <w:color w:val="000000"/>
        </w:rPr>
        <w:t> </w:t>
      </w:r>
    </w:p>
    <w:p w14:paraId="79CF524F"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[2] R. Ward and B. Beyer, "</w:t>
      </w:r>
      <w:proofErr w:type="spellStart"/>
      <w:r w:rsidRPr="00715A9D">
        <w:rPr>
          <w:color w:val="000000"/>
        </w:rPr>
        <w:t>Beyondcorp</w:t>
      </w:r>
      <w:proofErr w:type="spellEnd"/>
      <w:r w:rsidRPr="00715A9D">
        <w:rPr>
          <w:color w:val="000000"/>
        </w:rPr>
        <w:t>: A new approach to enterprise security," vol. 39, no. 6, pp.6–11, 2014,</w:t>
      </w:r>
      <w:r w:rsidRPr="00715A9D">
        <w:rPr>
          <w:rStyle w:val="apple-converted-space"/>
          <w:color w:val="000000"/>
        </w:rPr>
        <w:t> </w:t>
      </w:r>
    </w:p>
    <w:p w14:paraId="2195A733"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[3] S. Rose, O. Borchert, S. Mitchell and S. Connelly, "Zero trust architecture," vol. 800, no. 207, pp.1–52, 2020,</w:t>
      </w:r>
      <w:r w:rsidRPr="00715A9D">
        <w:rPr>
          <w:rStyle w:val="apple-converted-space"/>
          <w:color w:val="000000"/>
        </w:rPr>
        <w:t> </w:t>
      </w:r>
    </w:p>
    <w:p w14:paraId="053C04CE"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 xml:space="preserve">[4] M. M. Igbokwe, D. Uzodinma, U. </w:t>
      </w:r>
      <w:proofErr w:type="spellStart"/>
      <w:r w:rsidRPr="00715A9D">
        <w:rPr>
          <w:color w:val="000000"/>
        </w:rPr>
        <w:t>Ibeawuchi</w:t>
      </w:r>
      <w:proofErr w:type="spellEnd"/>
      <w:r w:rsidRPr="00715A9D">
        <w:rPr>
          <w:color w:val="000000"/>
        </w:rPr>
        <w:t xml:space="preserve"> and U. V. Moses, "Responsible AI in Cloud Security: A Human-Centric Framework for Transparent Threat Detection and Identity Governance", in</w:t>
      </w:r>
      <w:r w:rsidRPr="00715A9D">
        <w:rPr>
          <w:rStyle w:val="apple-converted-space"/>
          <w:i/>
          <w:iCs/>
          <w:color w:val="000000"/>
        </w:rPr>
        <w:t> </w:t>
      </w:r>
      <w:proofErr w:type="spellStart"/>
      <w:r w:rsidRPr="00715A9D">
        <w:rPr>
          <w:i/>
          <w:iCs/>
          <w:color w:val="000000"/>
        </w:rPr>
        <w:t>SoutheastCon</w:t>
      </w:r>
      <w:proofErr w:type="spellEnd"/>
      <w:r w:rsidRPr="00715A9D">
        <w:rPr>
          <w:i/>
          <w:iCs/>
          <w:color w:val="000000"/>
        </w:rPr>
        <w:t xml:space="preserve"> 2026,</w:t>
      </w:r>
      <w:r w:rsidRPr="00715A9D">
        <w:rPr>
          <w:rStyle w:val="apple-converted-space"/>
          <w:i/>
          <w:iCs/>
          <w:color w:val="000000"/>
        </w:rPr>
        <w:t> </w:t>
      </w:r>
      <w:r w:rsidRPr="00715A9D">
        <w:rPr>
          <w:color w:val="000000"/>
        </w:rPr>
        <w:t>pp. 122–129.</w:t>
      </w:r>
      <w:r w:rsidRPr="00715A9D">
        <w:rPr>
          <w:rStyle w:val="apple-converted-space"/>
          <w:color w:val="000000"/>
        </w:rPr>
        <w:t> </w:t>
      </w:r>
    </w:p>
    <w:p w14:paraId="6A910BEE"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[5] S. Sarkar, G. Choudhary, S. K. Shandilya, A. Hussain and H. Kim, "Security of zero trust networks in cloud computing: A comparative review," vol. 14, no. 18, pp.11213, 2022,</w:t>
      </w:r>
      <w:r w:rsidRPr="00715A9D">
        <w:rPr>
          <w:rStyle w:val="apple-converted-space"/>
          <w:color w:val="000000"/>
        </w:rPr>
        <w:t> </w:t>
      </w:r>
    </w:p>
    <w:p w14:paraId="59839309"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[6] A. Rosén, "Achieving Zero Trust: A Strategic Roadmap for Phased Implementation of Zero Trust Architecture," 2025,</w:t>
      </w:r>
      <w:r w:rsidRPr="00715A9D">
        <w:rPr>
          <w:rStyle w:val="apple-converted-space"/>
          <w:color w:val="000000"/>
        </w:rPr>
        <w:t> </w:t>
      </w:r>
    </w:p>
    <w:p w14:paraId="27AC977D"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[7] M. Sadaf, M. Muhammad and M. M. Mujahid, "A systematic literature review on the implementation and challenges of zero trust architecture across domains," vol. 25, no. 19, pp.6118, 2025,</w:t>
      </w:r>
      <w:r w:rsidRPr="00715A9D">
        <w:rPr>
          <w:rStyle w:val="apple-converted-space"/>
          <w:color w:val="000000"/>
        </w:rPr>
        <w:t> </w:t>
      </w:r>
    </w:p>
    <w:p w14:paraId="233C5A5F"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[8] D. Barth and E. Gilman, "Zero trust networks: Building trusted systems in untrusted networks," 2017,</w:t>
      </w:r>
      <w:r w:rsidRPr="00715A9D">
        <w:rPr>
          <w:rStyle w:val="apple-converted-space"/>
          <w:color w:val="000000"/>
        </w:rPr>
        <w:t> </w:t>
      </w:r>
    </w:p>
    <w:p w14:paraId="5D63BEAF"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[9] M. Stuermer, "Technological Perspective on Digital Sovereignty," 2024,</w:t>
      </w:r>
      <w:r w:rsidRPr="00715A9D">
        <w:rPr>
          <w:rStyle w:val="apple-converted-space"/>
          <w:color w:val="000000"/>
        </w:rPr>
        <w:t> </w:t>
      </w:r>
    </w:p>
    <w:p w14:paraId="5697270D" w14:textId="77777777"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[10] C. Pascoe, S. Quinn and K. Scarfone, "The NIST cybersecurity framework (CSF) 2.0," 2024,</w:t>
      </w:r>
      <w:r w:rsidRPr="00715A9D">
        <w:rPr>
          <w:rStyle w:val="apple-converted-space"/>
          <w:color w:val="000000"/>
        </w:rPr>
        <w:t> </w:t>
      </w:r>
    </w:p>
    <w:p w14:paraId="7FC1F1A4" w14:textId="1088B459" w:rsidR="00123F2C" w:rsidRPr="00715A9D" w:rsidRDefault="00123F2C" w:rsidP="007811C8">
      <w:pPr>
        <w:pStyle w:val="NormalWeb"/>
        <w:spacing w:before="0" w:beforeAutospacing="0" w:after="173" w:afterAutospacing="0" w:line="360" w:lineRule="auto"/>
        <w:ind w:left="450" w:hanging="450"/>
        <w:jc w:val="both"/>
        <w:rPr>
          <w:color w:val="000000" w:themeColor="text1"/>
        </w:rPr>
      </w:pPr>
      <w:r w:rsidRPr="00715A9D">
        <w:rPr>
          <w:color w:val="000000"/>
        </w:rPr>
        <w:t>[</w:t>
      </w:r>
      <w:r w:rsidRPr="00715A9D">
        <w:rPr>
          <w:color w:val="000000" w:themeColor="text1"/>
        </w:rPr>
        <w:t xml:space="preserve">11] </w:t>
      </w:r>
      <w:r w:rsidR="007D05A0" w:rsidRPr="00715A9D">
        <w:rPr>
          <w:color w:val="000000"/>
          <w:shd w:val="clear" w:color="auto" w:fill="FFFFFF"/>
        </w:rPr>
        <w:t>D. Protection, Actions Taken by Equifax and Federal Agencies in Response to the 2017 Breach," 2018,</w:t>
      </w:r>
    </w:p>
    <w:p w14:paraId="4E600B33" w14:textId="5A50F3FD" w:rsidR="00123F2C" w:rsidRPr="00715A9D" w:rsidRDefault="00123F2C" w:rsidP="007811C8">
      <w:pPr>
        <w:pStyle w:val="NormalWeb"/>
        <w:spacing w:before="0" w:beforeAutospacing="0" w:after="173" w:afterAutospacing="0" w:line="360" w:lineRule="auto"/>
        <w:ind w:left="450" w:hanging="450"/>
        <w:jc w:val="both"/>
        <w:rPr>
          <w:color w:val="000000" w:themeColor="text1"/>
        </w:rPr>
      </w:pPr>
      <w:r w:rsidRPr="00715A9D">
        <w:rPr>
          <w:color w:val="000000" w:themeColor="text1"/>
        </w:rPr>
        <w:t xml:space="preserve">[12] J. Gider, L. </w:t>
      </w:r>
      <w:proofErr w:type="spellStart"/>
      <w:r w:rsidRPr="00715A9D">
        <w:rPr>
          <w:color w:val="000000" w:themeColor="text1"/>
        </w:rPr>
        <w:t>Renneboog</w:t>
      </w:r>
      <w:proofErr w:type="spellEnd"/>
      <w:r w:rsidRPr="00715A9D">
        <w:rPr>
          <w:color w:val="000000" w:themeColor="text1"/>
        </w:rPr>
        <w:t xml:space="preserve"> and T Strauss, "The Regulation of Data Privacy and Cybersecurity," no. 853, 2025,</w:t>
      </w:r>
      <w:r w:rsidRPr="00715A9D">
        <w:rPr>
          <w:rStyle w:val="apple-converted-space"/>
          <w:color w:val="000000" w:themeColor="text1"/>
        </w:rPr>
        <w:t> </w:t>
      </w:r>
    </w:p>
    <w:p w14:paraId="64974E0A" w14:textId="01622408" w:rsidR="00F45B45" w:rsidRDefault="00123F2C" w:rsidP="007811C8">
      <w:pPr>
        <w:pStyle w:val="NormalWeb"/>
        <w:spacing w:before="0" w:beforeAutospacing="0" w:after="173" w:afterAutospacing="0" w:line="360" w:lineRule="auto"/>
        <w:ind w:left="450" w:hanging="450"/>
        <w:jc w:val="both"/>
        <w:rPr>
          <w:color w:val="000000"/>
        </w:rPr>
      </w:pPr>
      <w:r w:rsidRPr="00715A9D">
        <w:rPr>
          <w:color w:val="000000" w:themeColor="text1"/>
        </w:rPr>
        <w:t xml:space="preserve">[13] </w:t>
      </w:r>
      <w:r w:rsidR="009557CA">
        <w:t>A. Cortina, "Beyond a Techno-Centric Vision of Cybersecurity,"</w:t>
      </w:r>
    </w:p>
    <w:p w14:paraId="2585B144" w14:textId="0BAC1B13" w:rsidR="00123F2C"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lastRenderedPageBreak/>
        <w:t>[14] R. W. Anwar, F. Pastore and T. Abdullah, "VIRTUOSO: A Multilayer Cloud Security and Risk Management Framework," vol. 15, no. 5, pp.272, 2026,</w:t>
      </w:r>
      <w:r w:rsidRPr="00715A9D">
        <w:rPr>
          <w:rStyle w:val="apple-converted-space"/>
          <w:color w:val="000000"/>
        </w:rPr>
        <w:t> </w:t>
      </w:r>
    </w:p>
    <w:p w14:paraId="03C7D536" w14:textId="08CBC673" w:rsidR="00180E71" w:rsidRPr="00715A9D" w:rsidRDefault="00123F2C" w:rsidP="007811C8">
      <w:pPr>
        <w:pStyle w:val="NormalWeb"/>
        <w:spacing w:before="0" w:beforeAutospacing="0" w:after="173" w:afterAutospacing="0" w:line="360" w:lineRule="auto"/>
        <w:ind w:left="450" w:hanging="450"/>
        <w:jc w:val="both"/>
        <w:rPr>
          <w:color w:val="000000"/>
        </w:rPr>
      </w:pPr>
      <w:r w:rsidRPr="00715A9D">
        <w:rPr>
          <w:color w:val="000000"/>
        </w:rPr>
        <w:t>[15] L. Alevizos, M. H. Eiza, V. T. Ta, Q. Shi and J. Read, "Blockchain-enabled intrusion detection and prevention system of APTs within zero trust architecture," vol. 10, pp.89270–89288, 2022,</w:t>
      </w:r>
    </w:p>
    <w:p w14:paraId="2EBAF18B" w14:textId="1CE15339" w:rsidR="00A225BE" w:rsidRPr="00715A9D" w:rsidRDefault="00A225BE" w:rsidP="009557CA">
      <w:pPr>
        <w:pStyle w:val="font-claude-response-body"/>
      </w:pPr>
      <w:r w:rsidRPr="00715A9D">
        <w:t>[16]</w:t>
      </w:r>
      <w:r w:rsidR="009557CA">
        <w:rPr>
          <w:color w:val="000000"/>
          <w:shd w:val="clear" w:color="auto" w:fill="FFFFFF"/>
        </w:rPr>
        <w:t xml:space="preserve"> </w:t>
      </w:r>
      <w:r w:rsidR="009557CA">
        <w:t xml:space="preserve">G. S. Gaglione Jr., "The </w:t>
      </w:r>
      <w:proofErr w:type="spellStart"/>
      <w:r w:rsidR="009557CA">
        <w:t>equifax</w:t>
      </w:r>
      <w:proofErr w:type="spellEnd"/>
      <w:r w:rsidR="009557CA">
        <w:t xml:space="preserve"> data breach: an opportunity to improve consumer protection and cybersecurity efforts in America," vol. 67, pp.1133, 2019,</w:t>
      </w:r>
    </w:p>
    <w:p w14:paraId="54D136C3" w14:textId="2F4B4090" w:rsidR="00A225BE" w:rsidRPr="00715A9D" w:rsidRDefault="00A225BE" w:rsidP="007811C8">
      <w:pPr>
        <w:pStyle w:val="font-claude-response-body"/>
        <w:spacing w:line="360" w:lineRule="auto"/>
        <w:jc w:val="both"/>
      </w:pPr>
      <w:r w:rsidRPr="00715A9D">
        <w:t xml:space="preserve">[17] </w:t>
      </w:r>
      <w:r w:rsidR="009557CA">
        <w:t xml:space="preserve">A. Nappa, R. Johnson, L. Bilge, J. Caballero and T. </w:t>
      </w:r>
      <w:proofErr w:type="spellStart"/>
      <w:r w:rsidR="009557CA">
        <w:t>Dumitras</w:t>
      </w:r>
      <w:proofErr w:type="spellEnd"/>
      <w:r w:rsidR="009557CA">
        <w:t>, "The attack of the clones: A study of the impact of shared code on vulnerability patching," in 2015 IEEE symposium on security and privacy, pp. 692–708.</w:t>
      </w:r>
    </w:p>
    <w:p w14:paraId="0AB97A37" w14:textId="77777777" w:rsidR="00A225BE" w:rsidRPr="00715A9D" w:rsidRDefault="00A225BE" w:rsidP="007811C8">
      <w:pPr>
        <w:pStyle w:val="NormalWeb"/>
        <w:spacing w:before="0" w:beforeAutospacing="0" w:after="173" w:afterAutospacing="0" w:line="360" w:lineRule="auto"/>
        <w:ind w:left="450" w:hanging="450"/>
        <w:jc w:val="both"/>
        <w:rPr>
          <w:color w:val="000000"/>
        </w:rPr>
      </w:pPr>
    </w:p>
    <w:sectPr w:rsidR="00A225BE" w:rsidRPr="00715A9D" w:rsidSect="00B028BD">
      <w:footerReference w:type="default" r:id="rId9"/>
      <w:pgSz w:w="11906" w:h="16838"/>
      <w:pgMar w:top="810" w:right="1440" w:bottom="1381"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8DD1799" w14:textId="77777777" w:rsidR="00894866" w:rsidRDefault="00894866" w:rsidP="00B33957">
      <w:pPr>
        <w:spacing w:after="0" w:line="240" w:lineRule="auto"/>
      </w:pPr>
      <w:r>
        <w:separator/>
      </w:r>
    </w:p>
  </w:endnote>
  <w:endnote w:type="continuationSeparator" w:id="0">
    <w:p w14:paraId="6F7D57CD" w14:textId="77777777" w:rsidR="00894866" w:rsidRDefault="00894866" w:rsidP="00B33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24F855" w14:textId="77777777" w:rsidR="00BA22B6" w:rsidRDefault="00BA22B6">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B879497" w14:textId="77777777" w:rsidR="00B33957" w:rsidRDefault="00B33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C096D5B" w14:textId="77777777" w:rsidR="00894866" w:rsidRDefault="00894866" w:rsidP="00B33957">
      <w:pPr>
        <w:spacing w:after="0" w:line="240" w:lineRule="auto"/>
      </w:pPr>
      <w:r>
        <w:separator/>
      </w:r>
    </w:p>
  </w:footnote>
  <w:footnote w:type="continuationSeparator" w:id="0">
    <w:p w14:paraId="3E410849" w14:textId="77777777" w:rsidR="00894866" w:rsidRDefault="00894866" w:rsidP="00B33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E1E5F75"/>
    <w:multiLevelType w:val="hybridMultilevel"/>
    <w:tmpl w:val="13CCE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363C2"/>
    <w:multiLevelType w:val="multilevel"/>
    <w:tmpl w:val="9E0EE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AED5D9E"/>
    <w:multiLevelType w:val="hybridMultilevel"/>
    <w:tmpl w:val="97F28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631004">
    <w:abstractNumId w:val="1"/>
  </w:num>
  <w:num w:numId="2" w16cid:durableId="1852068206">
    <w:abstractNumId w:val="0"/>
  </w:num>
  <w:num w:numId="3" w16cid:durableId="123616689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55C"/>
    <w:rsid w:val="00020F76"/>
    <w:rsid w:val="00063CD4"/>
    <w:rsid w:val="000761A0"/>
    <w:rsid w:val="000854DD"/>
    <w:rsid w:val="000A756A"/>
    <w:rsid w:val="000F4FC4"/>
    <w:rsid w:val="001166D0"/>
    <w:rsid w:val="00123F2C"/>
    <w:rsid w:val="00132C15"/>
    <w:rsid w:val="00143307"/>
    <w:rsid w:val="0017122C"/>
    <w:rsid w:val="00180E71"/>
    <w:rsid w:val="0018383F"/>
    <w:rsid w:val="00193660"/>
    <w:rsid w:val="001A5F5F"/>
    <w:rsid w:val="001B40EA"/>
    <w:rsid w:val="001D25B8"/>
    <w:rsid w:val="001D39FE"/>
    <w:rsid w:val="00200391"/>
    <w:rsid w:val="002112BF"/>
    <w:rsid w:val="00220360"/>
    <w:rsid w:val="0022077C"/>
    <w:rsid w:val="002341DC"/>
    <w:rsid w:val="00261839"/>
    <w:rsid w:val="0029050E"/>
    <w:rsid w:val="0029108E"/>
    <w:rsid w:val="00292A0E"/>
    <w:rsid w:val="00293817"/>
    <w:rsid w:val="00297518"/>
    <w:rsid w:val="002A1788"/>
    <w:rsid w:val="002D7551"/>
    <w:rsid w:val="002E55D0"/>
    <w:rsid w:val="002F55FA"/>
    <w:rsid w:val="003003ED"/>
    <w:rsid w:val="003139CF"/>
    <w:rsid w:val="003205EE"/>
    <w:rsid w:val="00350F7C"/>
    <w:rsid w:val="003522AB"/>
    <w:rsid w:val="00361587"/>
    <w:rsid w:val="00375953"/>
    <w:rsid w:val="004205E9"/>
    <w:rsid w:val="00437BCD"/>
    <w:rsid w:val="00447891"/>
    <w:rsid w:val="00482778"/>
    <w:rsid w:val="004865C1"/>
    <w:rsid w:val="00494C69"/>
    <w:rsid w:val="004A2F09"/>
    <w:rsid w:val="004D2CC7"/>
    <w:rsid w:val="004E13B5"/>
    <w:rsid w:val="00516A76"/>
    <w:rsid w:val="00536A81"/>
    <w:rsid w:val="00542B1C"/>
    <w:rsid w:val="005432E6"/>
    <w:rsid w:val="0056374F"/>
    <w:rsid w:val="005876A0"/>
    <w:rsid w:val="005901B1"/>
    <w:rsid w:val="005937F1"/>
    <w:rsid w:val="005963D1"/>
    <w:rsid w:val="005A29DD"/>
    <w:rsid w:val="005A32EE"/>
    <w:rsid w:val="005B3FEC"/>
    <w:rsid w:val="005B7F77"/>
    <w:rsid w:val="005C3A94"/>
    <w:rsid w:val="005D5E99"/>
    <w:rsid w:val="00650FC7"/>
    <w:rsid w:val="006623E0"/>
    <w:rsid w:val="00674DA5"/>
    <w:rsid w:val="00676549"/>
    <w:rsid w:val="0068742C"/>
    <w:rsid w:val="006A2EC6"/>
    <w:rsid w:val="006D62AE"/>
    <w:rsid w:val="006E4374"/>
    <w:rsid w:val="006F599F"/>
    <w:rsid w:val="007065DA"/>
    <w:rsid w:val="00715A9D"/>
    <w:rsid w:val="00735F49"/>
    <w:rsid w:val="007811C8"/>
    <w:rsid w:val="007A695F"/>
    <w:rsid w:val="007B758D"/>
    <w:rsid w:val="007D05A0"/>
    <w:rsid w:val="007E6F32"/>
    <w:rsid w:val="007F3CF6"/>
    <w:rsid w:val="00816FC2"/>
    <w:rsid w:val="00852A14"/>
    <w:rsid w:val="0085590E"/>
    <w:rsid w:val="00885D8C"/>
    <w:rsid w:val="00891408"/>
    <w:rsid w:val="00894866"/>
    <w:rsid w:val="008A76DD"/>
    <w:rsid w:val="008B353D"/>
    <w:rsid w:val="008D13C7"/>
    <w:rsid w:val="008E31DF"/>
    <w:rsid w:val="008F232B"/>
    <w:rsid w:val="00910D71"/>
    <w:rsid w:val="009217A3"/>
    <w:rsid w:val="00930107"/>
    <w:rsid w:val="009438BF"/>
    <w:rsid w:val="00952809"/>
    <w:rsid w:val="009557CA"/>
    <w:rsid w:val="00976D2B"/>
    <w:rsid w:val="009A326D"/>
    <w:rsid w:val="009A6A0D"/>
    <w:rsid w:val="009C2DE9"/>
    <w:rsid w:val="009C571D"/>
    <w:rsid w:val="009D3879"/>
    <w:rsid w:val="009E3C3E"/>
    <w:rsid w:val="009F1260"/>
    <w:rsid w:val="009F2204"/>
    <w:rsid w:val="009F2F9E"/>
    <w:rsid w:val="00A225BE"/>
    <w:rsid w:val="00A32C40"/>
    <w:rsid w:val="00A406DC"/>
    <w:rsid w:val="00A56C83"/>
    <w:rsid w:val="00A71190"/>
    <w:rsid w:val="00A91782"/>
    <w:rsid w:val="00AA14AA"/>
    <w:rsid w:val="00AC21E8"/>
    <w:rsid w:val="00AC225F"/>
    <w:rsid w:val="00B028BD"/>
    <w:rsid w:val="00B10ED0"/>
    <w:rsid w:val="00B33957"/>
    <w:rsid w:val="00B412F2"/>
    <w:rsid w:val="00B45913"/>
    <w:rsid w:val="00B45A27"/>
    <w:rsid w:val="00B558CC"/>
    <w:rsid w:val="00B73DEA"/>
    <w:rsid w:val="00B94098"/>
    <w:rsid w:val="00B97602"/>
    <w:rsid w:val="00BA00E1"/>
    <w:rsid w:val="00BA22B6"/>
    <w:rsid w:val="00BB2EDC"/>
    <w:rsid w:val="00BB7104"/>
    <w:rsid w:val="00BE7503"/>
    <w:rsid w:val="00C106FB"/>
    <w:rsid w:val="00C41F30"/>
    <w:rsid w:val="00C51F0E"/>
    <w:rsid w:val="00C53A0F"/>
    <w:rsid w:val="00C823DC"/>
    <w:rsid w:val="00C93C6A"/>
    <w:rsid w:val="00CA1490"/>
    <w:rsid w:val="00CB7225"/>
    <w:rsid w:val="00CB7BB3"/>
    <w:rsid w:val="00CD55B9"/>
    <w:rsid w:val="00CE5930"/>
    <w:rsid w:val="00D0287A"/>
    <w:rsid w:val="00D04452"/>
    <w:rsid w:val="00D37DC5"/>
    <w:rsid w:val="00D431C0"/>
    <w:rsid w:val="00D86FAA"/>
    <w:rsid w:val="00DA2110"/>
    <w:rsid w:val="00DA2D4C"/>
    <w:rsid w:val="00DB742E"/>
    <w:rsid w:val="00DC0322"/>
    <w:rsid w:val="00E152F5"/>
    <w:rsid w:val="00E270D3"/>
    <w:rsid w:val="00E4173E"/>
    <w:rsid w:val="00E44461"/>
    <w:rsid w:val="00E53625"/>
    <w:rsid w:val="00E56F0C"/>
    <w:rsid w:val="00E64EEE"/>
    <w:rsid w:val="00E8780A"/>
    <w:rsid w:val="00EB0A90"/>
    <w:rsid w:val="00EC70C5"/>
    <w:rsid w:val="00EF7D1B"/>
    <w:rsid w:val="00F16543"/>
    <w:rsid w:val="00F36ACE"/>
    <w:rsid w:val="00F45B45"/>
    <w:rsid w:val="00F52F31"/>
    <w:rsid w:val="00F53965"/>
    <w:rsid w:val="00F55FF9"/>
    <w:rsid w:val="00F62187"/>
    <w:rsid w:val="00F83A6D"/>
    <w:rsid w:val="00F9423E"/>
    <w:rsid w:val="00F96E38"/>
    <w:rsid w:val="00FC655C"/>
    <w:rsid w:val="00FC76D2"/>
    <w:rsid w:val="00FD03F1"/>
    <w:rsid w:val="00FD4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4662F"/>
  <w15:chartTrackingRefBased/>
  <w15:docId w15:val="{D05284C5-3B34-1D49-87A0-6698A6544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5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65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65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C65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65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65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65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65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65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5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65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65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C65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65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6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6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6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655C"/>
    <w:rPr>
      <w:rFonts w:eastAsiaTheme="majorEastAsia" w:cstheme="majorBidi"/>
      <w:color w:val="272727" w:themeColor="text1" w:themeTint="D8"/>
    </w:rPr>
  </w:style>
  <w:style w:type="paragraph" w:styleId="Title">
    <w:name w:val="Title"/>
    <w:basedOn w:val="Normal"/>
    <w:next w:val="Normal"/>
    <w:link w:val="TitleChar"/>
    <w:uiPriority w:val="10"/>
    <w:qFormat/>
    <w:rsid w:val="00FC65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65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6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655C"/>
    <w:pPr>
      <w:spacing w:before="160"/>
      <w:jc w:val="center"/>
    </w:pPr>
    <w:rPr>
      <w:i/>
      <w:iCs/>
      <w:color w:val="404040" w:themeColor="text1" w:themeTint="BF"/>
    </w:rPr>
  </w:style>
  <w:style w:type="character" w:customStyle="1" w:styleId="QuoteChar">
    <w:name w:val="Quote Char"/>
    <w:basedOn w:val="DefaultParagraphFont"/>
    <w:link w:val="Quote"/>
    <w:uiPriority w:val="29"/>
    <w:rsid w:val="00FC655C"/>
    <w:rPr>
      <w:i/>
      <w:iCs/>
      <w:color w:val="404040" w:themeColor="text1" w:themeTint="BF"/>
    </w:rPr>
  </w:style>
  <w:style w:type="paragraph" w:styleId="ListParagraph">
    <w:name w:val="List Paragraph"/>
    <w:basedOn w:val="Normal"/>
    <w:uiPriority w:val="34"/>
    <w:qFormat/>
    <w:rsid w:val="00FC655C"/>
    <w:pPr>
      <w:ind w:left="720"/>
      <w:contextualSpacing/>
    </w:pPr>
  </w:style>
  <w:style w:type="character" w:styleId="IntenseEmphasis">
    <w:name w:val="Intense Emphasis"/>
    <w:basedOn w:val="DefaultParagraphFont"/>
    <w:uiPriority w:val="21"/>
    <w:qFormat/>
    <w:rsid w:val="00FC655C"/>
    <w:rPr>
      <w:i/>
      <w:iCs/>
      <w:color w:val="0F4761" w:themeColor="accent1" w:themeShade="BF"/>
    </w:rPr>
  </w:style>
  <w:style w:type="paragraph" w:styleId="IntenseQuote">
    <w:name w:val="Intense Quote"/>
    <w:basedOn w:val="Normal"/>
    <w:next w:val="Normal"/>
    <w:link w:val="IntenseQuoteChar"/>
    <w:uiPriority w:val="30"/>
    <w:qFormat/>
    <w:rsid w:val="00FC65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655C"/>
    <w:rPr>
      <w:i/>
      <w:iCs/>
      <w:color w:val="0F4761" w:themeColor="accent1" w:themeShade="BF"/>
    </w:rPr>
  </w:style>
  <w:style w:type="character" w:styleId="IntenseReference">
    <w:name w:val="Intense Reference"/>
    <w:basedOn w:val="DefaultParagraphFont"/>
    <w:uiPriority w:val="32"/>
    <w:qFormat/>
    <w:rsid w:val="00FC655C"/>
    <w:rPr>
      <w:b/>
      <w:bCs/>
      <w:smallCaps/>
      <w:color w:val="0F4761" w:themeColor="accent1" w:themeShade="BF"/>
      <w:spacing w:val="5"/>
    </w:rPr>
  </w:style>
  <w:style w:type="paragraph" w:customStyle="1" w:styleId="p1">
    <w:name w:val="p1"/>
    <w:basedOn w:val="Normal"/>
    <w:rsid w:val="00261839"/>
    <w:pPr>
      <w:spacing w:after="0" w:line="240" w:lineRule="auto"/>
    </w:pPr>
    <w:rPr>
      <w:rFonts w:ascii="Helvetica" w:eastAsia="Times New Roman" w:hAnsi="Helvetica" w:cs="Times New Roman"/>
      <w:color w:val="000000"/>
      <w:kern w:val="0"/>
      <w:lang w:eastAsia="en-GB"/>
      <w14:ligatures w14:val="none"/>
    </w:rPr>
  </w:style>
  <w:style w:type="paragraph" w:styleId="NoSpacing">
    <w:name w:val="No Spacing"/>
    <w:link w:val="NoSpacingChar"/>
    <w:uiPriority w:val="1"/>
    <w:qFormat/>
    <w:rsid w:val="009C571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C571D"/>
    <w:rPr>
      <w:rFonts w:eastAsiaTheme="minorEastAsia"/>
      <w:kern w:val="0"/>
      <w:sz w:val="22"/>
      <w:szCs w:val="22"/>
      <w:lang w:val="en-US" w:eastAsia="zh-CN"/>
      <w14:ligatures w14:val="none"/>
    </w:rPr>
  </w:style>
  <w:style w:type="paragraph" w:customStyle="1" w:styleId="font-claude-response-body">
    <w:name w:val="font-claude-response-body"/>
    <w:basedOn w:val="Normal"/>
    <w:rsid w:val="000A75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A756A"/>
    <w:rPr>
      <w:b/>
      <w:bCs/>
    </w:rPr>
  </w:style>
  <w:style w:type="character" w:styleId="Emphasis">
    <w:name w:val="Emphasis"/>
    <w:basedOn w:val="DefaultParagraphFont"/>
    <w:uiPriority w:val="20"/>
    <w:qFormat/>
    <w:rsid w:val="000A756A"/>
    <w:rPr>
      <w:i/>
      <w:iCs/>
    </w:rPr>
  </w:style>
  <w:style w:type="character" w:styleId="Hyperlink">
    <w:name w:val="Hyperlink"/>
    <w:basedOn w:val="DefaultParagraphFont"/>
    <w:uiPriority w:val="99"/>
    <w:unhideWhenUsed/>
    <w:rsid w:val="000A756A"/>
    <w:rPr>
      <w:color w:val="0000FF"/>
      <w:u w:val="single"/>
    </w:rPr>
  </w:style>
  <w:style w:type="character" w:customStyle="1" w:styleId="animatingyu34g10">
    <w:name w:val="_animating_yu34g_10"/>
    <w:basedOn w:val="DefaultParagraphFont"/>
    <w:rsid w:val="00D37DC5"/>
  </w:style>
  <w:style w:type="character" w:customStyle="1" w:styleId="truncate">
    <w:name w:val="truncate"/>
    <w:basedOn w:val="DefaultParagraphFont"/>
    <w:rsid w:val="00CD55B9"/>
  </w:style>
  <w:style w:type="character" w:customStyle="1" w:styleId="inline-flex">
    <w:name w:val="inline-flex"/>
    <w:basedOn w:val="DefaultParagraphFont"/>
    <w:rsid w:val="00CD55B9"/>
  </w:style>
  <w:style w:type="character" w:customStyle="1" w:styleId="sr-only">
    <w:name w:val="sr-only"/>
    <w:basedOn w:val="DefaultParagraphFont"/>
    <w:rsid w:val="00CD55B9"/>
  </w:style>
  <w:style w:type="paragraph" w:styleId="NormalWeb">
    <w:name w:val="Normal (Web)"/>
    <w:basedOn w:val="Normal"/>
    <w:uiPriority w:val="99"/>
    <w:unhideWhenUsed/>
    <w:rsid w:val="00E56F0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GridTable1Light">
    <w:name w:val="Grid Table 1 Light"/>
    <w:basedOn w:val="TableNormal"/>
    <w:uiPriority w:val="46"/>
    <w:rsid w:val="005876A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4446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44461"/>
    <w:pPr>
      <w:spacing w:before="360" w:after="360"/>
    </w:pPr>
    <w:rPr>
      <w:b/>
      <w:bCs/>
      <w:caps/>
      <w:sz w:val="22"/>
      <w:szCs w:val="22"/>
      <w:u w:val="single"/>
    </w:rPr>
  </w:style>
  <w:style w:type="paragraph" w:styleId="TOC2">
    <w:name w:val="toc 2"/>
    <w:basedOn w:val="Normal"/>
    <w:next w:val="Normal"/>
    <w:autoRedefine/>
    <w:uiPriority w:val="39"/>
    <w:unhideWhenUsed/>
    <w:rsid w:val="00E44461"/>
    <w:pPr>
      <w:spacing w:after="0"/>
    </w:pPr>
    <w:rPr>
      <w:b/>
      <w:bCs/>
      <w:smallCaps/>
      <w:sz w:val="22"/>
      <w:szCs w:val="22"/>
    </w:rPr>
  </w:style>
  <w:style w:type="paragraph" w:styleId="TOC3">
    <w:name w:val="toc 3"/>
    <w:basedOn w:val="Normal"/>
    <w:next w:val="Normal"/>
    <w:autoRedefine/>
    <w:uiPriority w:val="39"/>
    <w:unhideWhenUsed/>
    <w:rsid w:val="00E44461"/>
    <w:pPr>
      <w:spacing w:after="0"/>
    </w:pPr>
    <w:rPr>
      <w:smallCaps/>
      <w:sz w:val="22"/>
      <w:szCs w:val="22"/>
    </w:rPr>
  </w:style>
  <w:style w:type="paragraph" w:styleId="TOC4">
    <w:name w:val="toc 4"/>
    <w:basedOn w:val="Normal"/>
    <w:next w:val="Normal"/>
    <w:autoRedefine/>
    <w:uiPriority w:val="39"/>
    <w:semiHidden/>
    <w:unhideWhenUsed/>
    <w:rsid w:val="00E44461"/>
    <w:pPr>
      <w:spacing w:after="0"/>
    </w:pPr>
    <w:rPr>
      <w:sz w:val="22"/>
      <w:szCs w:val="22"/>
    </w:rPr>
  </w:style>
  <w:style w:type="paragraph" w:styleId="TOC5">
    <w:name w:val="toc 5"/>
    <w:basedOn w:val="Normal"/>
    <w:next w:val="Normal"/>
    <w:autoRedefine/>
    <w:uiPriority w:val="39"/>
    <w:semiHidden/>
    <w:unhideWhenUsed/>
    <w:rsid w:val="00E44461"/>
    <w:pPr>
      <w:spacing w:after="0"/>
    </w:pPr>
    <w:rPr>
      <w:sz w:val="22"/>
      <w:szCs w:val="22"/>
    </w:rPr>
  </w:style>
  <w:style w:type="paragraph" w:styleId="TOC6">
    <w:name w:val="toc 6"/>
    <w:basedOn w:val="Normal"/>
    <w:next w:val="Normal"/>
    <w:autoRedefine/>
    <w:uiPriority w:val="39"/>
    <w:semiHidden/>
    <w:unhideWhenUsed/>
    <w:rsid w:val="00E44461"/>
    <w:pPr>
      <w:spacing w:after="0"/>
    </w:pPr>
    <w:rPr>
      <w:sz w:val="22"/>
      <w:szCs w:val="22"/>
    </w:rPr>
  </w:style>
  <w:style w:type="paragraph" w:styleId="TOC7">
    <w:name w:val="toc 7"/>
    <w:basedOn w:val="Normal"/>
    <w:next w:val="Normal"/>
    <w:autoRedefine/>
    <w:uiPriority w:val="39"/>
    <w:semiHidden/>
    <w:unhideWhenUsed/>
    <w:rsid w:val="00E44461"/>
    <w:pPr>
      <w:spacing w:after="0"/>
    </w:pPr>
    <w:rPr>
      <w:sz w:val="22"/>
      <w:szCs w:val="22"/>
    </w:rPr>
  </w:style>
  <w:style w:type="paragraph" w:styleId="TOC8">
    <w:name w:val="toc 8"/>
    <w:basedOn w:val="Normal"/>
    <w:next w:val="Normal"/>
    <w:autoRedefine/>
    <w:uiPriority w:val="39"/>
    <w:semiHidden/>
    <w:unhideWhenUsed/>
    <w:rsid w:val="00E44461"/>
    <w:pPr>
      <w:spacing w:after="0"/>
    </w:pPr>
    <w:rPr>
      <w:sz w:val="22"/>
      <w:szCs w:val="22"/>
    </w:rPr>
  </w:style>
  <w:style w:type="paragraph" w:styleId="TOC9">
    <w:name w:val="toc 9"/>
    <w:basedOn w:val="Normal"/>
    <w:next w:val="Normal"/>
    <w:autoRedefine/>
    <w:uiPriority w:val="39"/>
    <w:semiHidden/>
    <w:unhideWhenUsed/>
    <w:rsid w:val="00E44461"/>
    <w:pPr>
      <w:spacing w:after="0"/>
    </w:pPr>
    <w:rPr>
      <w:sz w:val="22"/>
      <w:szCs w:val="22"/>
    </w:rPr>
  </w:style>
  <w:style w:type="paragraph" w:styleId="Header">
    <w:name w:val="header"/>
    <w:basedOn w:val="Normal"/>
    <w:link w:val="HeaderChar"/>
    <w:uiPriority w:val="99"/>
    <w:unhideWhenUsed/>
    <w:rsid w:val="00B33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957"/>
  </w:style>
  <w:style w:type="paragraph" w:styleId="Footer">
    <w:name w:val="footer"/>
    <w:basedOn w:val="Normal"/>
    <w:link w:val="FooterChar"/>
    <w:uiPriority w:val="99"/>
    <w:unhideWhenUsed/>
    <w:rsid w:val="00B33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957"/>
  </w:style>
  <w:style w:type="character" w:styleId="PlaceholderText">
    <w:name w:val="Placeholder Text"/>
    <w:basedOn w:val="DefaultParagraphFont"/>
    <w:uiPriority w:val="99"/>
    <w:semiHidden/>
    <w:rsid w:val="007B758D"/>
    <w:rPr>
      <w:color w:val="666666"/>
    </w:rPr>
  </w:style>
  <w:style w:type="character" w:customStyle="1" w:styleId="apple-converted-space">
    <w:name w:val="apple-converted-space"/>
    <w:basedOn w:val="DefaultParagraphFont"/>
    <w:rsid w:val="00D04452"/>
  </w:style>
  <w:style w:type="table" w:styleId="PlainTable5">
    <w:name w:val="Plain Table 5"/>
    <w:basedOn w:val="TableNormal"/>
    <w:uiPriority w:val="45"/>
    <w:rsid w:val="007D05A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7D09C26C02AAC247AB6563C0D16E8C0E"/>
        <w:category>
          <w:name w:val="General"/>
          <w:gallery w:val="placeholder"/>
        </w:category>
        <w:types>
          <w:type w:val="bbPlcHdr"/>
        </w:types>
        <w:behaviors>
          <w:behavior w:val="content"/>
        </w:behaviors>
        <w:guid w:val="{D6FC719B-C3F8-6F48-83F9-C1386420CDE0}"/>
      </w:docPartPr>
      <w:docPartBody>
        <w:p w:rsidR="00B63B2D" w:rsidRDefault="004C07F4">
          <w:r w:rsidRPr="007E26A4">
            <w:rPr>
              <w:rStyle w:val="PlaceholderText"/>
            </w:rPr>
            <w:t>Formatting...</w:t>
          </w:r>
        </w:p>
      </w:docPartBody>
    </w:docPart>
    <w:docPart>
      <w:docPartPr>
        <w:name w:val="297E9AE215E1DE4ABDCFAF928203939E"/>
        <w:category>
          <w:name w:val="General"/>
          <w:gallery w:val="placeholder"/>
        </w:category>
        <w:types>
          <w:type w:val="bbPlcHdr"/>
        </w:types>
        <w:behaviors>
          <w:behavior w:val="content"/>
        </w:behaviors>
        <w:guid w:val="{24179FF7-CE61-8742-87A3-634B7B5B9B51}"/>
      </w:docPartPr>
      <w:docPartBody>
        <w:p w:rsidR="00B63B2D" w:rsidRDefault="004C07F4">
          <w:r w:rsidRPr="007E26A4">
            <w:rPr>
              <w:rStyle w:val="PlaceholderText"/>
            </w:rPr>
            <w:t>Formatting...</w:t>
          </w:r>
        </w:p>
      </w:docPartBody>
    </w:docPart>
    <w:docPart>
      <w:docPartPr>
        <w:name w:val="EFF3CB1CCF6EE9448EE7E852A80D4367"/>
        <w:category>
          <w:name w:val="General"/>
          <w:gallery w:val="placeholder"/>
        </w:category>
        <w:types>
          <w:type w:val="bbPlcHdr"/>
        </w:types>
        <w:behaviors>
          <w:behavior w:val="content"/>
        </w:behaviors>
        <w:guid w:val="{C54CF552-74A1-7B42-8D41-D1C486C87240}"/>
      </w:docPartPr>
      <w:docPartBody>
        <w:p w:rsidR="00B63B2D" w:rsidRDefault="004C07F4">
          <w:r w:rsidRPr="007E26A4">
            <w:rPr>
              <w:rStyle w:val="PlaceholderText"/>
            </w:rPr>
            <w:t>Formatting...</w:t>
          </w:r>
        </w:p>
      </w:docPartBody>
    </w:docPart>
    <w:docPart>
      <w:docPartPr>
        <w:name w:val="2E597A26B36E654CB20F898C4DB39280"/>
        <w:category>
          <w:name w:val="General"/>
          <w:gallery w:val="placeholder"/>
        </w:category>
        <w:types>
          <w:type w:val="bbPlcHdr"/>
        </w:types>
        <w:behaviors>
          <w:behavior w:val="content"/>
        </w:behaviors>
        <w:guid w:val="{18DBEA08-A69A-524A-B40B-9918C5C9034B}"/>
      </w:docPartPr>
      <w:docPartBody>
        <w:p w:rsidR="00B63B2D" w:rsidRDefault="004C07F4">
          <w:r w:rsidRPr="007E26A4">
            <w:rPr>
              <w:rStyle w:val="PlaceholderText"/>
            </w:rPr>
            <w:t>Formatting...</w:t>
          </w:r>
        </w:p>
      </w:docPartBody>
    </w:docPart>
    <w:docPart>
      <w:docPartPr>
        <w:name w:val="4EFB5278B36D764092E7188B7E41685A"/>
        <w:category>
          <w:name w:val="General"/>
          <w:gallery w:val="placeholder"/>
        </w:category>
        <w:types>
          <w:type w:val="bbPlcHdr"/>
        </w:types>
        <w:behaviors>
          <w:behavior w:val="content"/>
        </w:behaviors>
        <w:guid w:val="{5BDCD12E-5C38-424D-A8F8-6A51623F273D}"/>
      </w:docPartPr>
      <w:docPartBody>
        <w:p w:rsidR="00B63B2D" w:rsidRDefault="004C07F4">
          <w:r w:rsidRPr="007E26A4">
            <w:rPr>
              <w:rStyle w:val="PlaceholderText"/>
            </w:rPr>
            <w:t>Formatting...</w:t>
          </w:r>
        </w:p>
      </w:docPartBody>
    </w:docPart>
    <w:docPart>
      <w:docPartPr>
        <w:name w:val="7CC72D65F2F23F4391DFC488526C2D1A"/>
        <w:category>
          <w:name w:val="General"/>
          <w:gallery w:val="placeholder"/>
        </w:category>
        <w:types>
          <w:type w:val="bbPlcHdr"/>
        </w:types>
        <w:behaviors>
          <w:behavior w:val="content"/>
        </w:behaviors>
        <w:guid w:val="{FE64E1A6-4F3F-AA4B-B45F-9ACDBC168E60}"/>
      </w:docPartPr>
      <w:docPartBody>
        <w:p w:rsidR="00B63B2D" w:rsidRDefault="004C07F4">
          <w:r w:rsidRPr="007E26A4">
            <w:rPr>
              <w:rStyle w:val="PlaceholderText"/>
            </w:rPr>
            <w:t>Formatting...</w:t>
          </w:r>
        </w:p>
      </w:docPartBody>
    </w:docPart>
    <w:docPart>
      <w:docPartPr>
        <w:name w:val="40D2727D08A49843A61FB783A8B91D09"/>
        <w:category>
          <w:name w:val="General"/>
          <w:gallery w:val="placeholder"/>
        </w:category>
        <w:types>
          <w:type w:val="bbPlcHdr"/>
        </w:types>
        <w:behaviors>
          <w:behavior w:val="content"/>
        </w:behaviors>
        <w:guid w:val="{54C9FFC8-5FEF-0D40-AADD-6CB54589B466}"/>
      </w:docPartPr>
      <w:docPartBody>
        <w:p w:rsidR="00B63B2D" w:rsidRDefault="004C07F4">
          <w:r w:rsidRPr="007E26A4">
            <w:rPr>
              <w:rStyle w:val="PlaceholderText"/>
            </w:rPr>
            <w:t>Formatting...</w:t>
          </w:r>
        </w:p>
      </w:docPartBody>
    </w:docPart>
    <w:docPart>
      <w:docPartPr>
        <w:name w:val="29F9A325D9680A418AD8DEBE8688C9EC"/>
        <w:category>
          <w:name w:val="General"/>
          <w:gallery w:val="placeholder"/>
        </w:category>
        <w:types>
          <w:type w:val="bbPlcHdr"/>
        </w:types>
        <w:behaviors>
          <w:behavior w:val="content"/>
        </w:behaviors>
        <w:guid w:val="{22C6DF20-3FB2-354F-BE72-ABC22D762028}"/>
      </w:docPartPr>
      <w:docPartBody>
        <w:p w:rsidR="00B63B2D" w:rsidRDefault="004C07F4">
          <w:r w:rsidRPr="007E26A4">
            <w:rPr>
              <w:rStyle w:val="PlaceholderText"/>
            </w:rPr>
            <w:t>Formatting...</w:t>
          </w:r>
        </w:p>
      </w:docPartBody>
    </w:docPart>
    <w:docPart>
      <w:docPartPr>
        <w:name w:val="1AA9FAC082678B4D86FADE7F79602A03"/>
        <w:category>
          <w:name w:val="General"/>
          <w:gallery w:val="placeholder"/>
        </w:category>
        <w:types>
          <w:type w:val="bbPlcHdr"/>
        </w:types>
        <w:behaviors>
          <w:behavior w:val="content"/>
        </w:behaviors>
        <w:guid w:val="{E1150659-5C9B-324B-8B03-3986717A109C}"/>
      </w:docPartPr>
      <w:docPartBody>
        <w:p w:rsidR="00B63B2D" w:rsidRDefault="004C07F4">
          <w:r w:rsidRPr="007E26A4">
            <w:rPr>
              <w:rStyle w:val="PlaceholderText"/>
            </w:rPr>
            <w:t>Formatting...</w:t>
          </w:r>
        </w:p>
      </w:docPartBody>
    </w:docPart>
    <w:docPart>
      <w:docPartPr>
        <w:name w:val="443AAD7EB2FC2B49B71B140D663022EF"/>
        <w:category>
          <w:name w:val="General"/>
          <w:gallery w:val="placeholder"/>
        </w:category>
        <w:types>
          <w:type w:val="bbPlcHdr"/>
        </w:types>
        <w:behaviors>
          <w:behavior w:val="content"/>
        </w:behaviors>
        <w:guid w:val="{6AEF3B01-B2E0-3E4E-B663-5FCDC9AD9952}"/>
      </w:docPartPr>
      <w:docPartBody>
        <w:p w:rsidR="00B63B2D" w:rsidRDefault="004C07F4">
          <w:r w:rsidRPr="007E26A4">
            <w:rPr>
              <w:rStyle w:val="PlaceholderText"/>
            </w:rPr>
            <w:t>Formatting...</w:t>
          </w:r>
        </w:p>
      </w:docPartBody>
    </w:docPart>
    <w:docPart>
      <w:docPartPr>
        <w:name w:val="43668F3FF4A20E48A8921968C70B02CF"/>
        <w:category>
          <w:name w:val="General"/>
          <w:gallery w:val="placeholder"/>
        </w:category>
        <w:types>
          <w:type w:val="bbPlcHdr"/>
        </w:types>
        <w:behaviors>
          <w:behavior w:val="content"/>
        </w:behaviors>
        <w:guid w:val="{E029E9ED-DF26-CC46-8B1E-2170B36B7BCD}"/>
      </w:docPartPr>
      <w:docPartBody>
        <w:p w:rsidR="00B63B2D" w:rsidRDefault="004C07F4">
          <w:r w:rsidRPr="007E26A4">
            <w:rPr>
              <w:rStyle w:val="PlaceholderText"/>
            </w:rPr>
            <w:t>Formatting...</w:t>
          </w:r>
        </w:p>
      </w:docPartBody>
    </w:docPart>
    <w:docPart>
      <w:docPartPr>
        <w:name w:val="A4320A0454821841B8069BFE04440F00"/>
        <w:category>
          <w:name w:val="General"/>
          <w:gallery w:val="placeholder"/>
        </w:category>
        <w:types>
          <w:type w:val="bbPlcHdr"/>
        </w:types>
        <w:behaviors>
          <w:behavior w:val="content"/>
        </w:behaviors>
        <w:guid w:val="{8C503583-D45A-1342-8EEE-B90C5C544F88}"/>
      </w:docPartPr>
      <w:docPartBody>
        <w:p w:rsidR="00B63B2D" w:rsidRDefault="004C07F4">
          <w:r w:rsidRPr="007E26A4">
            <w:rPr>
              <w:rStyle w:val="PlaceholderText"/>
            </w:rPr>
            <w:t>Formatting...</w:t>
          </w:r>
        </w:p>
      </w:docPartBody>
    </w:docPart>
    <w:docPart>
      <w:docPartPr>
        <w:name w:val="24C95F559E3CCC4D908063726FAE8C90"/>
        <w:category>
          <w:name w:val="General"/>
          <w:gallery w:val="placeholder"/>
        </w:category>
        <w:types>
          <w:type w:val="bbPlcHdr"/>
        </w:types>
        <w:behaviors>
          <w:behavior w:val="content"/>
        </w:behaviors>
        <w:guid w:val="{EAA0FA5D-D894-604F-BEB1-CFBEC03CA212}"/>
      </w:docPartPr>
      <w:docPartBody>
        <w:p w:rsidR="00B63B2D" w:rsidRDefault="004C07F4">
          <w:r w:rsidRPr="007E26A4">
            <w:rPr>
              <w:rStyle w:val="PlaceholderText"/>
            </w:rPr>
            <w:t>Formatting...</w:t>
          </w:r>
        </w:p>
      </w:docPartBody>
    </w:docPart>
    <w:docPart>
      <w:docPartPr>
        <w:name w:val="67FAF47634D7B74CA18ABB37AE50A70D"/>
        <w:category>
          <w:name w:val="General"/>
          <w:gallery w:val="placeholder"/>
        </w:category>
        <w:types>
          <w:type w:val="bbPlcHdr"/>
        </w:types>
        <w:behaviors>
          <w:behavior w:val="content"/>
        </w:behaviors>
        <w:guid w:val="{6F87C301-D367-AC4D-A047-2B0D5CFE63A1}"/>
      </w:docPartPr>
      <w:docPartBody>
        <w:p w:rsidR="00B63B2D" w:rsidRDefault="004C07F4">
          <w:r w:rsidRPr="007E26A4">
            <w:rPr>
              <w:rStyle w:val="PlaceholderText"/>
            </w:rPr>
            <w:t>Formatting...</w:t>
          </w:r>
        </w:p>
      </w:docPartBody>
    </w:docPart>
    <w:docPart>
      <w:docPartPr>
        <w:name w:val="16D6CFC8193A944DBC10D3DA1C97A7F4"/>
        <w:category>
          <w:name w:val="General"/>
          <w:gallery w:val="placeholder"/>
        </w:category>
        <w:types>
          <w:type w:val="bbPlcHdr"/>
        </w:types>
        <w:behaviors>
          <w:behavior w:val="content"/>
        </w:behaviors>
        <w:guid w:val="{F9E374E4-F342-4B49-BB4E-3D473C25B4C3}"/>
      </w:docPartPr>
      <w:docPartBody>
        <w:p w:rsidR="00B63B2D" w:rsidRDefault="004C07F4">
          <w:r w:rsidRPr="007E26A4">
            <w:rPr>
              <w:rStyle w:val="PlaceholderText"/>
            </w:rPr>
            <w:t>Formatting...</w:t>
          </w:r>
        </w:p>
      </w:docPartBody>
    </w:docPart>
    <w:docPart>
      <w:docPartPr>
        <w:name w:val="AF00BF409C17624486F7F274B397B7BA"/>
        <w:category>
          <w:name w:val="General"/>
          <w:gallery w:val="placeholder"/>
        </w:category>
        <w:types>
          <w:type w:val="bbPlcHdr"/>
        </w:types>
        <w:behaviors>
          <w:behavior w:val="content"/>
        </w:behaviors>
        <w:guid w:val="{1D1CD406-4B2C-B94E-98E2-76EC0F1E4787}"/>
      </w:docPartPr>
      <w:docPartBody>
        <w:p w:rsidR="00B63B2D" w:rsidRDefault="004C07F4">
          <w:r w:rsidRPr="007E26A4">
            <w:rPr>
              <w:rStyle w:val="PlaceholderText"/>
            </w:rPr>
            <w:t>Formatting...</w:t>
          </w:r>
        </w:p>
      </w:docPartBody>
    </w:docPart>
    <w:docPart>
      <w:docPartPr>
        <w:name w:val="1AC056529B4B68428399B6D925FE5B65"/>
        <w:category>
          <w:name w:val="General"/>
          <w:gallery w:val="placeholder"/>
        </w:category>
        <w:types>
          <w:type w:val="bbPlcHdr"/>
        </w:types>
        <w:behaviors>
          <w:behavior w:val="content"/>
        </w:behaviors>
        <w:guid w:val="{076DAEFA-1631-8047-8769-795A862E9978}"/>
      </w:docPartPr>
      <w:docPartBody>
        <w:p w:rsidR="00B63B2D" w:rsidRDefault="004C07F4">
          <w:r w:rsidRPr="007E26A4">
            <w:rPr>
              <w:rStyle w:val="PlaceholderText"/>
            </w:rPr>
            <w:t>Formatting...</w:t>
          </w:r>
        </w:p>
      </w:docPartBody>
    </w:docPart>
    <w:docPart>
      <w:docPartPr>
        <w:name w:val="F9876B75970BB84A8427D55DEE0C0544"/>
        <w:category>
          <w:name w:val="General"/>
          <w:gallery w:val="placeholder"/>
        </w:category>
        <w:types>
          <w:type w:val="bbPlcHdr"/>
        </w:types>
        <w:behaviors>
          <w:behavior w:val="content"/>
        </w:behaviors>
        <w:guid w:val="{3FB03750-1DC2-B746-84A8-10820321C349}"/>
      </w:docPartPr>
      <w:docPartBody>
        <w:p w:rsidR="00B63B2D" w:rsidRDefault="004C07F4">
          <w:r w:rsidRPr="007E26A4">
            <w:rPr>
              <w:rStyle w:val="PlaceholderText"/>
            </w:rPr>
            <w:t>Formatting...</w:t>
          </w:r>
        </w:p>
      </w:docPartBody>
    </w:docPart>
    <w:docPart>
      <w:docPartPr>
        <w:name w:val="D9F1CCA415C9E7488B393131CAC96D61"/>
        <w:category>
          <w:name w:val="General"/>
          <w:gallery w:val="placeholder"/>
        </w:category>
        <w:types>
          <w:type w:val="bbPlcHdr"/>
        </w:types>
        <w:behaviors>
          <w:behavior w:val="content"/>
        </w:behaviors>
        <w:guid w:val="{F1AD6E7C-109C-4349-A5E0-86741F76660A}"/>
      </w:docPartPr>
      <w:docPartBody>
        <w:p w:rsidR="00B63B2D" w:rsidRDefault="004C07F4">
          <w:r w:rsidRPr="007E26A4">
            <w:rPr>
              <w:rStyle w:val="PlaceholderText"/>
            </w:rPr>
            <w:t>Formatting...</w:t>
          </w:r>
        </w:p>
      </w:docPartBody>
    </w:docPart>
    <w:docPart>
      <w:docPartPr>
        <w:name w:val="F2E62A21B26C604C88405D00DF919D92"/>
        <w:category>
          <w:name w:val="General"/>
          <w:gallery w:val="placeholder"/>
        </w:category>
        <w:types>
          <w:type w:val="bbPlcHdr"/>
        </w:types>
        <w:behaviors>
          <w:behavior w:val="content"/>
        </w:behaviors>
        <w:guid w:val="{3A4FF739-2DF2-034F-A050-6C931B889EB9}"/>
      </w:docPartPr>
      <w:docPartBody>
        <w:p w:rsidR="00B63B2D" w:rsidRDefault="004C07F4">
          <w:r w:rsidRPr="007E26A4">
            <w:rPr>
              <w:rStyle w:val="PlaceholderText"/>
            </w:rPr>
            <w:t>Formatting...</w:t>
          </w:r>
        </w:p>
      </w:docPartBody>
    </w:docPart>
    <w:docPart>
      <w:docPartPr>
        <w:name w:val="6E39E1288717E04AAB2BA8D2B8C6B438"/>
        <w:category>
          <w:name w:val="General"/>
          <w:gallery w:val="placeholder"/>
        </w:category>
        <w:types>
          <w:type w:val="bbPlcHdr"/>
        </w:types>
        <w:behaviors>
          <w:behavior w:val="content"/>
        </w:behaviors>
        <w:guid w:val="{2A746D8B-58EF-C747-919F-D22D8B45B142}"/>
      </w:docPartPr>
      <w:docPartBody>
        <w:p w:rsidR="00B63B2D" w:rsidRDefault="004C07F4">
          <w:r w:rsidRPr="007E26A4">
            <w:rPr>
              <w:rStyle w:val="PlaceholderText"/>
            </w:rPr>
            <w:t>Formatting...</w:t>
          </w:r>
        </w:p>
      </w:docPartBody>
    </w:docPart>
    <w:docPart>
      <w:docPartPr>
        <w:name w:val="E07740461E1EE840A72B57EC8A51F6E8"/>
        <w:category>
          <w:name w:val="General"/>
          <w:gallery w:val="placeholder"/>
        </w:category>
        <w:types>
          <w:type w:val="bbPlcHdr"/>
        </w:types>
        <w:behaviors>
          <w:behavior w:val="content"/>
        </w:behaviors>
        <w:guid w:val="{D14BE6C2-352F-2640-A61F-DB455E090C71}"/>
      </w:docPartPr>
      <w:docPartBody>
        <w:p w:rsidR="00B63B2D" w:rsidRDefault="004C07F4">
          <w:r w:rsidRPr="007E26A4">
            <w:rPr>
              <w:rStyle w:val="PlaceholderText"/>
            </w:rPr>
            <w:t>Formatting...</w:t>
          </w:r>
        </w:p>
      </w:docPartBody>
    </w:docPart>
    <w:docPart>
      <w:docPartPr>
        <w:name w:val="4AAA6B88B9B0C648B66EC2E05BD0AAE1"/>
        <w:category>
          <w:name w:val="General"/>
          <w:gallery w:val="placeholder"/>
        </w:category>
        <w:types>
          <w:type w:val="bbPlcHdr"/>
        </w:types>
        <w:behaviors>
          <w:behavior w:val="content"/>
        </w:behaviors>
        <w:guid w:val="{EEE409EF-8710-EE4F-95AF-03A86050E24F}"/>
      </w:docPartPr>
      <w:docPartBody>
        <w:p w:rsidR="00B63B2D" w:rsidRDefault="004C07F4">
          <w:r w:rsidRPr="007E26A4">
            <w:rPr>
              <w:rStyle w:val="PlaceholderText"/>
            </w:rPr>
            <w:t>Formatting...</w:t>
          </w:r>
        </w:p>
      </w:docPartBody>
    </w:docPart>
    <w:docPart>
      <w:docPartPr>
        <w:name w:val="C59FCF15090E5B419461BEF8FFF92367"/>
        <w:category>
          <w:name w:val="General"/>
          <w:gallery w:val="placeholder"/>
        </w:category>
        <w:types>
          <w:type w:val="bbPlcHdr"/>
        </w:types>
        <w:behaviors>
          <w:behavior w:val="content"/>
        </w:behaviors>
        <w:guid w:val="{9810E17C-25E8-1048-B165-555D8A85EBDE}"/>
      </w:docPartPr>
      <w:docPartBody>
        <w:p w:rsidR="00B63B2D" w:rsidRDefault="004C07F4">
          <w:r w:rsidRPr="007E26A4">
            <w:rPr>
              <w:rStyle w:val="PlaceholderText"/>
            </w:rPr>
            <w:t>Formatting...</w:t>
          </w:r>
        </w:p>
      </w:docPartBody>
    </w:docPart>
    <w:docPart>
      <w:docPartPr>
        <w:name w:val="783CAAD42BA0184C8457461D1549B0CA"/>
        <w:category>
          <w:name w:val="General"/>
          <w:gallery w:val="placeholder"/>
        </w:category>
        <w:types>
          <w:type w:val="bbPlcHdr"/>
        </w:types>
        <w:behaviors>
          <w:behavior w:val="content"/>
        </w:behaviors>
        <w:guid w:val="{01AE2903-AE73-3746-8446-8DCA72394675}"/>
      </w:docPartPr>
      <w:docPartBody>
        <w:p w:rsidR="008538DA" w:rsidRDefault="00731C76">
          <w:r w:rsidRPr="00862EB6">
            <w:rPr>
              <w:rStyle w:val="PlaceholderText"/>
            </w:rPr>
            <w:t>Formatting...</w:t>
          </w:r>
        </w:p>
      </w:docPartBody>
    </w:docPart>
    <w:docPart>
      <w:docPartPr>
        <w:name w:val="7F80AB7A251B33438D5375AFC2A42551"/>
        <w:category>
          <w:name w:val="General"/>
          <w:gallery w:val="placeholder"/>
        </w:category>
        <w:types>
          <w:type w:val="bbPlcHdr"/>
        </w:types>
        <w:behaviors>
          <w:behavior w:val="content"/>
        </w:behaviors>
        <w:guid w:val="{481F128B-F213-A542-A249-948477A9D5D6}"/>
      </w:docPartPr>
      <w:docPartBody>
        <w:p w:rsidR="000678D0" w:rsidRDefault="008538DA">
          <w:r w:rsidRPr="00862EB6">
            <w:rPr>
              <w:rStyle w:val="PlaceholderText"/>
            </w:rPr>
            <w:t>Formatting...</w:t>
          </w:r>
        </w:p>
      </w:docPartBody>
    </w:docPart>
    <w:docPart>
      <w:docPartPr>
        <w:name w:val="CF5DE1369D2EE54D83F1AAF87189ABB4"/>
        <w:category>
          <w:name w:val="General"/>
          <w:gallery w:val="placeholder"/>
        </w:category>
        <w:types>
          <w:type w:val="bbPlcHdr"/>
        </w:types>
        <w:behaviors>
          <w:behavior w:val="content"/>
        </w:behaviors>
        <w:guid w:val="{8B138CE8-E0C6-1945-BABC-922886F5CE5B}"/>
      </w:docPartPr>
      <w:docPartBody>
        <w:p w:rsidR="000678D0" w:rsidRDefault="008538DA">
          <w:r w:rsidRPr="00862EB6">
            <w:rPr>
              <w:rStyle w:val="PlaceholderText"/>
            </w:rPr>
            <w:t>Formatting...</w:t>
          </w:r>
        </w:p>
      </w:docPartBody>
    </w:docPart>
    <w:docPart>
      <w:docPartPr>
        <w:name w:val="C2413E1368AFBB4290CC29FF20BE7176"/>
        <w:category>
          <w:name w:val="General"/>
          <w:gallery w:val="placeholder"/>
        </w:category>
        <w:types>
          <w:type w:val="bbPlcHdr"/>
        </w:types>
        <w:behaviors>
          <w:behavior w:val="content"/>
        </w:behaviors>
        <w:guid w:val="{C4145135-2D43-4441-90FF-0581467181DB}"/>
      </w:docPartPr>
      <w:docPartBody>
        <w:p w:rsidR="000678D0" w:rsidRDefault="008538DA">
          <w:r w:rsidRPr="00862EB6">
            <w:rPr>
              <w:rStyle w:val="PlaceholderText"/>
            </w:rPr>
            <w:t>Formatting...</w:t>
          </w:r>
        </w:p>
      </w:docPartBody>
    </w:docPart>
    <w:docPart>
      <w:docPartPr>
        <w:name w:val="6104D25053B1034CA7FAFCEE8F7201FE"/>
        <w:category>
          <w:name w:val="General"/>
          <w:gallery w:val="placeholder"/>
        </w:category>
        <w:types>
          <w:type w:val="bbPlcHdr"/>
        </w:types>
        <w:behaviors>
          <w:behavior w:val="content"/>
        </w:behaviors>
        <w:guid w:val="{CBD696EA-B49F-4048-ACBF-0B90F176C3D4}"/>
      </w:docPartPr>
      <w:docPartBody>
        <w:p w:rsidR="000678D0" w:rsidRDefault="008538DA">
          <w:r w:rsidRPr="00862EB6">
            <w:rPr>
              <w:rStyle w:val="PlaceholderText"/>
            </w:rPr>
            <w:t>Formatting...</w:t>
          </w:r>
        </w:p>
      </w:docPartBody>
    </w:docPart>
    <w:docPart>
      <w:docPartPr>
        <w:name w:val="24183761E092824F96470F84C51AD1CE"/>
        <w:category>
          <w:name w:val="General"/>
          <w:gallery w:val="placeholder"/>
        </w:category>
        <w:types>
          <w:type w:val="bbPlcHdr"/>
        </w:types>
        <w:behaviors>
          <w:behavior w:val="content"/>
        </w:behaviors>
        <w:guid w:val="{190979C8-DAAA-AC49-A0E3-82FBF1E673EA}"/>
      </w:docPartPr>
      <w:docPartBody>
        <w:p w:rsidR="000678D0" w:rsidRDefault="008538DA">
          <w:r w:rsidRPr="00862EB6">
            <w:rPr>
              <w:rStyle w:val="PlaceholderText"/>
            </w:rPr>
            <w:t>Formatting...</w:t>
          </w:r>
        </w:p>
      </w:docPartBody>
    </w:docPart>
    <w:docPart>
      <w:docPartPr>
        <w:name w:val="14E2C0E37A034C48ACB05FBFC0261919"/>
        <w:category>
          <w:name w:val="General"/>
          <w:gallery w:val="placeholder"/>
        </w:category>
        <w:types>
          <w:type w:val="bbPlcHdr"/>
        </w:types>
        <w:behaviors>
          <w:behavior w:val="content"/>
        </w:behaviors>
        <w:guid w:val="{25D75178-4554-2E4E-AE49-352DEE40672F}"/>
      </w:docPartPr>
      <w:docPartBody>
        <w:p w:rsidR="000678D0" w:rsidRDefault="008538DA">
          <w:r w:rsidRPr="00862EB6">
            <w:rPr>
              <w:rStyle w:val="PlaceholderText"/>
            </w:rPr>
            <w:t>Formatting...</w:t>
          </w:r>
        </w:p>
      </w:docPartBody>
    </w:docPart>
    <w:docPart>
      <w:docPartPr>
        <w:name w:val="DCD07BA036F0884D9284692A123AC244"/>
        <w:category>
          <w:name w:val="General"/>
          <w:gallery w:val="placeholder"/>
        </w:category>
        <w:types>
          <w:type w:val="bbPlcHdr"/>
        </w:types>
        <w:behaviors>
          <w:behavior w:val="content"/>
        </w:behaviors>
        <w:guid w:val="{429C2439-96FE-7340-A504-7063153787C5}"/>
      </w:docPartPr>
      <w:docPartBody>
        <w:p w:rsidR="000678D0" w:rsidRDefault="008538DA">
          <w:r w:rsidRPr="00862EB6">
            <w:rPr>
              <w:rStyle w:val="PlaceholderText"/>
            </w:rPr>
            <w:t>Formatting...</w:t>
          </w:r>
        </w:p>
      </w:docPartBody>
    </w:docPart>
    <w:docPart>
      <w:docPartPr>
        <w:name w:val="23233E4F29172941ACD64D5327935173"/>
        <w:category>
          <w:name w:val="General"/>
          <w:gallery w:val="placeholder"/>
        </w:category>
        <w:types>
          <w:type w:val="bbPlcHdr"/>
        </w:types>
        <w:behaviors>
          <w:behavior w:val="content"/>
        </w:behaviors>
        <w:guid w:val="{9DF2036C-E1A3-9341-A43B-EF0B891D9764}"/>
      </w:docPartPr>
      <w:docPartBody>
        <w:p w:rsidR="000678D0" w:rsidRDefault="008538DA">
          <w:r w:rsidRPr="00862EB6">
            <w:rPr>
              <w:rStyle w:val="PlaceholderText"/>
            </w:rPr>
            <w:t>Formatting...</w:t>
          </w:r>
        </w:p>
      </w:docPartBody>
    </w:docPart>
    <w:docPart>
      <w:docPartPr>
        <w:name w:val="1483B94DEF376C45A8041D846BB023E9"/>
        <w:category>
          <w:name w:val="General"/>
          <w:gallery w:val="placeholder"/>
        </w:category>
        <w:types>
          <w:type w:val="bbPlcHdr"/>
        </w:types>
        <w:behaviors>
          <w:behavior w:val="content"/>
        </w:behaviors>
        <w:guid w:val="{F530560C-D989-584A-BA26-4EAD7BDCE9E2}"/>
      </w:docPartPr>
      <w:docPartBody>
        <w:p w:rsidR="000678D0" w:rsidRDefault="008538DA">
          <w:r w:rsidRPr="00862EB6">
            <w:rPr>
              <w:rStyle w:val="PlaceholderText"/>
            </w:rPr>
            <w:t>Formatting...</w:t>
          </w:r>
        </w:p>
      </w:docPartBody>
    </w:docPart>
    <w:docPart>
      <w:docPartPr>
        <w:name w:val="3ECF47C8A49DD946A2065CDC1513A467"/>
        <w:category>
          <w:name w:val="General"/>
          <w:gallery w:val="placeholder"/>
        </w:category>
        <w:types>
          <w:type w:val="bbPlcHdr"/>
        </w:types>
        <w:behaviors>
          <w:behavior w:val="content"/>
        </w:behaviors>
        <w:guid w:val="{5F31F910-A0A3-DC4B-A2EC-37CCCBCEF08A}"/>
      </w:docPartPr>
      <w:docPartBody>
        <w:p w:rsidR="000678D0" w:rsidRDefault="008538DA">
          <w:r w:rsidRPr="00862EB6">
            <w:rPr>
              <w:rStyle w:val="PlaceholderText"/>
            </w:rPr>
            <w:t>Formatting...</w:t>
          </w:r>
        </w:p>
      </w:docPartBody>
    </w:docPart>
    <w:docPart>
      <w:docPartPr>
        <w:name w:val="3FE8728D089C4A429BD90AC61B7B837F"/>
        <w:category>
          <w:name w:val="General"/>
          <w:gallery w:val="placeholder"/>
        </w:category>
        <w:types>
          <w:type w:val="bbPlcHdr"/>
        </w:types>
        <w:behaviors>
          <w:behavior w:val="content"/>
        </w:behaviors>
        <w:guid w:val="{C84382F2-5CE3-5946-9591-DBB50FA7C9BC}"/>
      </w:docPartPr>
      <w:docPartBody>
        <w:p w:rsidR="000678D0" w:rsidRDefault="008538DA">
          <w:r w:rsidRPr="00862EB6">
            <w:rPr>
              <w:rStyle w:val="PlaceholderText"/>
            </w:rPr>
            <w:t>Formatting...</w:t>
          </w:r>
        </w:p>
      </w:docPartBody>
    </w:docPart>
    <w:docPart>
      <w:docPartPr>
        <w:name w:val="0AE19DD04928BA44AE9DD0CDDA290646"/>
        <w:category>
          <w:name w:val="General"/>
          <w:gallery w:val="placeholder"/>
        </w:category>
        <w:types>
          <w:type w:val="bbPlcHdr"/>
        </w:types>
        <w:behaviors>
          <w:behavior w:val="content"/>
        </w:behaviors>
        <w:guid w:val="{75BC1015-7AC1-6E47-8557-5374397FE09E}"/>
      </w:docPartPr>
      <w:docPartBody>
        <w:p w:rsidR="000678D0" w:rsidRDefault="008538DA">
          <w:r w:rsidRPr="00862EB6">
            <w:rPr>
              <w:rStyle w:val="PlaceholderText"/>
            </w:rPr>
            <w:t>Formatting...</w:t>
          </w:r>
        </w:p>
      </w:docPartBody>
    </w:docPart>
    <w:docPart>
      <w:docPartPr>
        <w:name w:val="B703749D83B32A46A2AC53D02D8C7A82"/>
        <w:category>
          <w:name w:val="General"/>
          <w:gallery w:val="placeholder"/>
        </w:category>
        <w:types>
          <w:type w:val="bbPlcHdr"/>
        </w:types>
        <w:behaviors>
          <w:behavior w:val="content"/>
        </w:behaviors>
        <w:guid w:val="{3061B4EA-C2B0-7843-8185-F82046828C2F}"/>
      </w:docPartPr>
      <w:docPartBody>
        <w:p w:rsidR="000678D0" w:rsidRDefault="008538DA">
          <w:r w:rsidRPr="00862EB6">
            <w:rPr>
              <w:rStyle w:val="PlaceholderText"/>
            </w:rPr>
            <w:t>Formatting...</w:t>
          </w:r>
        </w:p>
      </w:docPartBody>
    </w:docPart>
    <w:docPart>
      <w:docPartPr>
        <w:name w:val="85ADF1B4E961F44B966F9FFA02AD6987"/>
        <w:category>
          <w:name w:val="General"/>
          <w:gallery w:val="placeholder"/>
        </w:category>
        <w:types>
          <w:type w:val="bbPlcHdr"/>
        </w:types>
        <w:behaviors>
          <w:behavior w:val="content"/>
        </w:behaviors>
        <w:guid w:val="{F1B979BD-F394-A44C-9BF7-57431547335E}"/>
      </w:docPartPr>
      <w:docPartBody>
        <w:p w:rsidR="000678D0" w:rsidRDefault="008538DA">
          <w:r w:rsidRPr="00862EB6">
            <w:rPr>
              <w:rStyle w:val="PlaceholderText"/>
            </w:rPr>
            <w:t>Formatting...</w:t>
          </w:r>
        </w:p>
      </w:docPartBody>
    </w:docPart>
    <w:docPart>
      <w:docPartPr>
        <w:name w:val="DB1DF328FFEABF48B30D94214791809A"/>
        <w:category>
          <w:name w:val="General"/>
          <w:gallery w:val="placeholder"/>
        </w:category>
        <w:types>
          <w:type w:val="bbPlcHdr"/>
        </w:types>
        <w:behaviors>
          <w:behavior w:val="content"/>
        </w:behaviors>
        <w:guid w:val="{23544F02-92E9-1148-A703-CC5B87823E7F}"/>
      </w:docPartPr>
      <w:docPartBody>
        <w:p w:rsidR="000678D0" w:rsidRDefault="008538DA">
          <w:r w:rsidRPr="00862EB6">
            <w:rPr>
              <w:rStyle w:val="PlaceholderText"/>
            </w:rPr>
            <w:t>Formatting...</w:t>
          </w:r>
        </w:p>
      </w:docPartBody>
    </w:docPart>
    <w:docPart>
      <w:docPartPr>
        <w:name w:val="CAD25660622F6B4498FD967FBF0BF902"/>
        <w:category>
          <w:name w:val="General"/>
          <w:gallery w:val="placeholder"/>
        </w:category>
        <w:types>
          <w:type w:val="bbPlcHdr"/>
        </w:types>
        <w:behaviors>
          <w:behavior w:val="content"/>
        </w:behaviors>
        <w:guid w:val="{0D2AB04C-E042-F641-9CFD-EF376D3E01DD}"/>
      </w:docPartPr>
      <w:docPartBody>
        <w:p w:rsidR="000678D0" w:rsidRDefault="008538DA">
          <w:r w:rsidRPr="00862EB6">
            <w:rPr>
              <w:rStyle w:val="PlaceholderText"/>
            </w:rPr>
            <w:t>Formatting...</w:t>
          </w:r>
        </w:p>
      </w:docPartBody>
    </w:docPart>
    <w:docPart>
      <w:docPartPr>
        <w:name w:val="43708E47C328954FB2C705CC33EF8802"/>
        <w:category>
          <w:name w:val="General"/>
          <w:gallery w:val="placeholder"/>
        </w:category>
        <w:types>
          <w:type w:val="bbPlcHdr"/>
        </w:types>
        <w:behaviors>
          <w:behavior w:val="content"/>
        </w:behaviors>
        <w:guid w:val="{7D1D5C99-26B5-3841-8B75-BC0E6C1EFDDA}"/>
      </w:docPartPr>
      <w:docPartBody>
        <w:p w:rsidR="000678D0" w:rsidRDefault="008538DA">
          <w:r w:rsidRPr="00862EB6">
            <w:rPr>
              <w:rStyle w:val="PlaceholderText"/>
            </w:rPr>
            <w:t>Formatting...</w:t>
          </w:r>
        </w:p>
      </w:docPartBody>
    </w:docPart>
    <w:docPart>
      <w:docPartPr>
        <w:name w:val="EA88C572F850514892EEF27436B61698"/>
        <w:category>
          <w:name w:val="General"/>
          <w:gallery w:val="placeholder"/>
        </w:category>
        <w:types>
          <w:type w:val="bbPlcHdr"/>
        </w:types>
        <w:behaviors>
          <w:behavior w:val="content"/>
        </w:behaviors>
        <w:guid w:val="{115EB4F0-5C95-DE40-A29B-3359F50BC88F}"/>
      </w:docPartPr>
      <w:docPartBody>
        <w:p w:rsidR="000678D0" w:rsidRDefault="008538DA">
          <w:r w:rsidRPr="00862EB6">
            <w:rPr>
              <w:rStyle w:val="PlaceholderText"/>
            </w:rPr>
            <w:t>Formatting...</w:t>
          </w:r>
        </w:p>
      </w:docPartBody>
    </w:docPart>
    <w:docPart>
      <w:docPartPr>
        <w:name w:val="E372DE2FAD033D47BFB7F9E5FBB84ECC"/>
        <w:category>
          <w:name w:val="General"/>
          <w:gallery w:val="placeholder"/>
        </w:category>
        <w:types>
          <w:type w:val="bbPlcHdr"/>
        </w:types>
        <w:behaviors>
          <w:behavior w:val="content"/>
        </w:behaviors>
        <w:guid w:val="{95664865-AF68-A544-88E8-225455455CC2}"/>
      </w:docPartPr>
      <w:docPartBody>
        <w:p w:rsidR="000678D0" w:rsidRDefault="008538DA">
          <w:r w:rsidRPr="00862EB6">
            <w:rPr>
              <w:rStyle w:val="PlaceholderText"/>
            </w:rPr>
            <w:t>Formatting...</w:t>
          </w:r>
        </w:p>
      </w:docPartBody>
    </w:docPart>
    <w:docPart>
      <w:docPartPr>
        <w:name w:val="6A20E14677BEC34F83B31CDA9108103C"/>
        <w:category>
          <w:name w:val="General"/>
          <w:gallery w:val="placeholder"/>
        </w:category>
        <w:types>
          <w:type w:val="bbPlcHdr"/>
        </w:types>
        <w:behaviors>
          <w:behavior w:val="content"/>
        </w:behaviors>
        <w:guid w:val="{6BD3F658-61CD-4443-988A-1E2A8AC50CB7}"/>
      </w:docPartPr>
      <w:docPartBody>
        <w:p w:rsidR="000678D0" w:rsidRDefault="008538DA">
          <w:r w:rsidRPr="00862EB6">
            <w:rPr>
              <w:rStyle w:val="PlaceholderText"/>
            </w:rPr>
            <w:t>Formatting...</w:t>
          </w:r>
        </w:p>
      </w:docPartBody>
    </w:docPart>
    <w:docPart>
      <w:docPartPr>
        <w:name w:val="A35BF340F83AF94A9EEDB786052EE8FD"/>
        <w:category>
          <w:name w:val="General"/>
          <w:gallery w:val="placeholder"/>
        </w:category>
        <w:types>
          <w:type w:val="bbPlcHdr"/>
        </w:types>
        <w:behaviors>
          <w:behavior w:val="content"/>
        </w:behaviors>
        <w:guid w:val="{662781EA-AAF0-C14C-B8D2-CE5D96F5C596}"/>
      </w:docPartPr>
      <w:docPartBody>
        <w:p w:rsidR="000678D0" w:rsidRDefault="008538DA">
          <w:r w:rsidRPr="00862EB6">
            <w:rPr>
              <w:rStyle w:val="PlaceholderText"/>
            </w:rPr>
            <w:t>Formatting...</w:t>
          </w:r>
        </w:p>
      </w:docPartBody>
    </w:docPart>
    <w:docPart>
      <w:docPartPr>
        <w:name w:val="74AD1E42368AC749B4FC1A19A28A527A"/>
        <w:category>
          <w:name w:val="General"/>
          <w:gallery w:val="placeholder"/>
        </w:category>
        <w:types>
          <w:type w:val="bbPlcHdr"/>
        </w:types>
        <w:behaviors>
          <w:behavior w:val="content"/>
        </w:behaviors>
        <w:guid w:val="{ADD9EB4B-A35B-AF48-87C1-22A1FB1D8AB3}"/>
      </w:docPartPr>
      <w:docPartBody>
        <w:p w:rsidR="000678D0" w:rsidRDefault="008538DA">
          <w:r w:rsidRPr="00862EB6">
            <w:rPr>
              <w:rStyle w:val="PlaceholderText"/>
            </w:rPr>
            <w:t>Formatting...</w:t>
          </w:r>
        </w:p>
      </w:docPartBody>
    </w:docPart>
    <w:docPart>
      <w:docPartPr>
        <w:name w:val="3F18A3D694134B4B9E6CD8E13809F834"/>
        <w:category>
          <w:name w:val="General"/>
          <w:gallery w:val="placeholder"/>
        </w:category>
        <w:types>
          <w:type w:val="bbPlcHdr"/>
        </w:types>
        <w:behaviors>
          <w:behavior w:val="content"/>
        </w:behaviors>
        <w:guid w:val="{2CDAF238-B521-8149-950E-F05120C95E19}"/>
      </w:docPartPr>
      <w:docPartBody>
        <w:p w:rsidR="000678D0" w:rsidRDefault="008538DA">
          <w:r w:rsidRPr="00862EB6">
            <w:rPr>
              <w:rStyle w:val="PlaceholderText"/>
            </w:rPr>
            <w:t>Formatting...</w:t>
          </w:r>
        </w:p>
      </w:docPartBody>
    </w:docPart>
    <w:docPart>
      <w:docPartPr>
        <w:name w:val="A982245DE096424E827CA78A8AD204BC"/>
        <w:category>
          <w:name w:val="General"/>
          <w:gallery w:val="placeholder"/>
        </w:category>
        <w:types>
          <w:type w:val="bbPlcHdr"/>
        </w:types>
        <w:behaviors>
          <w:behavior w:val="content"/>
        </w:behaviors>
        <w:guid w:val="{59B17C5F-DC8C-6345-88B8-540AD92AEBAC}"/>
      </w:docPartPr>
      <w:docPartBody>
        <w:p w:rsidR="000678D0" w:rsidRDefault="008538DA">
          <w:r w:rsidRPr="00862EB6">
            <w:rPr>
              <w:rStyle w:val="PlaceholderText"/>
            </w:rPr>
            <w:t>Formatting...</w:t>
          </w:r>
        </w:p>
      </w:docPartBody>
    </w:docPart>
    <w:docPart>
      <w:docPartPr>
        <w:name w:val="1B7ECBA11561DE44A020305BF3A1F2E2"/>
        <w:category>
          <w:name w:val="General"/>
          <w:gallery w:val="placeholder"/>
        </w:category>
        <w:types>
          <w:type w:val="bbPlcHdr"/>
        </w:types>
        <w:behaviors>
          <w:behavior w:val="content"/>
        </w:behaviors>
        <w:guid w:val="{62B36289-2F9C-2D4E-963B-08DC9246F22B}"/>
      </w:docPartPr>
      <w:docPartBody>
        <w:p w:rsidR="000678D0" w:rsidRDefault="008538DA">
          <w:r w:rsidRPr="00862EB6">
            <w:rPr>
              <w:rStyle w:val="PlaceholderText"/>
            </w:rPr>
            <w:t>Formatting...</w:t>
          </w:r>
        </w:p>
      </w:docPartBody>
    </w:docPart>
    <w:docPart>
      <w:docPartPr>
        <w:name w:val="A45DC0564B5317469357B6C7F333BFB9"/>
        <w:category>
          <w:name w:val="General"/>
          <w:gallery w:val="placeholder"/>
        </w:category>
        <w:types>
          <w:type w:val="bbPlcHdr"/>
        </w:types>
        <w:behaviors>
          <w:behavior w:val="content"/>
        </w:behaviors>
        <w:guid w:val="{0D5372AF-48A8-6549-AD8F-C65C82516FC6}"/>
      </w:docPartPr>
      <w:docPartBody>
        <w:p w:rsidR="000678D0" w:rsidRDefault="008538DA">
          <w:r w:rsidRPr="00862EB6">
            <w:rPr>
              <w:rStyle w:val="PlaceholderText"/>
            </w:rPr>
            <w:t>Formatting...</w:t>
          </w:r>
        </w:p>
      </w:docPartBody>
    </w:docPart>
    <w:docPart>
      <w:docPartPr>
        <w:name w:val="79AB76609526214BA2C5C706FFEF9851"/>
        <w:category>
          <w:name w:val="General"/>
          <w:gallery w:val="placeholder"/>
        </w:category>
        <w:types>
          <w:type w:val="bbPlcHdr"/>
        </w:types>
        <w:behaviors>
          <w:behavior w:val="content"/>
        </w:behaviors>
        <w:guid w:val="{AECB3CD0-3B06-6A42-9925-5220426429DE}"/>
      </w:docPartPr>
      <w:docPartBody>
        <w:p w:rsidR="000678D0" w:rsidRDefault="008538DA">
          <w:r w:rsidRPr="00862EB6">
            <w:rPr>
              <w:rStyle w:val="PlaceholderText"/>
            </w:rPr>
            <w:t>Formatting...</w:t>
          </w:r>
        </w:p>
      </w:docPartBody>
    </w:docPart>
    <w:docPart>
      <w:docPartPr>
        <w:name w:val="030F02B2F2F2F4408D2B781524A48914"/>
        <w:category>
          <w:name w:val="General"/>
          <w:gallery w:val="placeholder"/>
        </w:category>
        <w:types>
          <w:type w:val="bbPlcHdr"/>
        </w:types>
        <w:behaviors>
          <w:behavior w:val="content"/>
        </w:behaviors>
        <w:guid w:val="{ACBBAC66-044D-C84E-A416-947BE1178789}"/>
      </w:docPartPr>
      <w:docPartBody>
        <w:p w:rsidR="000678D0" w:rsidRDefault="008538DA">
          <w:r w:rsidRPr="00862EB6">
            <w:rPr>
              <w:rStyle w:val="PlaceholderText"/>
            </w:rPr>
            <w:t>Formatting...</w:t>
          </w:r>
        </w:p>
      </w:docPartBody>
    </w:docPart>
    <w:docPart>
      <w:docPartPr>
        <w:name w:val="E0D38915043EE64AB22E2CF0B3209EF9"/>
        <w:category>
          <w:name w:val="General"/>
          <w:gallery w:val="placeholder"/>
        </w:category>
        <w:types>
          <w:type w:val="bbPlcHdr"/>
        </w:types>
        <w:behaviors>
          <w:behavior w:val="content"/>
        </w:behaviors>
        <w:guid w:val="{FA01436D-5FFD-6D4A-8138-64DD34961DBE}"/>
      </w:docPartPr>
      <w:docPartBody>
        <w:p w:rsidR="000678D0" w:rsidRDefault="008538DA">
          <w:r w:rsidRPr="00862EB6">
            <w:rPr>
              <w:rStyle w:val="PlaceholderText"/>
            </w:rPr>
            <w:t>Formatting...</w:t>
          </w:r>
        </w:p>
      </w:docPartBody>
    </w:docPart>
    <w:docPart>
      <w:docPartPr>
        <w:name w:val="5B5478BFD2DC654FACE5F18482124B1A"/>
        <w:category>
          <w:name w:val="General"/>
          <w:gallery w:val="placeholder"/>
        </w:category>
        <w:types>
          <w:type w:val="bbPlcHdr"/>
        </w:types>
        <w:behaviors>
          <w:behavior w:val="content"/>
        </w:behaviors>
        <w:guid w:val="{0203B9AA-F543-CF40-97A9-B4B9266906EF}"/>
      </w:docPartPr>
      <w:docPartBody>
        <w:p w:rsidR="000678D0" w:rsidRDefault="008538DA">
          <w:r w:rsidRPr="00862EB6">
            <w:rPr>
              <w:rStyle w:val="PlaceholderText"/>
            </w:rPr>
            <w:t>Formatting...</w:t>
          </w:r>
        </w:p>
      </w:docPartBody>
    </w:docPart>
    <w:docPart>
      <w:docPartPr>
        <w:name w:val="8422C6719BBADD438EAA093B2617AD7B"/>
        <w:category>
          <w:name w:val="General"/>
          <w:gallery w:val="placeholder"/>
        </w:category>
        <w:types>
          <w:type w:val="bbPlcHdr"/>
        </w:types>
        <w:behaviors>
          <w:behavior w:val="content"/>
        </w:behaviors>
        <w:guid w:val="{809688BC-BD81-2046-BBD5-15C53E3A249C}"/>
      </w:docPartPr>
      <w:docPartBody>
        <w:p w:rsidR="000678D0" w:rsidRDefault="008538DA">
          <w:r w:rsidRPr="00862EB6">
            <w:rPr>
              <w:rStyle w:val="PlaceholderText"/>
            </w:rPr>
            <w:t>Formatting...</w:t>
          </w:r>
        </w:p>
      </w:docPartBody>
    </w:docPart>
    <w:docPart>
      <w:docPartPr>
        <w:name w:val="5A92E91C9C119E4F9D2190A551A03A35"/>
        <w:category>
          <w:name w:val="General"/>
          <w:gallery w:val="placeholder"/>
        </w:category>
        <w:types>
          <w:type w:val="bbPlcHdr"/>
        </w:types>
        <w:behaviors>
          <w:behavior w:val="content"/>
        </w:behaviors>
        <w:guid w:val="{5E89C754-96AD-A347-ACE7-4441CD0453FF}"/>
      </w:docPartPr>
      <w:docPartBody>
        <w:p w:rsidR="000678D0" w:rsidRDefault="008538DA">
          <w:r w:rsidRPr="00862EB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025"/>
    <w:rsid w:val="000678D0"/>
    <w:rsid w:val="00122AD5"/>
    <w:rsid w:val="001B635C"/>
    <w:rsid w:val="004C07F4"/>
    <w:rsid w:val="005A3940"/>
    <w:rsid w:val="005A4163"/>
    <w:rsid w:val="006B3172"/>
    <w:rsid w:val="006C51BC"/>
    <w:rsid w:val="00731C76"/>
    <w:rsid w:val="007473D9"/>
    <w:rsid w:val="007E6F32"/>
    <w:rsid w:val="008538DA"/>
    <w:rsid w:val="00871E08"/>
    <w:rsid w:val="009836AF"/>
    <w:rsid w:val="009D236A"/>
    <w:rsid w:val="00A32C40"/>
    <w:rsid w:val="00B63B2D"/>
    <w:rsid w:val="00BB7104"/>
    <w:rsid w:val="00E1483F"/>
    <w:rsid w:val="00EA3025"/>
    <w:rsid w:val="00F65373"/>
    <w:rsid w:val="00F90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538D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87F30A-D013-2549-BF56-ECBB8BFF8718}">
  <we:reference id="8c1c3d44-57e9-40d7-86e4-4adf88fea1dd" version="3.0.0.0" store="EXCatalog" storeType="EXCatalog"/>
  <we:alternateReferences>
    <we:reference id="WA200007520" version="3.0.0.0" store="en-GB" storeType="OMEX"/>
  </we:alternateReferences>
  <we:properties>
    <we:property name="citations" value="{&quot;32622817&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622817,&quot;citationText&quot;:&quot;&lt;span style=\&quot;font-family:Times New Roman;font-size:16px;color:#0B0B0B\&quot;&gt;[11]&lt;/span&gt;&quot;},&quot;52831113&quot;:{&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831113,&quot;citationText&quot;:&quot;&lt;span style=\&quot;font-family:Times New Roman;font-size:16px;color:#0B0B0B\&quot;&gt;[12]&lt;/span&gt;&quot;},&quot;57291304&quot;:{&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91304,&quot;citationText&quot;:&quot;&lt;span style=\&quot;font-family:Times New Roman;font-size:16px;color:#0B0B0B\&quot;&gt;[13]&lt;/span&gt;&quot;},&quot;142857533&quot;:{&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57533,&quot;citationText&quot;:&quot;&lt;span style=\&quot;font-family:Times New Roman;font-size:16px;color:#0B0B0B\&quot;&gt;[9]&lt;/span&gt;&quot;},&quot;296732054&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6732054,&quot;citationText&quot;:&quot;&lt;span style=\&quot;font-family:Times New Roman;font-size:16px;color:#0B0B0B\&quot;&gt;[11]&lt;/span&gt;&quot;},&quot;417374961&quot;:{&quot;referencesIds&quot;:[&quot;doc:6a673f037b91ef02af375bf4&quot;],&quot;referencesOptions&quot;:{&quot;doc:6a673f037b91ef02af375b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374961,&quot;citationText&quot;:&quot;&lt;span style=\&quot;font-family:Times New Roman;font-size:16px;color:#0B0B0B\&quot;&gt;[16]&lt;/span&gt;&quot;},&quot;500087408&quot;:{&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087408,&quot;citationText&quot;:&quot;&lt;span style=\&quot;font-family:Times New Roman;font-size:16px;color:#0B0B0B\&quot;&gt;[9]&lt;/span&gt;&quot;},&quot;572707602&quot;:{&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707602,&quot;citationText&quot;:&quot;&lt;span style=\&quot;font-family:Times New Roman;font-size:16px;color:#0B0B0B\&quot;&gt;[5]&lt;/span&gt;&quot;},&quot;685636888&quot;:{&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636888,&quot;citationText&quot;:&quot;&lt;span style=\&quot;font-family:Times New Roman;font-size:16px;color:#0B0B0B\&quot;&gt;[9]&lt;/span&gt;&quot;},&quot;708001486&quot;:{&quot;referencesIds&quot;:[&quot;doc:6a674036f4ea0903916f122b&quot;],&quot;referencesOptions&quot;:{&quot;doc:6a674036f4ea0903916f12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001486,&quot;citationText&quot;:&quot;&lt;span style=\&quot;font-family:Times New Roman;font-size:16px;color:#0B0B0B\&quot;&gt;[2]&lt;/span&gt;&quot;},&quot;803270176&quot;:{&quot;referencesIds&quot;:[&quot;doc:6a6740237b91ef02af375bff&quot;],&quot;referencesOptions&quot;:{&quot;doc:6a6740237b91ef02af375b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3270176,&quot;citationText&quot;:&quot;&lt;span style=\&quot;font-family:Times New Roman;font-size:16px;color:#0B0B0B\&quot;&gt;[3]&lt;/span&gt;&quot;},&quot;855855207&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5855207,&quot;citationText&quot;:&quot;&lt;span style=\&quot;font-family:Times New Roman;font-size:16px;color:#0B0B0B\&quot;&gt;[11]&lt;/span&gt;&quot;},&quot;940113948&quot;:{&quot;referencesIds&quot;:[&quot;doc:6a673f85846cf85db3cc3d25&quot;],&quot;referencesOptions&quot;:{&quot;doc:6a673f85846cf85db3cc3d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113948,&quot;citationText&quot;:&quot;&lt;span style=\&quot;font-family:Times New Roman;font-size:16px;color:#0B0B0B\&quot;&gt;[6]&lt;/span&gt;&quot;},&quot;982735936&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2735936,&quot;citationText&quot;:&quot;&lt;span style=\&quot;font-family:Times New Roman;font-size:16px;color:#0B0B0B\&quot;&gt;[4]&lt;/span&gt;&quot;},&quot;992915818&quot;:{&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915818,&quot;citationText&quot;:&quot;&lt;span style=\&quot;font-family:Times New Roman;font-size:16px;color:#0B0B0B\&quot;&gt;[13]&lt;/span&gt;&quot;},&quot;1041557604&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1557604,&quot;citationText&quot;:&quot;&lt;span style=\&quot;font-family:Times New Roman;font-size:16px;color:#0B0B0B\&quot;&gt;[4]&lt;/span&gt;&quot;},&quot;1092353664&quot;:{&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2353664,&quot;citationText&quot;:&quot;&lt;span style=\&quot;font-family:Times New Roman;font-size:16px;color:#0B0B0B\&quot;&gt;[12]&lt;/span&gt;&quot;},&quot;1099764484&quot;:{&quot;referencesIds&quot;:[&quot;doc:6a673f5e6ea8294ba2d2b04f&quot;],&quot;referencesOptions&quot;:{&quot;doc:6a673f5e6ea8294ba2d2b0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9764484,&quot;citationText&quot;:&quot;&lt;span style=\&quot;font-family:Times New Roman;font-size:16px;color:#0B0B0B\&quot;&gt;[15]&lt;/span&gt;&quot;},&quot;1206068097&quot;:{&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068097,&quot;citationText&quot;:&quot;&lt;span style=\&quot;font-family:Times New Roman;font-size:16px;color:#0B0B0B\&quot;&gt;[10]&lt;/span&gt;&quot;},&quot;1264111222&quot;:{&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111222,&quot;citationText&quot;:&quot;&lt;span style=\&quot;font-family:Times New Roman;font-size:16px;color:#0B0B0B\&quot;&gt;[12]&lt;/span&gt;&quot;},&quot;1391307839&quot;:{&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1307839,&quot;citationText&quot;:&quot;&lt;span style=\&quot;font-family:Times New Roman;font-size:16px;color:#0B0B0B\&quot;&gt;[10]&lt;/span&gt;&quot;},&quot;1645073761&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5073761,&quot;citationText&quot;:&quot;&lt;span style=\&quot;font-family:Times New Roman;font-size:16px;color:#0B0B0B\&quot;&gt;[11]&lt;/span&gt;&quot;},&quot;1825694430&quot;:{&quot;referencesIds&quot;:[&quot;doc:6a673fd18ae2f118ec1a4ca2&quot;],&quot;referencesOptions&quot;:{&quot;doc:6a673fd18ae2f118ec1a4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694430,&quot;citationText&quot;:&quot;&lt;span style=\&quot;font-family:Times New Roman;font-size:16px;color:#0B0B0B\&quot;&gt;[8]&lt;/span&gt;&quot;},&quot;2077618065&quot;:{&quot;referencesIds&quot;:[&quot;doc:6a673ee5a799961e1e6173c7&quot;],&quot;referencesOptions&quot;:{&quot;doc:6a673ee5a799961e1e6173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618065,&quot;citationText&quot;:&quot;&lt;span style=\&quot;font-family:Times New Roman;font-size:16px;color:#0B0B0B\&quot;&gt;[1]&lt;/span&gt;&quot;},&quot;-1887022050&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7022050,&quot;citationText&quot;:&quot;&lt;span style=\&quot;font-family:Times New Roman;font-size:16px;color:#0B0B0B\&quot;&gt;[4]&lt;/span&gt;&quot;},&quot;-1186988472&quot;:{&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6988472,&quot;citationText&quot;:&quot;&lt;span style=\&quot;font-family:Times New Roman;font-size:16px;color:#0B0B0B\&quot;&gt;[5]&lt;/span&gt;&quot;},&quot;-88778450&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778450,&quot;citationText&quot;:&quot;&lt;span style=\&quot;font-family:Times New Roman;font-size:16px;color:#0B0B0B\&quot;&gt;[4]&lt;/span&gt;&quot;},&quot;-1020082471&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0082471,&quot;citationText&quot;:&quot;&lt;span style=\&quot;font-family:Times New Roman;font-size:16px;color:#0B0B0B\&quot;&gt;[4]&lt;/span&gt;&quot;},&quot;-653681048&quot;:{&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681048,&quot;citationText&quot;:&quot;&lt;span style=\&quot;font-family:Times New Roman;font-size:16px;color:#0B0B0B\&quot;&gt;[5]&lt;/span&gt;&quot;},&quot;-981153950&quot;:{&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153950,&quot;citationText&quot;:&quot;&lt;span style=\&quot;font-family:Times New Roman;font-size:16px;color:#0B0B0B\&quot;&gt;[5]&lt;/span&gt;&quot;},&quot;-893110572&quot;:{&quot;referencesIds&quot;:[&quot;doc:6a673f72846cf85db3cc3d23&quot;],&quot;referencesOptions&quot;:{&quot;doc:6a673f72846cf85db3cc3d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3110572,&quot;citationText&quot;:&quot;&lt;span style=\&quot;font-family:Times New Roman;font-size:16px;color:#0B0B0B\&quot;&gt;[7]&lt;/span&gt;&quot;},&quot;-1972351328&quot;:{&quot;referencesIds&quot;:[&quot;doc:6a673fd18ae2f118ec1a4ca2&quot;],&quot;referencesOptions&quot;:{&quot;doc:6a673fd18ae2f118ec1a4c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351328,&quot;citationText&quot;:&quot;&lt;span style=\&quot;font-family:Times New Roman;font-size:16px;color:#0B0B0B\&quot;&gt;[8]&lt;/span&gt;&quot;},&quot;-1077747815&quot;:{&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7747815,&quot;citationText&quot;:&quot;&lt;span style=\&quot;font-family:Times New Roman;font-size:16px;color:#0B0B0B\&quot;&gt;[9]&lt;/span&gt;&quot;},&quot;-1129394394&quot;:{&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394394,&quot;citationText&quot;:&quot;&lt;span style=\&quot;font-family:Times New Roman;font-size:16px;color:#0B0B0B\&quot;&gt;[10]&lt;/span&gt;&quot;},&quot;-430976654&quot;:{&quot;referencesIds&quot;:[&quot;doc:6a673ff9bc44602a2a77e97f&quot;],&quot;referencesOptions&quot;:{&quot;doc:6a673ff9bc44602a2a77e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976654,&quot;citationText&quot;:&quot;&lt;span style=\&quot;font-family:Times New Roman;font-size:16px;color:#0B0B0B\&quot;&gt;[5]&lt;/span&gt;&quot;},&quot;-950867458&quot;:{&quot;referencesIds&quot;:[&quot;doc:6a6740237b91ef02af375bff&quot;],&quot;referencesOptions&quot;:{&quot;doc:6a6740237b91ef02af375b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0867458,&quot;citationText&quot;:&quot;&lt;span style=\&quot;font-family:Times New Roman;font-size:16px;color:#0B0B0B\&quot;&gt;[3]&lt;/span&gt;&quot;},&quot;-566721648&quot;:{&quot;referencesIds&quot;:[&quot;doc:6a673f96846cf85db3cc3d27&quot;],&quot;referencesOptions&quot;:{&quot;doc:6a673f96846cf85db3cc3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721648,&quot;citationText&quot;:&quot;&lt;span style=\&quot;font-family:Times New Roman;font-size:16px;color:#0B0B0B\&quot;&gt;[9]&lt;/span&gt;&quot;},&quot;-650446845&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446845,&quot;citationText&quot;:&quot;&lt;span style=\&quot;font-family:Times New Roman;font-size:16px;color:#0B0B0B\&quot;&gt;[4]&lt;/span&gt;&quot;},&quot;-261686929&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686929,&quot;citationText&quot;:&quot;&lt;span style=\&quot;font-family:Times New Roman;font-size:16px;color:#0B0B0B\&quot;&gt;[4]&lt;/span&gt;&quot;},&quot;-309482078&quot;:{&quot;referencesIds&quot;:[&quot;doc:6a673f72846cf85db3cc3d23&quot;],&quot;referencesOptions&quot;:{&quot;doc:6a673f72846cf85db3cc3d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9482078,&quot;citationText&quot;:&quot;&lt;span style=\&quot;font-family:Times New Roman;font-size:16px;color:#0B0B0B\&quot;&gt;[7]&lt;/span&gt;&quot;},&quot;-917396948&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7396948,&quot;citationText&quot;:&quot;&lt;span style=\&quot;font-family:Times New Roman;font-size:16px;color:#0B0B0B\&quot;&gt;[4]&lt;/span&gt;&quot;},&quot;-1170480973&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480973,&quot;citationText&quot;:&quot;&lt;span style=\&quot;font-family:Times New Roman;font-size:16px;color:#0B0B0B\&quot;&gt;[11]&lt;/span&gt;&quot;},&quot;-1174958160&quot;:{&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4958160,&quot;citationText&quot;:&quot;&lt;span style=\&quot;font-family:Times New Roman;font-size:16px;color:#0B0B0B\&quot;&gt;[13]&lt;/span&gt;&quot;},&quot;-940756766&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756766,&quot;citationText&quot;:&quot;&lt;span style=\&quot;font-family:Times New Roman;font-size:16px;color:#0B0B0B\&quot;&gt;[11]&lt;/span&gt;&quot;},&quot;-107976354&quot;:{&quot;referencesIds&quot;:[&quot;doc:6a674009bc44602a2a77e982&quot;],&quot;referencesOptions&quot;:{&quot;doc:6a674009bc44602a2a77e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76354,&quot;citationText&quot;:&quot;&lt;span style=\&quot;font-family:Times New Roman;font-size:16px;color:#0B0B0B\&quot;&gt;[4]&lt;/span&gt;&quot;},&quot;-1551840161&quot;:{&quot;referencesIds&quot;:[&quot;doc:6a71d818b973893f31f9810e&quot;],&quot;referencesOptions&quot;:{&quot;doc:6a71d818b973893f31f98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840161,&quot;citationText&quot;:&quot;&lt;span style=\&quot;font-family:Times New Roman;font-size:16px;color:#0B0B0B\&quot;&gt;[14]&lt;/span&gt;&quot;},&quot;-2032023416&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023416,&quot;citationText&quot;:&quot;&lt;span style=\&quot;font-family:Times New Roman;font-size:16px;color:#0B0B0B\&quot;&gt;[11]&lt;/span&gt;&quot;},&quot;-2089910900&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910900,&quot;citationText&quot;:&quot;&lt;span style=\&quot;font-family:Times New Roman;font-size:16px;color:#0B0B0B\&quot;&gt;[11]&lt;/span&gt;&quot;},&quot;-620770329&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0770329,&quot;citationText&quot;:&quot;&lt;span style=\&quot;font-family:Times New Roman;font-size:16px;color:#0B0B0B\&quot;&gt;[11]&lt;/span&gt;&quot;},&quot;-234401100&quot;:{&quot;referencesIds&quot;:[&quot;doc:6a71d790d590294f46aaab7c&quot;],&quot;referencesOptions&quot;:{&quot;doc:6a71d790d590294f46aaab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4401100,&quot;citationText&quot;:&quot;&lt;span style=\&quot;font-family:Times New Roman;font-size:16px;color:#0B0B0B\&quot;&gt;[13]&lt;/span&gt;&quot;},&quot;-1877995130&quot;:{&quot;referencesIds&quot;:[&quot;doc:6a71d818b973893f31f9810e&quot;],&quot;referencesOptions&quot;:{&quot;doc:6a71d818b973893f31f98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7995130,&quot;citationText&quot;:&quot;&lt;span style=\&quot;font-family:Times New Roman;font-size:16px;color:#0B0B0B\&quot;&gt;[14]&lt;/span&gt;&quot;},&quot;-690378002&quot;:{&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0378002,&quot;citationText&quot;:&quot;&lt;span style=\&quot;font-family:Times New Roman;font-size:16px;color:#0B0B0B\&quot;&gt;[12]&lt;/span&gt;&quot;},&quot;-702483231&quot;:{&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2483231,&quot;citationText&quot;:&quot;&lt;span style=\&quot;font-family:Times New Roman;font-size:16px;color:#0B0B0B\&quot;&gt;[12]&lt;/span&gt;&quot;},&quot;-1040741839&quot;:{&quot;referencesIds&quot;:[&quot;doc:6a71d7d8b7030730d603111f&quot;],&quot;referencesOptions&quot;:{&quot;doc:6a71d7d8b7030730d6031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0741839,&quot;citationText&quot;:&quot;&lt;span style=\&quot;font-family:Times New Roman;font-size:16px;color:#0B0B0B\&quot;&gt;[12]&lt;/span&gt;&quot;},&quot;-23098846&quot;:{&quot;referencesIds&quot;:[&quot;doc:6a71d750b7030730d6031119&quot;],&quot;referencesOptions&quot;:{&quot;doc:6a71d750b7030730d60311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098846,&quot;citationText&quot;:&quot;&lt;span style=\&quot;font-family:Times New Roman;font-size:16px;color:#0B0B0B\&quot;&gt;[11]&lt;/span&gt;&quot;},&quot;-1504036719&quot;:{&quot;referencesIds&quot;:[&quot;doc:6a673fe58ae2f118ec1a4ca4&quot;],&quot;referencesOptions&quot;:{&quot;doc:6a673fe58ae2f118ec1a4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4036719,&quot;citationText&quot;:&quot;&lt;span style=\&quot;font-family:Times New Roman;font-size:16px;color:#0B0B0B\&quot;&gt;[10]&lt;/span&gt;&quot;},&quot;-226142506&quot;:{&quot;referencesIds&quot;:[&quot;doc:6a673ee5a799961e1e6173c7&quot;],&quot;referencesOptions&quot;:{&quot;doc:6a673ee5a799961e1e6173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142506,&quot;citationText&quot;:&quot;&lt;span style=\&quot;font-family:Times New Roman;font-size:16px;color:#0B0B0B\&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F5FF0F-FF0E-504E-92D7-E51332593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5620</Words>
  <Characters>32036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Assignment Title: Research and case scenarioin Data Security and  Compliance</vt:lpstr>
    </vt:vector>
  </TitlesOfParts>
  <Company>London campus</Company>
  <LinksUpToDate>false</LinksUpToDate>
  <CharactersWithSpaces>37581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Research and case scenarioin Data Security and  Compliance</dc:title>
  <dc:subject/>
  <dc:creator>Joao Paulo Borges Straioto (2430803)</dc:creator>
  <cp:keywords/>
  <dc:description/>
  <cp:lastModifiedBy>Joao Paulo Borges Straioto (2430803)</cp:lastModifiedBy>
  <cp:revision>2</cp:revision>
  <dcterms:created xsi:type="dcterms:W3CDTF">2026-08-10T22:39:00Z</dcterms:created>
  <dcterms:modified xsi:type="dcterms:W3CDTF">2026-08-10T22:39:00Z</dcterms:modified>
</cp:coreProperties>
</file>