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42250" w14:textId="77777777" w:rsidR="009F1D44" w:rsidRPr="00466921" w:rsidRDefault="009F1D44" w:rsidP="00466921">
      <w:pPr>
        <w:spacing w:line="480" w:lineRule="auto"/>
        <w:rPr>
          <w:sz w:val="24"/>
          <w:szCs w:val="24"/>
          <w:u w:val="single"/>
        </w:rPr>
      </w:pPr>
      <w:r w:rsidRPr="00466921">
        <w:rPr>
          <w:sz w:val="24"/>
          <w:szCs w:val="24"/>
          <w:u w:val="single"/>
        </w:rPr>
        <w:t>How did the unprecedented mass death and bereavement of World War One impact upon the way Britons remembered and commemorated their war dead? You may refer to both local and national forms of commemoration and memorialisation.</w:t>
      </w:r>
    </w:p>
    <w:p w14:paraId="2CC19D62" w14:textId="4310B119" w:rsidR="00690F64" w:rsidRDefault="0014294D" w:rsidP="00466921">
      <w:pPr>
        <w:spacing w:line="480" w:lineRule="auto"/>
        <w:rPr>
          <w:sz w:val="24"/>
          <w:szCs w:val="24"/>
        </w:rPr>
      </w:pPr>
      <w:r>
        <w:rPr>
          <w:sz w:val="24"/>
          <w:szCs w:val="24"/>
        </w:rPr>
        <w:t xml:space="preserve"> </w:t>
      </w:r>
      <w:r>
        <w:rPr>
          <w:sz w:val="24"/>
          <w:szCs w:val="24"/>
        </w:rPr>
        <w:tab/>
      </w:r>
      <w:r w:rsidR="009F1D44" w:rsidRPr="00466921">
        <w:rPr>
          <w:sz w:val="24"/>
          <w:szCs w:val="24"/>
        </w:rPr>
        <w:t xml:space="preserve">Memory and memorialisation were prominent features in Britain following the First World War. This </w:t>
      </w:r>
      <w:r w:rsidR="00690F64">
        <w:rPr>
          <w:sz w:val="24"/>
          <w:szCs w:val="24"/>
        </w:rPr>
        <w:t>resulted</w:t>
      </w:r>
      <w:r w:rsidR="009F1D44" w:rsidRPr="00466921">
        <w:rPr>
          <w:sz w:val="24"/>
          <w:szCs w:val="24"/>
        </w:rPr>
        <w:t xml:space="preserve"> from the sheer number of fatalities Britain had faced during the war era. The numbers of casualties were over 700,000. </w:t>
      </w:r>
      <w:r w:rsidR="00890781" w:rsidRPr="00466921">
        <w:rPr>
          <w:sz w:val="24"/>
          <w:szCs w:val="24"/>
        </w:rPr>
        <w:t xml:space="preserve">Due to the intensity </w:t>
      </w:r>
      <w:r w:rsidR="004768F0" w:rsidRPr="00466921">
        <w:rPr>
          <w:sz w:val="24"/>
          <w:szCs w:val="24"/>
        </w:rPr>
        <w:t>and sheer scale of the loss following the war, c</w:t>
      </w:r>
      <w:r w:rsidR="009F1D44" w:rsidRPr="00466921">
        <w:rPr>
          <w:sz w:val="24"/>
          <w:szCs w:val="24"/>
        </w:rPr>
        <w:t xml:space="preserve">ommemoration of the dead was </w:t>
      </w:r>
      <w:r w:rsidR="00690F64">
        <w:rPr>
          <w:sz w:val="24"/>
          <w:szCs w:val="24"/>
        </w:rPr>
        <w:t xml:space="preserve">a </w:t>
      </w:r>
      <w:r w:rsidR="009F1D44" w:rsidRPr="00466921">
        <w:rPr>
          <w:sz w:val="24"/>
          <w:szCs w:val="24"/>
        </w:rPr>
        <w:t xml:space="preserve">popular practice following the war. Many memorials and monuments were constructed across battlefields, as well as </w:t>
      </w:r>
      <w:r w:rsidR="00690F64">
        <w:rPr>
          <w:sz w:val="24"/>
          <w:szCs w:val="24"/>
        </w:rPr>
        <w:t xml:space="preserve">in the </w:t>
      </w:r>
      <w:r w:rsidR="009F1D44" w:rsidRPr="00466921">
        <w:rPr>
          <w:sz w:val="24"/>
          <w:szCs w:val="24"/>
        </w:rPr>
        <w:t xml:space="preserve">villages, towns and cities of Britain. </w:t>
      </w:r>
      <w:r w:rsidR="00ED44D3">
        <w:rPr>
          <w:sz w:val="24"/>
          <w:szCs w:val="24"/>
        </w:rPr>
        <w:t>Community memorials create a unique shared way of remembering and w</w:t>
      </w:r>
      <w:r w:rsidR="005D7E16">
        <w:rPr>
          <w:sz w:val="24"/>
          <w:szCs w:val="24"/>
        </w:rPr>
        <w:t xml:space="preserve">hen people remember and create memorials there are always choices made in what is remembered and what is forgotten. </w:t>
      </w:r>
      <w:r w:rsidR="00690F64">
        <w:rPr>
          <w:sz w:val="24"/>
          <w:szCs w:val="24"/>
        </w:rPr>
        <w:t xml:space="preserve">How Britain chose to remember its dead is found in </w:t>
      </w:r>
      <w:proofErr w:type="gramStart"/>
      <w:r w:rsidR="00690F64">
        <w:rPr>
          <w:sz w:val="24"/>
          <w:szCs w:val="24"/>
        </w:rPr>
        <w:t>a number of</w:t>
      </w:r>
      <w:proofErr w:type="gramEnd"/>
      <w:r w:rsidR="00690F64">
        <w:rPr>
          <w:sz w:val="24"/>
          <w:szCs w:val="24"/>
        </w:rPr>
        <w:t xml:space="preserve"> forms, including, physical memorials, charitable trusts and literary and artistic responses. Semiotic</w:t>
      </w:r>
      <w:r w:rsidR="00A64319">
        <w:rPr>
          <w:sz w:val="24"/>
          <w:szCs w:val="24"/>
        </w:rPr>
        <w:t xml:space="preserve"> analysis is useful in examining First World War memorials</w:t>
      </w:r>
      <w:r w:rsidR="000F029C">
        <w:rPr>
          <w:sz w:val="24"/>
          <w:szCs w:val="24"/>
        </w:rPr>
        <w:t xml:space="preserve"> and this study focuses on Cardiff War Memorial at Cathays Park, the significance of Flanders Poppies and the unique response that is known as ‘Letter to an Unknown Solider</w:t>
      </w:r>
      <w:r w:rsidR="00753221">
        <w:rPr>
          <w:sz w:val="24"/>
          <w:szCs w:val="24"/>
        </w:rPr>
        <w:t>.</w:t>
      </w:r>
      <w:r w:rsidR="000F029C">
        <w:rPr>
          <w:sz w:val="24"/>
          <w:szCs w:val="24"/>
        </w:rPr>
        <w:t>’</w:t>
      </w:r>
    </w:p>
    <w:p w14:paraId="79936B0C" w14:textId="3A14E287" w:rsidR="0014294D" w:rsidRDefault="0014294D" w:rsidP="00466921">
      <w:pPr>
        <w:spacing w:line="480" w:lineRule="auto"/>
        <w:rPr>
          <w:sz w:val="24"/>
          <w:szCs w:val="24"/>
        </w:rPr>
      </w:pPr>
      <w:r>
        <w:rPr>
          <w:sz w:val="24"/>
          <w:szCs w:val="24"/>
        </w:rPr>
        <w:tab/>
      </w:r>
      <w:r w:rsidR="009F1D44" w:rsidRPr="00466921">
        <w:rPr>
          <w:sz w:val="24"/>
          <w:szCs w:val="24"/>
        </w:rPr>
        <w:t xml:space="preserve">During the nineteenth century, before war began, Britain </w:t>
      </w:r>
      <w:r w:rsidR="00A641E5" w:rsidRPr="00466921">
        <w:rPr>
          <w:sz w:val="24"/>
          <w:szCs w:val="24"/>
        </w:rPr>
        <w:t>had</w:t>
      </w:r>
      <w:r w:rsidR="009F1D44" w:rsidRPr="00466921">
        <w:rPr>
          <w:sz w:val="24"/>
          <w:szCs w:val="24"/>
        </w:rPr>
        <w:t xml:space="preserve"> faced unparalleled high death rates.</w:t>
      </w:r>
      <w:r w:rsidR="00A641E5" w:rsidRPr="00466921">
        <w:rPr>
          <w:sz w:val="24"/>
          <w:szCs w:val="24"/>
        </w:rPr>
        <w:t xml:space="preserve"> The country had faced new heights of extravagance with their ceremonial mindset of mourning</w:t>
      </w:r>
      <w:r w:rsidR="00AA145A">
        <w:rPr>
          <w:rStyle w:val="FootnoteReference"/>
          <w:sz w:val="24"/>
          <w:szCs w:val="24"/>
        </w:rPr>
        <w:footnoteReference w:id="1"/>
      </w:r>
      <w:r w:rsidR="00BD7502">
        <w:rPr>
          <w:sz w:val="24"/>
          <w:szCs w:val="24"/>
        </w:rPr>
        <w:t xml:space="preserve"> </w:t>
      </w:r>
      <w:r w:rsidR="007E13A9">
        <w:rPr>
          <w:sz w:val="24"/>
          <w:szCs w:val="24"/>
        </w:rPr>
        <w:t xml:space="preserve">Many families could </w:t>
      </w:r>
      <w:r w:rsidR="001707A1">
        <w:rPr>
          <w:sz w:val="24"/>
          <w:szCs w:val="24"/>
        </w:rPr>
        <w:t>usually</w:t>
      </w:r>
      <w:r w:rsidR="007E13A9">
        <w:rPr>
          <w:sz w:val="24"/>
          <w:szCs w:val="24"/>
        </w:rPr>
        <w:t xml:space="preserve"> find comfort from spiritual implications </w:t>
      </w:r>
      <w:r w:rsidR="001707A1">
        <w:rPr>
          <w:sz w:val="24"/>
          <w:szCs w:val="24"/>
        </w:rPr>
        <w:t>d</w:t>
      </w:r>
      <w:r w:rsidR="007E13A9">
        <w:rPr>
          <w:sz w:val="24"/>
          <w:szCs w:val="24"/>
        </w:rPr>
        <w:t>uring a funeral</w:t>
      </w:r>
      <w:r w:rsidR="001707A1">
        <w:rPr>
          <w:rStyle w:val="FootnoteReference"/>
          <w:sz w:val="24"/>
          <w:szCs w:val="24"/>
        </w:rPr>
        <w:footnoteReference w:id="2"/>
      </w:r>
      <w:r w:rsidR="007E13A9">
        <w:rPr>
          <w:sz w:val="24"/>
          <w:szCs w:val="24"/>
        </w:rPr>
        <w:t xml:space="preserve">. </w:t>
      </w:r>
      <w:r w:rsidR="00A641E5" w:rsidRPr="00466921">
        <w:rPr>
          <w:sz w:val="24"/>
          <w:szCs w:val="24"/>
        </w:rPr>
        <w:t>Death, grief and bereavement had been a fundamental part of life.</w:t>
      </w:r>
      <w:r w:rsidR="001707A1">
        <w:rPr>
          <w:rStyle w:val="FootnoteReference"/>
          <w:sz w:val="24"/>
          <w:szCs w:val="24"/>
        </w:rPr>
        <w:footnoteReference w:id="3"/>
      </w:r>
      <w:r w:rsidR="00A641E5" w:rsidRPr="00466921">
        <w:rPr>
          <w:sz w:val="24"/>
          <w:szCs w:val="24"/>
        </w:rPr>
        <w:t xml:space="preserve"> </w:t>
      </w:r>
      <w:r w:rsidR="00A641E5" w:rsidRPr="00466921">
        <w:rPr>
          <w:sz w:val="24"/>
          <w:szCs w:val="24"/>
        </w:rPr>
        <w:lastRenderedPageBreak/>
        <w:t xml:space="preserve">However, by the time 1914 came around, Britons were less intimately accustomed with death than any other generation before them. Death had become linked with old age rather than through illness and battles. </w:t>
      </w:r>
      <w:proofErr w:type="gramStart"/>
      <w:r w:rsidR="00A641E5" w:rsidRPr="00466921">
        <w:rPr>
          <w:sz w:val="24"/>
          <w:szCs w:val="24"/>
        </w:rPr>
        <w:t>As a result of</w:t>
      </w:r>
      <w:proofErr w:type="gramEnd"/>
      <w:r w:rsidR="00A641E5" w:rsidRPr="00466921">
        <w:rPr>
          <w:sz w:val="24"/>
          <w:szCs w:val="24"/>
        </w:rPr>
        <w:t xml:space="preserve"> this, dying on the battlefield became seen as heroic, noble and unlikely. </w:t>
      </w:r>
      <w:r w:rsidR="00C010BC">
        <w:rPr>
          <w:sz w:val="24"/>
          <w:szCs w:val="24"/>
        </w:rPr>
        <w:t xml:space="preserve"> </w:t>
      </w:r>
      <w:r w:rsidR="00A641E5" w:rsidRPr="00466921">
        <w:rPr>
          <w:sz w:val="24"/>
          <w:szCs w:val="24"/>
        </w:rPr>
        <w:t>Historian A.J.P Taylor observed and noted how that up until war struck ‘no man in the prime of life knew what war was like.’</w:t>
      </w:r>
      <w:r w:rsidR="001707A1">
        <w:rPr>
          <w:rStyle w:val="FootnoteReference"/>
          <w:sz w:val="24"/>
          <w:szCs w:val="24"/>
        </w:rPr>
        <w:footnoteReference w:id="4"/>
      </w:r>
      <w:r w:rsidR="00A641E5" w:rsidRPr="00466921">
        <w:rPr>
          <w:sz w:val="24"/>
          <w:szCs w:val="24"/>
        </w:rPr>
        <w:t xml:space="preserve"> He explains that the generation could only imagine what it would be like, and that they believed that it was a great affair that included marches and battles that would be swiftly concluded.</w:t>
      </w:r>
      <w:r w:rsidR="001707A1">
        <w:rPr>
          <w:rStyle w:val="FootnoteReference"/>
          <w:sz w:val="24"/>
          <w:szCs w:val="24"/>
        </w:rPr>
        <w:footnoteReference w:id="5"/>
      </w:r>
      <w:r w:rsidR="00A641E5" w:rsidRPr="00466921">
        <w:rPr>
          <w:sz w:val="24"/>
          <w:szCs w:val="24"/>
        </w:rPr>
        <w:t xml:space="preserve"> </w:t>
      </w:r>
    </w:p>
    <w:p w14:paraId="5C63DCEF" w14:textId="2BC49B6A" w:rsidR="0014294D" w:rsidRDefault="0014294D" w:rsidP="00466921">
      <w:pPr>
        <w:spacing w:line="480" w:lineRule="auto"/>
        <w:rPr>
          <w:sz w:val="24"/>
          <w:szCs w:val="24"/>
        </w:rPr>
      </w:pPr>
      <w:r>
        <w:rPr>
          <w:sz w:val="24"/>
          <w:szCs w:val="24"/>
        </w:rPr>
        <w:t xml:space="preserve"> </w:t>
      </w:r>
      <w:r>
        <w:rPr>
          <w:sz w:val="24"/>
          <w:szCs w:val="24"/>
        </w:rPr>
        <w:tab/>
      </w:r>
      <w:r w:rsidR="00895306" w:rsidRPr="00466921">
        <w:rPr>
          <w:sz w:val="24"/>
          <w:szCs w:val="24"/>
        </w:rPr>
        <w:t xml:space="preserve">The Great War of 1914-18 generated emotional shocks and socio-political disturbances which shook the foundations of all belligerent European societies. </w:t>
      </w:r>
      <w:r w:rsidR="00895306" w:rsidRPr="00466921">
        <w:rPr>
          <w:sz w:val="24"/>
          <w:szCs w:val="24"/>
        </w:rPr>
        <w:br/>
        <w:t xml:space="preserve">Some survivors had set to amend the fractures of war. They planned to </w:t>
      </w:r>
      <w:r w:rsidR="00F05704">
        <w:rPr>
          <w:sz w:val="24"/>
          <w:szCs w:val="24"/>
        </w:rPr>
        <w:t xml:space="preserve">do </w:t>
      </w:r>
      <w:r w:rsidR="00895306" w:rsidRPr="00466921">
        <w:rPr>
          <w:sz w:val="24"/>
          <w:szCs w:val="24"/>
        </w:rPr>
        <w:t xml:space="preserve">this through asserting historical continuity through monuments and acts of remembrance. </w:t>
      </w:r>
      <w:r w:rsidR="00F3174F" w:rsidRPr="00466921">
        <w:rPr>
          <w:sz w:val="24"/>
          <w:szCs w:val="24"/>
        </w:rPr>
        <w:t xml:space="preserve">The war generated </w:t>
      </w:r>
      <w:r w:rsidR="006C6525" w:rsidRPr="00466921">
        <w:rPr>
          <w:sz w:val="24"/>
          <w:szCs w:val="24"/>
        </w:rPr>
        <w:t>the practice of naming the individual victims.</w:t>
      </w:r>
      <w:r w:rsidR="003D52A9">
        <w:rPr>
          <w:rStyle w:val="FootnoteReference"/>
          <w:sz w:val="24"/>
          <w:szCs w:val="24"/>
        </w:rPr>
        <w:footnoteReference w:id="6"/>
      </w:r>
      <w:r w:rsidR="006C6525" w:rsidRPr="00466921">
        <w:rPr>
          <w:sz w:val="24"/>
          <w:szCs w:val="24"/>
        </w:rPr>
        <w:t xml:space="preserve"> This </w:t>
      </w:r>
      <w:proofErr w:type="gramStart"/>
      <w:r w:rsidR="006C6525" w:rsidRPr="00466921">
        <w:rPr>
          <w:sz w:val="24"/>
          <w:szCs w:val="24"/>
        </w:rPr>
        <w:t>was seen as</w:t>
      </w:r>
      <w:proofErr w:type="gramEnd"/>
      <w:r w:rsidR="006C6525" w:rsidRPr="00466921">
        <w:rPr>
          <w:sz w:val="24"/>
          <w:szCs w:val="24"/>
        </w:rPr>
        <w:t xml:space="preserve"> returning an individuated reality to </w:t>
      </w:r>
      <w:r w:rsidR="008B4E17" w:rsidRPr="00466921">
        <w:rPr>
          <w:sz w:val="24"/>
          <w:szCs w:val="24"/>
        </w:rPr>
        <w:t xml:space="preserve">his </w:t>
      </w:r>
      <w:r w:rsidR="00703755" w:rsidRPr="00466921">
        <w:rPr>
          <w:sz w:val="24"/>
          <w:szCs w:val="24"/>
        </w:rPr>
        <w:t>life</w:t>
      </w:r>
      <w:r w:rsidR="006C6525" w:rsidRPr="00466921">
        <w:rPr>
          <w:sz w:val="24"/>
          <w:szCs w:val="24"/>
        </w:rPr>
        <w:t xml:space="preserve"> rather than the oblivion he would have been </w:t>
      </w:r>
      <w:r w:rsidR="008B4E17" w:rsidRPr="00466921">
        <w:rPr>
          <w:sz w:val="24"/>
          <w:szCs w:val="24"/>
        </w:rPr>
        <w:t>given</w:t>
      </w:r>
      <w:r w:rsidR="006C6525" w:rsidRPr="00466921">
        <w:rPr>
          <w:sz w:val="24"/>
          <w:szCs w:val="24"/>
        </w:rPr>
        <w:t xml:space="preserve"> on the </w:t>
      </w:r>
      <w:r w:rsidR="004A0EDD" w:rsidRPr="00466921">
        <w:rPr>
          <w:sz w:val="24"/>
          <w:szCs w:val="24"/>
        </w:rPr>
        <w:t>frontline</w:t>
      </w:r>
      <w:r w:rsidR="006C6525" w:rsidRPr="00466921">
        <w:rPr>
          <w:sz w:val="24"/>
          <w:szCs w:val="24"/>
        </w:rPr>
        <w:t>.</w:t>
      </w:r>
      <w:r w:rsidR="00703755">
        <w:rPr>
          <w:rStyle w:val="FootnoteReference"/>
          <w:sz w:val="24"/>
          <w:szCs w:val="24"/>
        </w:rPr>
        <w:footnoteReference w:id="7"/>
      </w:r>
      <w:r w:rsidR="006C6525" w:rsidRPr="00466921">
        <w:rPr>
          <w:sz w:val="24"/>
          <w:szCs w:val="24"/>
        </w:rPr>
        <w:t xml:space="preserve"> </w:t>
      </w:r>
      <w:r w:rsidR="004A0EDD" w:rsidRPr="00466921">
        <w:rPr>
          <w:sz w:val="24"/>
          <w:szCs w:val="24"/>
        </w:rPr>
        <w:t xml:space="preserve">Although many soldiers had not returned to Britain physically, commemorations were put in place to pledge that ‘their name </w:t>
      </w:r>
      <w:proofErr w:type="spellStart"/>
      <w:r w:rsidR="004A0EDD" w:rsidRPr="00466921">
        <w:rPr>
          <w:sz w:val="24"/>
          <w:szCs w:val="24"/>
        </w:rPr>
        <w:t>liveth</w:t>
      </w:r>
      <w:proofErr w:type="spellEnd"/>
      <w:r w:rsidR="004A0EDD" w:rsidRPr="00466921">
        <w:rPr>
          <w:sz w:val="24"/>
          <w:szCs w:val="24"/>
        </w:rPr>
        <w:t xml:space="preserve"> for evermore.’</w:t>
      </w:r>
      <w:r w:rsidR="00703755">
        <w:rPr>
          <w:rStyle w:val="FootnoteReference"/>
          <w:sz w:val="24"/>
          <w:szCs w:val="24"/>
        </w:rPr>
        <w:footnoteReference w:id="8"/>
      </w:r>
      <w:r w:rsidR="004A0EDD" w:rsidRPr="00466921">
        <w:rPr>
          <w:sz w:val="24"/>
          <w:szCs w:val="24"/>
        </w:rPr>
        <w:t xml:space="preserve"> </w:t>
      </w:r>
      <w:r w:rsidR="00CE73FD" w:rsidRPr="00466921">
        <w:rPr>
          <w:sz w:val="24"/>
          <w:szCs w:val="24"/>
        </w:rPr>
        <w:br/>
      </w:r>
      <w:r w:rsidR="004A0EDD" w:rsidRPr="00466921">
        <w:rPr>
          <w:sz w:val="24"/>
          <w:szCs w:val="24"/>
        </w:rPr>
        <w:t xml:space="preserve"> </w:t>
      </w:r>
      <w:r w:rsidR="004A0EDD" w:rsidRPr="00466921">
        <w:rPr>
          <w:sz w:val="24"/>
          <w:szCs w:val="24"/>
        </w:rPr>
        <w:tab/>
        <w:t>The solemnity of the memorials of the war has been assessed as an ‘invention of tradition’</w:t>
      </w:r>
      <w:r w:rsidR="00703755">
        <w:rPr>
          <w:rStyle w:val="FootnoteReference"/>
          <w:sz w:val="24"/>
          <w:szCs w:val="24"/>
        </w:rPr>
        <w:footnoteReference w:id="9"/>
      </w:r>
      <w:r w:rsidR="004A0EDD" w:rsidRPr="00466921">
        <w:rPr>
          <w:sz w:val="24"/>
          <w:szCs w:val="24"/>
        </w:rPr>
        <w:t xml:space="preserve">, formed as a means to emphasise the ‘national sacrifice’ and to mask the culpability of authority in the deaths of thousands. </w:t>
      </w:r>
      <w:r w:rsidR="00753E4A" w:rsidRPr="00466921">
        <w:rPr>
          <w:sz w:val="24"/>
          <w:szCs w:val="24"/>
        </w:rPr>
        <w:t xml:space="preserve">Architect Herbert Baker, shortly after the Armistice, suggested that war memorials should ‘express the heritage of unbroken history </w:t>
      </w:r>
      <w:r w:rsidR="00753E4A" w:rsidRPr="00466921">
        <w:rPr>
          <w:sz w:val="24"/>
          <w:szCs w:val="24"/>
        </w:rPr>
        <w:lastRenderedPageBreak/>
        <w:t>and the beauty of England which the sacrifices of our soldiers have kept inviolate.’</w:t>
      </w:r>
      <w:r w:rsidR="00923DFC">
        <w:rPr>
          <w:rStyle w:val="FootnoteReference"/>
          <w:sz w:val="24"/>
          <w:szCs w:val="24"/>
        </w:rPr>
        <w:footnoteReference w:id="10"/>
      </w:r>
      <w:r w:rsidR="00753E4A" w:rsidRPr="00466921">
        <w:rPr>
          <w:sz w:val="24"/>
          <w:szCs w:val="24"/>
        </w:rPr>
        <w:t xml:space="preserve"> </w:t>
      </w:r>
      <w:r w:rsidR="00DA3FCE" w:rsidRPr="00466921">
        <w:rPr>
          <w:sz w:val="24"/>
          <w:szCs w:val="24"/>
        </w:rPr>
        <w:br/>
        <w:t xml:space="preserve"> </w:t>
      </w:r>
      <w:r w:rsidR="00DA3FCE" w:rsidRPr="00466921">
        <w:rPr>
          <w:sz w:val="24"/>
          <w:szCs w:val="24"/>
        </w:rPr>
        <w:tab/>
        <w:t xml:space="preserve">Memorials often carry identical inscriptions: ‘Lest We Forget’; ‘We Will Remember Them’; ‘In honour of…’ This proposes the ideas that the replication of quotes </w:t>
      </w:r>
      <w:r w:rsidR="00FA0AD7" w:rsidRPr="00466921">
        <w:rPr>
          <w:sz w:val="24"/>
          <w:szCs w:val="24"/>
        </w:rPr>
        <w:t>was</w:t>
      </w:r>
      <w:r w:rsidR="00DA3FCE" w:rsidRPr="00466921">
        <w:rPr>
          <w:sz w:val="24"/>
          <w:szCs w:val="24"/>
        </w:rPr>
        <w:t xml:space="preserve"> part of a consensus which stated what war memorials should convey.</w:t>
      </w:r>
      <w:r w:rsidR="00DA3FCE" w:rsidRPr="00466921">
        <w:rPr>
          <w:rStyle w:val="FootnoteReference"/>
          <w:sz w:val="24"/>
          <w:szCs w:val="24"/>
        </w:rPr>
        <w:footnoteReference w:id="11"/>
      </w:r>
      <w:r w:rsidR="00DA3FCE" w:rsidRPr="00466921">
        <w:rPr>
          <w:sz w:val="24"/>
          <w:szCs w:val="24"/>
        </w:rPr>
        <w:t xml:space="preserve"> Memorials to the Great War had a resonance which is not </w:t>
      </w:r>
      <w:proofErr w:type="gramStart"/>
      <w:r w:rsidR="00DA3FCE" w:rsidRPr="00466921">
        <w:rPr>
          <w:sz w:val="24"/>
          <w:szCs w:val="24"/>
        </w:rPr>
        <w:t>readily apparent</w:t>
      </w:r>
      <w:proofErr w:type="gramEnd"/>
      <w:r w:rsidR="00DA3FCE" w:rsidRPr="00466921">
        <w:rPr>
          <w:sz w:val="24"/>
          <w:szCs w:val="24"/>
        </w:rPr>
        <w:t xml:space="preserve"> to us now.  Arthur </w:t>
      </w:r>
      <w:proofErr w:type="spellStart"/>
      <w:r w:rsidR="00DA3FCE" w:rsidRPr="00466921">
        <w:rPr>
          <w:sz w:val="24"/>
          <w:szCs w:val="24"/>
        </w:rPr>
        <w:t>Clutton</w:t>
      </w:r>
      <w:proofErr w:type="spellEnd"/>
      <w:r w:rsidR="00DA3FCE" w:rsidRPr="00466921">
        <w:rPr>
          <w:sz w:val="24"/>
          <w:szCs w:val="24"/>
        </w:rPr>
        <w:t>-Brock, an art critic for the Times stated that an inscription ‘should be good as an inscription, just as a motor car should be good as a car… the lettering is also simple, fine, clear and permanent.’</w:t>
      </w:r>
      <w:r w:rsidR="00923DFC">
        <w:rPr>
          <w:rStyle w:val="FootnoteReference"/>
          <w:sz w:val="24"/>
          <w:szCs w:val="24"/>
        </w:rPr>
        <w:footnoteReference w:id="12"/>
      </w:r>
      <w:r w:rsidR="00571750" w:rsidRPr="00466921">
        <w:rPr>
          <w:sz w:val="24"/>
          <w:szCs w:val="24"/>
        </w:rPr>
        <w:t xml:space="preserve"> </w:t>
      </w:r>
      <w:proofErr w:type="spellStart"/>
      <w:r w:rsidR="00571750" w:rsidRPr="00466921">
        <w:rPr>
          <w:sz w:val="24"/>
          <w:szCs w:val="24"/>
        </w:rPr>
        <w:t>Clutton</w:t>
      </w:r>
      <w:proofErr w:type="spellEnd"/>
      <w:r w:rsidR="00571750" w:rsidRPr="00466921">
        <w:rPr>
          <w:sz w:val="24"/>
          <w:szCs w:val="24"/>
        </w:rPr>
        <w:t xml:space="preserve">-Brock encouraged war memorials </w:t>
      </w:r>
      <w:proofErr w:type="gramStart"/>
      <w:r w:rsidR="00571750" w:rsidRPr="00466921">
        <w:rPr>
          <w:sz w:val="24"/>
          <w:szCs w:val="24"/>
        </w:rPr>
        <w:t>as a way to</w:t>
      </w:r>
      <w:proofErr w:type="gramEnd"/>
      <w:r w:rsidR="00571750" w:rsidRPr="00466921">
        <w:rPr>
          <w:sz w:val="24"/>
          <w:szCs w:val="24"/>
        </w:rPr>
        <w:t xml:space="preserve"> reach communal harmony. The unveiling of war memorials in villages provided a great means to reach this harmony as the countryside in Britain was a place which played an important role in defining and shaping British identity. However, it has been argued that these unveilings undermined and underestimated the extent of class conflict within the countryside.</w:t>
      </w:r>
      <w:r w:rsidR="00571750" w:rsidRPr="00466921">
        <w:rPr>
          <w:rStyle w:val="FootnoteReference"/>
          <w:sz w:val="24"/>
          <w:szCs w:val="24"/>
        </w:rPr>
        <w:footnoteReference w:id="13"/>
      </w:r>
      <w:r w:rsidR="00571750" w:rsidRPr="00466921">
        <w:rPr>
          <w:sz w:val="24"/>
          <w:szCs w:val="24"/>
        </w:rPr>
        <w:t xml:space="preserve"> </w:t>
      </w:r>
      <w:r w:rsidR="00476A65" w:rsidRPr="00466921">
        <w:rPr>
          <w:sz w:val="24"/>
          <w:szCs w:val="24"/>
        </w:rPr>
        <w:br/>
        <w:t xml:space="preserve"> </w:t>
      </w:r>
      <w:r w:rsidR="00476A65" w:rsidRPr="00466921">
        <w:rPr>
          <w:sz w:val="24"/>
          <w:szCs w:val="24"/>
        </w:rPr>
        <w:tab/>
        <w:t xml:space="preserve">O’Toole shows how artists would make semiotic choices to influence the public </w:t>
      </w:r>
      <w:r w:rsidR="0090260F">
        <w:rPr>
          <w:sz w:val="24"/>
          <w:szCs w:val="24"/>
        </w:rPr>
        <w:t>that viewed</w:t>
      </w:r>
      <w:r w:rsidR="00476A65" w:rsidRPr="00466921">
        <w:rPr>
          <w:sz w:val="24"/>
          <w:szCs w:val="24"/>
        </w:rPr>
        <w:t xml:space="preserve"> the artwork.</w:t>
      </w:r>
      <w:r w:rsidR="00476A65" w:rsidRPr="00466921">
        <w:rPr>
          <w:rStyle w:val="FootnoteReference"/>
          <w:sz w:val="24"/>
          <w:szCs w:val="24"/>
        </w:rPr>
        <w:footnoteReference w:id="14"/>
      </w:r>
      <w:r w:rsidR="00476A65" w:rsidRPr="00466921">
        <w:rPr>
          <w:sz w:val="24"/>
          <w:szCs w:val="24"/>
        </w:rPr>
        <w:t xml:space="preserve"> Some historians such as Arnot believed that the monuments that were constructed were a part of a larger scale propaganda machine which would have been used to </w:t>
      </w:r>
      <w:r w:rsidR="004D67A1" w:rsidRPr="00466921">
        <w:rPr>
          <w:sz w:val="24"/>
          <w:szCs w:val="24"/>
        </w:rPr>
        <w:t>‘</w:t>
      </w:r>
      <w:proofErr w:type="spellStart"/>
      <w:r w:rsidR="00476A65" w:rsidRPr="00466921">
        <w:rPr>
          <w:sz w:val="24"/>
          <w:szCs w:val="24"/>
        </w:rPr>
        <w:t>recontextualise</w:t>
      </w:r>
      <w:proofErr w:type="spellEnd"/>
      <w:r w:rsidR="00476A65" w:rsidRPr="00466921">
        <w:rPr>
          <w:sz w:val="24"/>
          <w:szCs w:val="24"/>
        </w:rPr>
        <w:t xml:space="preserve"> the huge </w:t>
      </w:r>
      <w:r w:rsidR="00641FC6" w:rsidRPr="00466921">
        <w:rPr>
          <w:sz w:val="24"/>
          <w:szCs w:val="24"/>
        </w:rPr>
        <w:t>toll of the decease</w:t>
      </w:r>
      <w:r w:rsidR="003F0BD3" w:rsidRPr="00466921">
        <w:rPr>
          <w:sz w:val="24"/>
          <w:szCs w:val="24"/>
        </w:rPr>
        <w:t>d into one of which was a common sacrifice for God and nation.</w:t>
      </w:r>
      <w:r w:rsidR="00AA4001" w:rsidRPr="00466921">
        <w:rPr>
          <w:sz w:val="24"/>
          <w:szCs w:val="24"/>
        </w:rPr>
        <w:t>’</w:t>
      </w:r>
      <w:r w:rsidR="00E862EA" w:rsidRPr="00466921">
        <w:rPr>
          <w:rStyle w:val="FootnoteReference"/>
          <w:sz w:val="24"/>
          <w:szCs w:val="24"/>
        </w:rPr>
        <w:footnoteReference w:id="15"/>
      </w:r>
      <w:r w:rsidR="00367050" w:rsidRPr="00466921">
        <w:rPr>
          <w:sz w:val="24"/>
          <w:szCs w:val="24"/>
        </w:rPr>
        <w:t xml:space="preserve"> When looking at monuments, semiotics can be used to analyse the </w:t>
      </w:r>
      <w:r w:rsidR="00295B47">
        <w:rPr>
          <w:sz w:val="24"/>
          <w:szCs w:val="24"/>
        </w:rPr>
        <w:t xml:space="preserve">significance </w:t>
      </w:r>
      <w:r w:rsidR="00367050" w:rsidRPr="00466921">
        <w:rPr>
          <w:sz w:val="24"/>
          <w:szCs w:val="24"/>
        </w:rPr>
        <w:t xml:space="preserve">of materials used to create them. </w:t>
      </w:r>
      <w:r w:rsidR="00367050" w:rsidRPr="00466921">
        <w:rPr>
          <w:rStyle w:val="FootnoteReference"/>
          <w:sz w:val="24"/>
          <w:szCs w:val="24"/>
        </w:rPr>
        <w:footnoteReference w:id="16"/>
      </w:r>
      <w:r w:rsidR="00286ACD" w:rsidRPr="00466921">
        <w:rPr>
          <w:sz w:val="24"/>
          <w:szCs w:val="24"/>
        </w:rPr>
        <w:t xml:space="preserve"> </w:t>
      </w:r>
      <w:r w:rsidR="002255F9" w:rsidRPr="00466921">
        <w:rPr>
          <w:sz w:val="24"/>
          <w:szCs w:val="24"/>
        </w:rPr>
        <w:t xml:space="preserve">Statues such as The Welsh </w:t>
      </w:r>
      <w:r w:rsidR="002255F9" w:rsidRPr="00466921">
        <w:rPr>
          <w:sz w:val="24"/>
          <w:szCs w:val="24"/>
        </w:rPr>
        <w:lastRenderedPageBreak/>
        <w:t>National War Memorial in Cathays Park, Cardiff</w:t>
      </w:r>
      <w:r w:rsidR="00045758" w:rsidRPr="00466921">
        <w:rPr>
          <w:rStyle w:val="FootnoteReference"/>
          <w:sz w:val="24"/>
          <w:szCs w:val="24"/>
        </w:rPr>
        <w:footnoteReference w:id="17"/>
      </w:r>
      <w:r w:rsidR="002255F9" w:rsidRPr="00466921">
        <w:rPr>
          <w:sz w:val="24"/>
          <w:szCs w:val="24"/>
        </w:rPr>
        <w:t xml:space="preserve">, represent the heaviness and permanence, this is due to them being </w:t>
      </w:r>
      <w:proofErr w:type="gramStart"/>
      <w:r w:rsidR="002255F9" w:rsidRPr="00466921">
        <w:rPr>
          <w:sz w:val="24"/>
          <w:szCs w:val="24"/>
        </w:rPr>
        <w:t>made out of</w:t>
      </w:r>
      <w:proofErr w:type="gramEnd"/>
      <w:r w:rsidR="002255F9" w:rsidRPr="00466921">
        <w:rPr>
          <w:sz w:val="24"/>
          <w:szCs w:val="24"/>
        </w:rPr>
        <w:t xml:space="preserve"> </w:t>
      </w:r>
      <w:r w:rsidR="00045758" w:rsidRPr="00466921">
        <w:rPr>
          <w:sz w:val="24"/>
          <w:szCs w:val="24"/>
        </w:rPr>
        <w:t>weighty</w:t>
      </w:r>
      <w:r w:rsidR="002255F9" w:rsidRPr="00466921">
        <w:rPr>
          <w:sz w:val="24"/>
          <w:szCs w:val="24"/>
        </w:rPr>
        <w:t xml:space="preserve"> bronze</w:t>
      </w:r>
      <w:r w:rsidR="00295B47">
        <w:rPr>
          <w:sz w:val="24"/>
          <w:szCs w:val="24"/>
        </w:rPr>
        <w:t>. Bronze is an expensive material which emphasises the value of the sentiment carried in the memorial</w:t>
      </w:r>
      <w:r w:rsidR="002255F9" w:rsidRPr="00466921">
        <w:rPr>
          <w:sz w:val="24"/>
          <w:szCs w:val="24"/>
        </w:rPr>
        <w:t>.</w:t>
      </w:r>
      <w:r w:rsidR="00295B47">
        <w:rPr>
          <w:sz w:val="24"/>
          <w:szCs w:val="24"/>
        </w:rPr>
        <w:t xml:space="preserve"> The scale of the monument is also significant; the huge and imposing memorial reflects the scale of the sacrifice and the scale of the grief associated with the sacrifice.</w:t>
      </w:r>
      <w:r w:rsidR="002255F9" w:rsidRPr="00466921">
        <w:rPr>
          <w:sz w:val="24"/>
          <w:szCs w:val="24"/>
        </w:rPr>
        <w:t xml:space="preserve"> The statues were forged in furnaces by traditional processes.</w:t>
      </w:r>
      <w:r w:rsidR="00045758" w:rsidRPr="00466921">
        <w:rPr>
          <w:rStyle w:val="FootnoteReference"/>
          <w:sz w:val="24"/>
          <w:szCs w:val="24"/>
        </w:rPr>
        <w:footnoteReference w:id="18"/>
      </w:r>
      <w:r w:rsidR="002255F9" w:rsidRPr="00466921">
        <w:rPr>
          <w:sz w:val="24"/>
          <w:szCs w:val="24"/>
        </w:rPr>
        <w:t xml:space="preserve"> </w:t>
      </w:r>
      <w:r w:rsidR="00646A2B">
        <w:rPr>
          <w:sz w:val="24"/>
          <w:szCs w:val="24"/>
        </w:rPr>
        <w:t xml:space="preserve">The reputation and standing of the sculptor would have been a factor in the impact of the object as a memorial. </w:t>
      </w:r>
      <w:r w:rsidR="00EE72E1" w:rsidRPr="00466921">
        <w:rPr>
          <w:sz w:val="24"/>
          <w:szCs w:val="24"/>
        </w:rPr>
        <w:t>The monument at Cathays Park was erected in 1928</w:t>
      </w:r>
      <w:r w:rsidR="00A659A2" w:rsidRPr="00466921">
        <w:rPr>
          <w:sz w:val="24"/>
          <w:szCs w:val="24"/>
        </w:rPr>
        <w:t xml:space="preserve">, </w:t>
      </w:r>
      <w:r w:rsidR="00E969F8">
        <w:rPr>
          <w:sz w:val="24"/>
          <w:szCs w:val="24"/>
        </w:rPr>
        <w:t>ten years after the war ended</w:t>
      </w:r>
      <w:r w:rsidR="006F677F">
        <w:rPr>
          <w:sz w:val="24"/>
          <w:szCs w:val="24"/>
        </w:rPr>
        <w:t xml:space="preserve">. The monument is made </w:t>
      </w:r>
      <w:r w:rsidR="00A659A2" w:rsidRPr="00466921">
        <w:rPr>
          <w:sz w:val="24"/>
          <w:szCs w:val="24"/>
        </w:rPr>
        <w:t xml:space="preserve">up of </w:t>
      </w:r>
      <w:r w:rsidR="00E969F8">
        <w:rPr>
          <w:sz w:val="24"/>
          <w:szCs w:val="24"/>
        </w:rPr>
        <w:t>three</w:t>
      </w:r>
      <w:r w:rsidR="00A659A2" w:rsidRPr="00466921">
        <w:rPr>
          <w:sz w:val="24"/>
          <w:szCs w:val="24"/>
        </w:rPr>
        <w:t xml:space="preserve"> bronze statues of servicemen which represent</w:t>
      </w:r>
      <w:r w:rsidR="00D74C4D">
        <w:rPr>
          <w:sz w:val="24"/>
          <w:szCs w:val="24"/>
        </w:rPr>
        <w:t xml:space="preserve"> </w:t>
      </w:r>
      <w:r w:rsidR="00A659A2" w:rsidRPr="00466921">
        <w:rPr>
          <w:sz w:val="24"/>
          <w:szCs w:val="24"/>
        </w:rPr>
        <w:t xml:space="preserve">the </w:t>
      </w:r>
      <w:r w:rsidR="00E969F8">
        <w:rPr>
          <w:sz w:val="24"/>
          <w:szCs w:val="24"/>
        </w:rPr>
        <w:t>three</w:t>
      </w:r>
      <w:r w:rsidR="00A659A2" w:rsidRPr="00466921">
        <w:rPr>
          <w:sz w:val="24"/>
          <w:szCs w:val="24"/>
        </w:rPr>
        <w:t xml:space="preserve"> services</w:t>
      </w:r>
      <w:r w:rsidR="00905B1D" w:rsidRPr="00466921">
        <w:rPr>
          <w:sz w:val="24"/>
          <w:szCs w:val="24"/>
        </w:rPr>
        <w:t xml:space="preserve"> which </w:t>
      </w:r>
      <w:r w:rsidR="00E969F8">
        <w:rPr>
          <w:sz w:val="24"/>
          <w:szCs w:val="24"/>
        </w:rPr>
        <w:t>bear</w:t>
      </w:r>
      <w:r w:rsidR="00905B1D" w:rsidRPr="00466921">
        <w:rPr>
          <w:sz w:val="24"/>
          <w:szCs w:val="24"/>
        </w:rPr>
        <w:t xml:space="preserve"> wreaths as well as being topped </w:t>
      </w:r>
      <w:r w:rsidR="00313B7B" w:rsidRPr="00466921">
        <w:rPr>
          <w:sz w:val="24"/>
          <w:szCs w:val="24"/>
        </w:rPr>
        <w:t>by</w:t>
      </w:r>
      <w:r w:rsidR="008A786A" w:rsidRPr="00466921">
        <w:rPr>
          <w:sz w:val="24"/>
          <w:szCs w:val="24"/>
        </w:rPr>
        <w:t xml:space="preserve"> a bronze winged Archangel Michael</w:t>
      </w:r>
      <w:r w:rsidR="00CE3E0C">
        <w:rPr>
          <w:sz w:val="24"/>
          <w:szCs w:val="24"/>
        </w:rPr>
        <w:t>.</w:t>
      </w:r>
      <w:r w:rsidR="00717B0B" w:rsidRPr="00466921">
        <w:rPr>
          <w:rStyle w:val="FootnoteReference"/>
          <w:sz w:val="24"/>
          <w:szCs w:val="24"/>
        </w:rPr>
        <w:footnoteReference w:id="19"/>
      </w:r>
      <w:r w:rsidR="008A786A" w:rsidRPr="00466921">
        <w:rPr>
          <w:sz w:val="24"/>
          <w:szCs w:val="24"/>
        </w:rPr>
        <w:t xml:space="preserve"> </w:t>
      </w:r>
      <w:r w:rsidR="00CE3E0C">
        <w:rPr>
          <w:sz w:val="24"/>
          <w:szCs w:val="24"/>
        </w:rPr>
        <w:t xml:space="preserve">This represents </w:t>
      </w:r>
      <w:r w:rsidR="008A786A" w:rsidRPr="00466921">
        <w:rPr>
          <w:sz w:val="24"/>
          <w:szCs w:val="24"/>
        </w:rPr>
        <w:t>the victory made by Britain.</w:t>
      </w:r>
      <w:r w:rsidR="00717B0B" w:rsidRPr="00466921">
        <w:rPr>
          <w:sz w:val="24"/>
          <w:szCs w:val="24"/>
        </w:rPr>
        <w:t xml:space="preserve"> Concluding this, it is shown that materials provide additional importance to the nature of the actions of the deceased soldiers</w:t>
      </w:r>
      <w:r w:rsidR="00972A6F" w:rsidRPr="00466921">
        <w:rPr>
          <w:sz w:val="24"/>
          <w:szCs w:val="24"/>
        </w:rPr>
        <w:t xml:space="preserve"> and the way in which we remember them. Bronze for society would have communicated tradition as well as timelessness.</w:t>
      </w:r>
      <w:r w:rsidR="00577C2E" w:rsidRPr="00466921">
        <w:rPr>
          <w:rStyle w:val="FootnoteReference"/>
          <w:sz w:val="24"/>
          <w:szCs w:val="24"/>
        </w:rPr>
        <w:footnoteReference w:id="20"/>
      </w:r>
      <w:r w:rsidR="00B827A2">
        <w:rPr>
          <w:sz w:val="24"/>
          <w:szCs w:val="24"/>
        </w:rPr>
        <w:t xml:space="preserve"> Similarly, stone memorials express a strong, solid and enduring quality. </w:t>
      </w:r>
    </w:p>
    <w:p w14:paraId="0210D299" w14:textId="67B873B9" w:rsidR="00571750" w:rsidRPr="00466921" w:rsidRDefault="0014294D" w:rsidP="00466921">
      <w:pPr>
        <w:spacing w:line="480" w:lineRule="auto"/>
        <w:rPr>
          <w:sz w:val="24"/>
          <w:szCs w:val="24"/>
        </w:rPr>
      </w:pPr>
      <w:r>
        <w:rPr>
          <w:sz w:val="24"/>
          <w:szCs w:val="24"/>
        </w:rPr>
        <w:t xml:space="preserve"> </w:t>
      </w:r>
      <w:r>
        <w:rPr>
          <w:sz w:val="24"/>
          <w:szCs w:val="24"/>
        </w:rPr>
        <w:tab/>
      </w:r>
      <w:r w:rsidR="001D7B3F" w:rsidRPr="00466921">
        <w:rPr>
          <w:sz w:val="24"/>
          <w:szCs w:val="24"/>
        </w:rPr>
        <w:t>There are many memorials that may not be readily recognised as symbols. These included charitable facilities and services, as well as monuments</w:t>
      </w:r>
      <w:r w:rsidR="00145DCE">
        <w:rPr>
          <w:sz w:val="24"/>
          <w:szCs w:val="24"/>
        </w:rPr>
        <w:t>. Ev</w:t>
      </w:r>
      <w:r w:rsidR="001D7B3F" w:rsidRPr="00466921">
        <w:rPr>
          <w:sz w:val="24"/>
          <w:szCs w:val="24"/>
        </w:rPr>
        <w:t xml:space="preserve">en though memorial buildings had been designed by professionals, there were </w:t>
      </w:r>
      <w:proofErr w:type="gramStart"/>
      <w:r w:rsidR="001D7B3F" w:rsidRPr="00466921">
        <w:rPr>
          <w:sz w:val="24"/>
          <w:szCs w:val="24"/>
        </w:rPr>
        <w:t>a number of</w:t>
      </w:r>
      <w:proofErr w:type="gramEnd"/>
      <w:r w:rsidR="001D7B3F" w:rsidRPr="00466921">
        <w:rPr>
          <w:sz w:val="24"/>
          <w:szCs w:val="24"/>
        </w:rPr>
        <w:t xml:space="preserve"> ordinary members of the public who had been involved in their creation, as </w:t>
      </w:r>
      <w:r w:rsidR="00C063F5">
        <w:rPr>
          <w:sz w:val="24"/>
          <w:szCs w:val="24"/>
        </w:rPr>
        <w:t>individuals</w:t>
      </w:r>
      <w:r w:rsidR="001D7B3F" w:rsidRPr="00466921">
        <w:rPr>
          <w:sz w:val="24"/>
          <w:szCs w:val="24"/>
        </w:rPr>
        <w:t xml:space="preserve"> often exercised an influential voice over </w:t>
      </w:r>
      <w:r w:rsidR="0004334B">
        <w:rPr>
          <w:sz w:val="24"/>
          <w:szCs w:val="24"/>
        </w:rPr>
        <w:t>the design of memorials</w:t>
      </w:r>
      <w:r w:rsidR="001D7B3F" w:rsidRPr="00466921">
        <w:rPr>
          <w:sz w:val="24"/>
          <w:szCs w:val="24"/>
        </w:rPr>
        <w:t xml:space="preserve"> and the decisions made. The most common approach to memorialisation were monuments of a traditional style. These ranged from </w:t>
      </w:r>
      <w:r w:rsidR="001D7B3F" w:rsidRPr="00466921">
        <w:rPr>
          <w:sz w:val="24"/>
          <w:szCs w:val="24"/>
        </w:rPr>
        <w:lastRenderedPageBreak/>
        <w:t xml:space="preserve">familiar abstract symbolism such as crosses and pillars to buildings. The buildings had </w:t>
      </w:r>
      <w:r w:rsidR="003A201E">
        <w:rPr>
          <w:sz w:val="24"/>
          <w:szCs w:val="24"/>
        </w:rPr>
        <w:t>the</w:t>
      </w:r>
      <w:r w:rsidR="001D7B3F" w:rsidRPr="00466921">
        <w:rPr>
          <w:sz w:val="24"/>
          <w:szCs w:val="24"/>
        </w:rPr>
        <w:t xml:space="preserve"> monumental character of traditional classical </w:t>
      </w:r>
      <w:r w:rsidR="003A201E">
        <w:rPr>
          <w:sz w:val="24"/>
          <w:szCs w:val="24"/>
        </w:rPr>
        <w:t>and</w:t>
      </w:r>
      <w:r w:rsidR="001D7B3F" w:rsidRPr="00466921">
        <w:rPr>
          <w:sz w:val="24"/>
          <w:szCs w:val="24"/>
        </w:rPr>
        <w:t xml:space="preserve"> gothic styles. </w:t>
      </w:r>
      <w:proofErr w:type="gramStart"/>
      <w:r w:rsidR="00E96214" w:rsidRPr="00466921">
        <w:rPr>
          <w:sz w:val="24"/>
          <w:szCs w:val="24"/>
        </w:rPr>
        <w:t>The majority of</w:t>
      </w:r>
      <w:proofErr w:type="gramEnd"/>
      <w:r w:rsidR="00E96214" w:rsidRPr="00466921">
        <w:rPr>
          <w:sz w:val="24"/>
          <w:szCs w:val="24"/>
        </w:rPr>
        <w:t xml:space="preserve"> memorial buildings were intimate in their character, however, on some occasions the buildings </w:t>
      </w:r>
      <w:r w:rsidR="003525C8">
        <w:rPr>
          <w:sz w:val="24"/>
          <w:szCs w:val="24"/>
        </w:rPr>
        <w:t>are</w:t>
      </w:r>
      <w:r w:rsidR="00E96214" w:rsidRPr="00466921">
        <w:rPr>
          <w:sz w:val="24"/>
          <w:szCs w:val="24"/>
        </w:rPr>
        <w:t xml:space="preserve"> large and imposing. </w:t>
      </w:r>
    </w:p>
    <w:p w14:paraId="30DF6C2C" w14:textId="733E8958" w:rsidR="00CB638C" w:rsidRDefault="00DA3FCE" w:rsidP="00466921">
      <w:pPr>
        <w:spacing w:line="480" w:lineRule="auto"/>
        <w:rPr>
          <w:sz w:val="24"/>
          <w:szCs w:val="24"/>
        </w:rPr>
      </w:pPr>
      <w:r w:rsidRPr="00466921">
        <w:rPr>
          <w:sz w:val="24"/>
          <w:szCs w:val="24"/>
        </w:rPr>
        <w:t xml:space="preserve"> </w:t>
      </w:r>
      <w:r w:rsidRPr="00466921">
        <w:rPr>
          <w:sz w:val="24"/>
          <w:szCs w:val="24"/>
        </w:rPr>
        <w:tab/>
      </w:r>
      <w:r w:rsidR="004A0EDD" w:rsidRPr="00466921">
        <w:rPr>
          <w:sz w:val="24"/>
          <w:szCs w:val="24"/>
        </w:rPr>
        <w:t>In contrast, commentators have also emphasised the way in which this materiality acted as a significant factor in post-war bereavement, while serving contemporary society with a means to remember</w:t>
      </w:r>
      <w:r w:rsidR="00845FCE">
        <w:rPr>
          <w:sz w:val="24"/>
          <w:szCs w:val="24"/>
        </w:rPr>
        <w:t>. Th</w:t>
      </w:r>
      <w:r w:rsidR="00BA7342">
        <w:rPr>
          <w:sz w:val="24"/>
          <w:szCs w:val="24"/>
        </w:rPr>
        <w:t>e many different</w:t>
      </w:r>
      <w:r w:rsidR="004A0EDD" w:rsidRPr="00466921">
        <w:rPr>
          <w:sz w:val="24"/>
          <w:szCs w:val="24"/>
        </w:rPr>
        <w:t xml:space="preserve"> </w:t>
      </w:r>
      <w:r w:rsidR="00BA7342">
        <w:rPr>
          <w:sz w:val="24"/>
          <w:szCs w:val="24"/>
        </w:rPr>
        <w:t xml:space="preserve">types of </w:t>
      </w:r>
      <w:r w:rsidR="004A0EDD" w:rsidRPr="00466921">
        <w:rPr>
          <w:sz w:val="24"/>
          <w:szCs w:val="24"/>
        </w:rPr>
        <w:t xml:space="preserve">physical memorials, therefore, </w:t>
      </w:r>
      <w:r w:rsidR="00043D23">
        <w:rPr>
          <w:sz w:val="24"/>
          <w:szCs w:val="24"/>
        </w:rPr>
        <w:t xml:space="preserve">reflect </w:t>
      </w:r>
      <w:r w:rsidR="00FE516C">
        <w:rPr>
          <w:sz w:val="24"/>
          <w:szCs w:val="24"/>
        </w:rPr>
        <w:t>the</w:t>
      </w:r>
      <w:r w:rsidR="006A118C">
        <w:rPr>
          <w:sz w:val="24"/>
          <w:szCs w:val="24"/>
        </w:rPr>
        <w:t xml:space="preserve"> disparate </w:t>
      </w:r>
      <w:r w:rsidR="004A0EDD" w:rsidRPr="00466921">
        <w:rPr>
          <w:sz w:val="24"/>
          <w:szCs w:val="24"/>
        </w:rPr>
        <w:t>nature</w:t>
      </w:r>
      <w:r w:rsidR="006A118C">
        <w:rPr>
          <w:sz w:val="24"/>
          <w:szCs w:val="24"/>
        </w:rPr>
        <w:t>s</w:t>
      </w:r>
      <w:r w:rsidR="004A0EDD" w:rsidRPr="00466921">
        <w:rPr>
          <w:sz w:val="24"/>
          <w:szCs w:val="24"/>
        </w:rPr>
        <w:t xml:space="preserve"> of the remembrance of the war in Britain</w:t>
      </w:r>
      <w:r w:rsidR="00753E4A" w:rsidRPr="00466921">
        <w:rPr>
          <w:sz w:val="24"/>
          <w:szCs w:val="24"/>
        </w:rPr>
        <w:t>.</w:t>
      </w:r>
      <w:r w:rsidR="006A50DE" w:rsidRPr="00466921">
        <w:rPr>
          <w:sz w:val="24"/>
          <w:szCs w:val="24"/>
        </w:rPr>
        <w:br/>
      </w:r>
      <w:r w:rsidR="00CB638C">
        <w:rPr>
          <w:sz w:val="24"/>
          <w:szCs w:val="24"/>
        </w:rPr>
        <w:t xml:space="preserve"> </w:t>
      </w:r>
      <w:r w:rsidR="00CB638C">
        <w:rPr>
          <w:sz w:val="24"/>
          <w:szCs w:val="24"/>
        </w:rPr>
        <w:tab/>
      </w:r>
      <w:r w:rsidR="006A50DE" w:rsidRPr="00466921">
        <w:rPr>
          <w:sz w:val="24"/>
          <w:szCs w:val="24"/>
        </w:rPr>
        <w:t xml:space="preserve">The Great war </w:t>
      </w:r>
      <w:proofErr w:type="gramStart"/>
      <w:r w:rsidR="006A50DE" w:rsidRPr="00466921">
        <w:rPr>
          <w:sz w:val="24"/>
          <w:szCs w:val="24"/>
        </w:rPr>
        <w:t>was seen as</w:t>
      </w:r>
      <w:proofErr w:type="gramEnd"/>
      <w:r w:rsidR="006A50DE" w:rsidRPr="00466921">
        <w:rPr>
          <w:sz w:val="24"/>
          <w:szCs w:val="24"/>
        </w:rPr>
        <w:t xml:space="preserve"> breaching the boundary between materiality and spirituality as well as the link between emotion and objects, more so than any conflicts prior.</w:t>
      </w:r>
      <w:r w:rsidR="00384391" w:rsidRPr="00466921">
        <w:rPr>
          <w:rStyle w:val="FootnoteReference"/>
          <w:sz w:val="24"/>
          <w:szCs w:val="24"/>
        </w:rPr>
        <w:footnoteReference w:id="21"/>
      </w:r>
      <w:r w:rsidR="002B7B0D" w:rsidRPr="00466921">
        <w:rPr>
          <w:sz w:val="24"/>
          <w:szCs w:val="24"/>
        </w:rPr>
        <w:t xml:space="preserve"> </w:t>
      </w:r>
      <w:r w:rsidR="00E161F8" w:rsidRPr="00466921">
        <w:rPr>
          <w:sz w:val="24"/>
          <w:szCs w:val="24"/>
        </w:rPr>
        <w:t xml:space="preserve"> However, it was not simply after the war that materiality came forward to help society express how they were feeling. </w:t>
      </w:r>
      <w:r w:rsidR="001951D4" w:rsidRPr="00466921">
        <w:rPr>
          <w:sz w:val="24"/>
          <w:szCs w:val="24"/>
        </w:rPr>
        <w:t xml:space="preserve">British soldiers </w:t>
      </w:r>
      <w:r w:rsidR="00DB2851" w:rsidRPr="00466921">
        <w:rPr>
          <w:sz w:val="24"/>
          <w:szCs w:val="24"/>
        </w:rPr>
        <w:t>often sent home letters to t</w:t>
      </w:r>
      <w:r w:rsidR="00E161F8" w:rsidRPr="00466921">
        <w:rPr>
          <w:sz w:val="24"/>
          <w:szCs w:val="24"/>
        </w:rPr>
        <w:t>he</w:t>
      </w:r>
      <w:r w:rsidR="00DB2851" w:rsidRPr="00466921">
        <w:rPr>
          <w:sz w:val="24"/>
          <w:szCs w:val="24"/>
        </w:rPr>
        <w:t xml:space="preserve">ir wives </w:t>
      </w:r>
      <w:r w:rsidR="00137E3B" w:rsidRPr="00466921">
        <w:rPr>
          <w:sz w:val="24"/>
          <w:szCs w:val="24"/>
        </w:rPr>
        <w:t>and sweethearts during the war</w:t>
      </w:r>
      <w:r w:rsidR="00DB2851" w:rsidRPr="00466921">
        <w:rPr>
          <w:sz w:val="24"/>
          <w:szCs w:val="24"/>
        </w:rPr>
        <w:t xml:space="preserve">, this also </w:t>
      </w:r>
      <w:r w:rsidR="00137E3B" w:rsidRPr="00466921">
        <w:rPr>
          <w:sz w:val="24"/>
          <w:szCs w:val="24"/>
        </w:rPr>
        <w:t>lead to an increase of popularity surrounding the embroidered silk postcard</w:t>
      </w:r>
      <w:r w:rsidR="005A6F03" w:rsidRPr="00466921">
        <w:rPr>
          <w:sz w:val="24"/>
          <w:szCs w:val="24"/>
        </w:rPr>
        <w:t>. These were often created by local civilians, in areas such as France, which the soldiers bought to send home as souvenirs.</w:t>
      </w:r>
      <w:r w:rsidR="005A6F03" w:rsidRPr="00466921">
        <w:rPr>
          <w:rStyle w:val="FootnoteReference"/>
          <w:sz w:val="24"/>
          <w:szCs w:val="24"/>
        </w:rPr>
        <w:footnoteReference w:id="22"/>
      </w:r>
      <w:r w:rsidR="005A6F03" w:rsidRPr="00466921">
        <w:rPr>
          <w:sz w:val="24"/>
          <w:szCs w:val="24"/>
        </w:rPr>
        <w:t xml:space="preserve">  </w:t>
      </w:r>
      <w:r w:rsidR="00571750" w:rsidRPr="00466921">
        <w:rPr>
          <w:sz w:val="24"/>
          <w:szCs w:val="24"/>
        </w:rPr>
        <w:t>Following the war these were included into family memorial displays for the soldiers who had died after sending the postcards home.</w:t>
      </w:r>
      <w:r w:rsidR="00571750" w:rsidRPr="00466921">
        <w:rPr>
          <w:rStyle w:val="FootnoteReference"/>
          <w:sz w:val="24"/>
          <w:szCs w:val="24"/>
        </w:rPr>
        <w:footnoteReference w:id="23"/>
      </w:r>
      <w:r w:rsidR="00571750" w:rsidRPr="00466921">
        <w:rPr>
          <w:sz w:val="24"/>
          <w:szCs w:val="24"/>
        </w:rPr>
        <w:t xml:space="preserve"> These show that memorials may not always be on a national or local scale, but a family one. Some civilians chose to commemorate the life of the deceased within their personal memorials. </w:t>
      </w:r>
    </w:p>
    <w:p w14:paraId="2731C047" w14:textId="1AB91D10" w:rsidR="00A8388F" w:rsidRDefault="00CB638C" w:rsidP="00C8365D">
      <w:pPr>
        <w:spacing w:line="480" w:lineRule="auto"/>
        <w:rPr>
          <w:sz w:val="24"/>
          <w:szCs w:val="24"/>
          <w:highlight w:val="yellow"/>
        </w:rPr>
      </w:pPr>
      <w:r>
        <w:rPr>
          <w:sz w:val="24"/>
          <w:szCs w:val="24"/>
        </w:rPr>
        <w:t xml:space="preserve"> </w:t>
      </w:r>
      <w:r>
        <w:rPr>
          <w:sz w:val="24"/>
          <w:szCs w:val="24"/>
        </w:rPr>
        <w:tab/>
      </w:r>
      <w:r w:rsidR="00120FD1" w:rsidRPr="00466921">
        <w:rPr>
          <w:sz w:val="24"/>
          <w:szCs w:val="24"/>
        </w:rPr>
        <w:t xml:space="preserve">Although there </w:t>
      </w:r>
      <w:r w:rsidR="00FC08E4">
        <w:rPr>
          <w:sz w:val="24"/>
          <w:szCs w:val="24"/>
        </w:rPr>
        <w:t>have</w:t>
      </w:r>
      <w:r w:rsidR="00120FD1" w:rsidRPr="00466921">
        <w:rPr>
          <w:sz w:val="24"/>
          <w:szCs w:val="24"/>
        </w:rPr>
        <w:t xml:space="preserve"> been a great number of physical </w:t>
      </w:r>
      <w:r w:rsidR="00C02280" w:rsidRPr="00466921">
        <w:rPr>
          <w:sz w:val="24"/>
          <w:szCs w:val="24"/>
        </w:rPr>
        <w:t xml:space="preserve">memorials, there are a number which take no physical form. Some memorials have a monetary existence. Many memorials </w:t>
      </w:r>
      <w:r w:rsidR="00C02280" w:rsidRPr="00466921">
        <w:rPr>
          <w:sz w:val="24"/>
          <w:szCs w:val="24"/>
        </w:rPr>
        <w:lastRenderedPageBreak/>
        <w:t xml:space="preserve">were put in place to create funds for medical facilities and educational facilities for the communities and those in need. These monetary memorials were symbolic in the way that through their dedication to the dead, they were given a distinct meaning. The helpfulness of their functions was chosen as a </w:t>
      </w:r>
      <w:r w:rsidR="00923DFC" w:rsidRPr="00466921">
        <w:rPr>
          <w:sz w:val="24"/>
          <w:szCs w:val="24"/>
        </w:rPr>
        <w:t>demonstrative</w:t>
      </w:r>
      <w:r w:rsidR="00C02280" w:rsidRPr="00466921">
        <w:rPr>
          <w:sz w:val="24"/>
          <w:szCs w:val="24"/>
        </w:rPr>
        <w:t xml:space="preserve"> of the </w:t>
      </w:r>
      <w:r w:rsidR="00923DFC">
        <w:rPr>
          <w:sz w:val="24"/>
          <w:szCs w:val="24"/>
        </w:rPr>
        <w:t>selfless</w:t>
      </w:r>
      <w:r w:rsidR="00923DFC" w:rsidRPr="00466921">
        <w:rPr>
          <w:sz w:val="24"/>
          <w:szCs w:val="24"/>
        </w:rPr>
        <w:t xml:space="preserve"> morals</w:t>
      </w:r>
      <w:r w:rsidR="00C02280" w:rsidRPr="00466921">
        <w:rPr>
          <w:sz w:val="24"/>
          <w:szCs w:val="24"/>
        </w:rPr>
        <w:t xml:space="preserve"> which the deceased were thought to have </w:t>
      </w:r>
      <w:r w:rsidR="00923DFC" w:rsidRPr="00466921">
        <w:rPr>
          <w:sz w:val="24"/>
          <w:szCs w:val="24"/>
        </w:rPr>
        <w:t>personified</w:t>
      </w:r>
      <w:r w:rsidR="00C02280" w:rsidRPr="00466921">
        <w:rPr>
          <w:sz w:val="24"/>
          <w:szCs w:val="24"/>
        </w:rPr>
        <w:t>.</w:t>
      </w:r>
      <w:r w:rsidR="00923DFC">
        <w:rPr>
          <w:rStyle w:val="FootnoteReference"/>
          <w:sz w:val="24"/>
          <w:szCs w:val="24"/>
        </w:rPr>
        <w:footnoteReference w:id="24"/>
      </w:r>
      <w:r w:rsidR="00C02280" w:rsidRPr="00466921">
        <w:rPr>
          <w:sz w:val="24"/>
          <w:szCs w:val="24"/>
        </w:rPr>
        <w:t xml:space="preserve"> Although, their main purpose was to offer a facility not to evoke an idea. </w:t>
      </w:r>
      <w:r w:rsidR="0065324C">
        <w:rPr>
          <w:sz w:val="24"/>
          <w:szCs w:val="24"/>
        </w:rPr>
        <w:t xml:space="preserve"> </w:t>
      </w:r>
      <w:r w:rsidR="00923DFC">
        <w:rPr>
          <w:sz w:val="24"/>
          <w:szCs w:val="24"/>
        </w:rPr>
        <w:t xml:space="preserve">Charities such as </w:t>
      </w:r>
      <w:r w:rsidR="005D704B">
        <w:rPr>
          <w:sz w:val="24"/>
          <w:szCs w:val="24"/>
        </w:rPr>
        <w:t>The British Legion was founded by veterans of the First World War. The charity is still helps the service men, women, veterans and their families a century on from the start of the conflict of the First World War.</w:t>
      </w:r>
      <w:r w:rsidR="005D704B">
        <w:rPr>
          <w:rStyle w:val="FootnoteReference"/>
          <w:sz w:val="24"/>
          <w:szCs w:val="24"/>
        </w:rPr>
        <w:footnoteReference w:id="25"/>
      </w:r>
      <w:r w:rsidR="005D704B">
        <w:rPr>
          <w:sz w:val="24"/>
          <w:szCs w:val="24"/>
        </w:rPr>
        <w:t xml:space="preserve"> The charity was put in place to provide advice on residential and housing care.</w:t>
      </w:r>
      <w:r w:rsidR="00BF3114" w:rsidRPr="00466921">
        <w:rPr>
          <w:sz w:val="24"/>
          <w:szCs w:val="24"/>
        </w:rPr>
        <w:br/>
      </w:r>
      <w:r w:rsidR="00C02280" w:rsidRPr="00466921">
        <w:rPr>
          <w:sz w:val="24"/>
          <w:szCs w:val="24"/>
        </w:rPr>
        <w:t xml:space="preserve"> </w:t>
      </w:r>
      <w:r w:rsidR="00C02280" w:rsidRPr="00466921">
        <w:rPr>
          <w:sz w:val="24"/>
          <w:szCs w:val="24"/>
        </w:rPr>
        <w:tab/>
        <w:t xml:space="preserve">Another form of symbolism through memorialisation were the actions taken. Ceremonial and practical actions were given the same repertoire of symbols as the physical memorials. These actions </w:t>
      </w:r>
      <w:proofErr w:type="gramStart"/>
      <w:r w:rsidR="00C02280" w:rsidRPr="00466921">
        <w:rPr>
          <w:sz w:val="24"/>
          <w:szCs w:val="24"/>
        </w:rPr>
        <w:t>were seen as</w:t>
      </w:r>
      <w:proofErr w:type="gramEnd"/>
      <w:r w:rsidR="00C02280" w:rsidRPr="00466921">
        <w:rPr>
          <w:sz w:val="24"/>
          <w:szCs w:val="24"/>
        </w:rPr>
        <w:t xml:space="preserve"> symbolic if they formed part of a ritual. Such rituals include remembrance ceremonies,</w:t>
      </w:r>
      <w:r w:rsidR="00F368FD" w:rsidRPr="00466921">
        <w:rPr>
          <w:sz w:val="24"/>
          <w:szCs w:val="24"/>
        </w:rPr>
        <w:t xml:space="preserve"> namely Remembrance Sunday. In Britain, Remembrance Sunday is always the Sunday nearest to November 11, the day Germany had signed the armistice which ended the First World War and their hostilities.</w:t>
      </w:r>
      <w:r w:rsidR="004E04D6" w:rsidRPr="00466921">
        <w:rPr>
          <w:sz w:val="24"/>
          <w:szCs w:val="24"/>
        </w:rPr>
        <w:t xml:space="preserve"> </w:t>
      </w:r>
      <w:r w:rsidR="004E04D6" w:rsidRPr="00466921">
        <w:rPr>
          <w:rStyle w:val="FootnoteReference"/>
          <w:sz w:val="24"/>
          <w:szCs w:val="24"/>
        </w:rPr>
        <w:footnoteReference w:id="26"/>
      </w:r>
      <w:r w:rsidR="004E04D6" w:rsidRPr="00466921">
        <w:rPr>
          <w:sz w:val="24"/>
          <w:szCs w:val="24"/>
        </w:rPr>
        <w:t xml:space="preserve"> In the present day, the remembrance ceremony is used to memorialise the fallen British soldiers in all conflicts since the First World War. </w:t>
      </w:r>
      <w:r w:rsidR="00706670" w:rsidRPr="00466921">
        <w:rPr>
          <w:sz w:val="24"/>
          <w:szCs w:val="24"/>
        </w:rPr>
        <w:t>On the day of November 11 at 11am Britain holds a two-minute silence as this was the time of the signing of the armistice.</w:t>
      </w:r>
      <w:r w:rsidR="00706670" w:rsidRPr="00466921">
        <w:rPr>
          <w:rStyle w:val="FootnoteReference"/>
          <w:sz w:val="24"/>
          <w:szCs w:val="24"/>
        </w:rPr>
        <w:footnoteReference w:id="27"/>
      </w:r>
      <w:r w:rsidR="002D4A88" w:rsidRPr="00466921">
        <w:rPr>
          <w:sz w:val="24"/>
          <w:szCs w:val="24"/>
        </w:rPr>
        <w:t xml:space="preserve"> Alongside these ceremonies </w:t>
      </w:r>
      <w:r w:rsidR="00853D23" w:rsidRPr="00466921">
        <w:rPr>
          <w:sz w:val="24"/>
          <w:szCs w:val="24"/>
        </w:rPr>
        <w:t>is</w:t>
      </w:r>
      <w:r w:rsidR="002D4A88" w:rsidRPr="00466921">
        <w:rPr>
          <w:sz w:val="24"/>
          <w:szCs w:val="24"/>
        </w:rPr>
        <w:t xml:space="preserve"> the wearing of remembrance poppies</w:t>
      </w:r>
      <w:r w:rsidR="00853D23" w:rsidRPr="00466921">
        <w:rPr>
          <w:sz w:val="24"/>
          <w:szCs w:val="24"/>
        </w:rPr>
        <w:t xml:space="preserve">. </w:t>
      </w:r>
      <w:r w:rsidR="00BF60A7" w:rsidRPr="00466921">
        <w:rPr>
          <w:sz w:val="24"/>
          <w:szCs w:val="24"/>
        </w:rPr>
        <w:br/>
        <w:t xml:space="preserve"> </w:t>
      </w:r>
      <w:r w:rsidR="00BF60A7" w:rsidRPr="00466921">
        <w:rPr>
          <w:sz w:val="24"/>
          <w:szCs w:val="24"/>
        </w:rPr>
        <w:tab/>
      </w:r>
      <w:r w:rsidR="00EA3088" w:rsidRPr="00466921">
        <w:rPr>
          <w:sz w:val="24"/>
          <w:szCs w:val="24"/>
        </w:rPr>
        <w:t xml:space="preserve">Intricately connected with both national and local acts of commemoration for the </w:t>
      </w:r>
      <w:r w:rsidR="00EA3088" w:rsidRPr="00466921">
        <w:rPr>
          <w:sz w:val="24"/>
          <w:szCs w:val="24"/>
        </w:rPr>
        <w:lastRenderedPageBreak/>
        <w:t xml:space="preserve">war dead is the symbolism surrounding the </w:t>
      </w:r>
      <w:r w:rsidR="008E02E3" w:rsidRPr="00466921">
        <w:rPr>
          <w:sz w:val="24"/>
          <w:szCs w:val="24"/>
        </w:rPr>
        <w:t>R</w:t>
      </w:r>
      <w:r w:rsidR="00EA3088" w:rsidRPr="00466921">
        <w:rPr>
          <w:sz w:val="24"/>
          <w:szCs w:val="24"/>
        </w:rPr>
        <w:t>ed Flanders Poppy.</w:t>
      </w:r>
      <w:r w:rsidR="008E02E3" w:rsidRPr="00466921">
        <w:rPr>
          <w:rStyle w:val="FootnoteReference"/>
          <w:sz w:val="24"/>
          <w:szCs w:val="24"/>
        </w:rPr>
        <w:footnoteReference w:id="28"/>
      </w:r>
      <w:r w:rsidR="00D62E43" w:rsidRPr="00466921">
        <w:rPr>
          <w:sz w:val="24"/>
          <w:szCs w:val="24"/>
        </w:rPr>
        <w:t xml:space="preserve"> The poppy is </w:t>
      </w:r>
      <w:r w:rsidR="00B1547C" w:rsidRPr="00466921">
        <w:rPr>
          <w:sz w:val="24"/>
          <w:szCs w:val="24"/>
        </w:rPr>
        <w:t>linked</w:t>
      </w:r>
      <w:r w:rsidR="00D62E43" w:rsidRPr="00466921">
        <w:rPr>
          <w:sz w:val="24"/>
          <w:szCs w:val="24"/>
        </w:rPr>
        <w:t xml:space="preserve"> with the battlefield deaths that arose during the War</w:t>
      </w:r>
      <w:r w:rsidR="00B1547C" w:rsidRPr="00466921">
        <w:rPr>
          <w:sz w:val="24"/>
          <w:szCs w:val="24"/>
        </w:rPr>
        <w:t xml:space="preserve">. The poppies grew in the </w:t>
      </w:r>
      <w:r w:rsidR="00772602" w:rsidRPr="00466921">
        <w:rPr>
          <w:sz w:val="24"/>
          <w:szCs w:val="24"/>
        </w:rPr>
        <w:t>churned-up</w:t>
      </w:r>
      <w:r w:rsidR="00B1547C" w:rsidRPr="00466921">
        <w:rPr>
          <w:sz w:val="24"/>
          <w:szCs w:val="24"/>
        </w:rPr>
        <w:t xml:space="preserve"> mud of the Western Front fields, covering the spoiled landscapes in </w:t>
      </w:r>
      <w:r w:rsidR="00772602" w:rsidRPr="00466921">
        <w:rPr>
          <w:sz w:val="24"/>
          <w:szCs w:val="24"/>
        </w:rPr>
        <w:t>crimson</w:t>
      </w:r>
      <w:r w:rsidR="00B1547C" w:rsidRPr="00466921">
        <w:rPr>
          <w:sz w:val="24"/>
          <w:szCs w:val="24"/>
        </w:rPr>
        <w:t xml:space="preserve">, both </w:t>
      </w:r>
      <w:r w:rsidR="00772602" w:rsidRPr="00466921">
        <w:rPr>
          <w:sz w:val="24"/>
          <w:szCs w:val="24"/>
        </w:rPr>
        <w:t>throughout</w:t>
      </w:r>
      <w:r w:rsidR="00B1547C" w:rsidRPr="00466921">
        <w:rPr>
          <w:sz w:val="24"/>
          <w:szCs w:val="24"/>
        </w:rPr>
        <w:t xml:space="preserve"> and after the fighting had ended.</w:t>
      </w:r>
      <w:r w:rsidR="00772602" w:rsidRPr="00466921">
        <w:rPr>
          <w:rStyle w:val="FootnoteReference"/>
          <w:sz w:val="24"/>
          <w:szCs w:val="24"/>
        </w:rPr>
        <w:footnoteReference w:id="29"/>
      </w:r>
      <w:r w:rsidR="00784F3A" w:rsidRPr="00466921">
        <w:rPr>
          <w:sz w:val="24"/>
          <w:szCs w:val="24"/>
        </w:rPr>
        <w:t xml:space="preserve"> </w:t>
      </w:r>
      <w:r w:rsidR="00B01C07">
        <w:rPr>
          <w:sz w:val="24"/>
          <w:szCs w:val="24"/>
        </w:rPr>
        <w:t xml:space="preserve">The crimson colour instinctively reminds people of the blood spilt on these battlegrounds. But </w:t>
      </w:r>
      <w:r w:rsidR="00C8365D">
        <w:rPr>
          <w:sz w:val="24"/>
          <w:szCs w:val="24"/>
        </w:rPr>
        <w:t>also,</w:t>
      </w:r>
      <w:r w:rsidR="00B01C07">
        <w:rPr>
          <w:sz w:val="24"/>
          <w:szCs w:val="24"/>
        </w:rPr>
        <w:t xml:space="preserve"> there is something very gentle and unthreatening about a flower, that is in sharp contrast to the violence of the battles. </w:t>
      </w:r>
      <w:r w:rsidR="00F724DA" w:rsidRPr="00466921">
        <w:rPr>
          <w:sz w:val="24"/>
          <w:szCs w:val="24"/>
        </w:rPr>
        <w:t>Murakami believes that highlighting t</w:t>
      </w:r>
      <w:r w:rsidR="004D401C" w:rsidRPr="00466921">
        <w:rPr>
          <w:sz w:val="24"/>
          <w:szCs w:val="24"/>
        </w:rPr>
        <w:t xml:space="preserve">he use of the poppy </w:t>
      </w:r>
      <w:r w:rsidR="007E1061" w:rsidRPr="00466921">
        <w:rPr>
          <w:sz w:val="24"/>
          <w:szCs w:val="24"/>
        </w:rPr>
        <w:t>is an important factor of materiality in memorialisation.</w:t>
      </w:r>
      <w:r w:rsidR="007E1061" w:rsidRPr="00466921">
        <w:rPr>
          <w:rStyle w:val="FootnoteReference"/>
          <w:sz w:val="24"/>
          <w:szCs w:val="24"/>
        </w:rPr>
        <w:footnoteReference w:id="30"/>
      </w:r>
      <w:r w:rsidR="007E1061" w:rsidRPr="00466921">
        <w:rPr>
          <w:sz w:val="24"/>
          <w:szCs w:val="24"/>
        </w:rPr>
        <w:t xml:space="preserve"> She state</w:t>
      </w:r>
      <w:r w:rsidR="00DD20BC">
        <w:rPr>
          <w:sz w:val="24"/>
          <w:szCs w:val="24"/>
        </w:rPr>
        <w:t>s</w:t>
      </w:r>
      <w:r w:rsidR="007E1061" w:rsidRPr="00466921">
        <w:rPr>
          <w:sz w:val="24"/>
          <w:szCs w:val="24"/>
        </w:rPr>
        <w:t xml:space="preserve"> that the use of the poppy in the Remembrance ceremonies ‘connects people with different times and places in the acting and performing of the ceremony</w:t>
      </w:r>
      <w:r w:rsidR="001636A2" w:rsidRPr="00466921">
        <w:rPr>
          <w:sz w:val="24"/>
          <w:szCs w:val="24"/>
        </w:rPr>
        <w:t>’</w:t>
      </w:r>
      <w:r w:rsidR="001636A2" w:rsidRPr="00466921">
        <w:rPr>
          <w:rStyle w:val="FootnoteReference"/>
          <w:sz w:val="24"/>
          <w:szCs w:val="24"/>
        </w:rPr>
        <w:footnoteReference w:id="31"/>
      </w:r>
      <w:r w:rsidR="001636A2" w:rsidRPr="00466921">
        <w:rPr>
          <w:sz w:val="24"/>
          <w:szCs w:val="24"/>
        </w:rPr>
        <w:t xml:space="preserve"> She then goes on to show that when the imagery of a poppy is used on a heritage site, </w:t>
      </w:r>
      <w:r w:rsidR="00BD0BBC" w:rsidRPr="00466921">
        <w:rPr>
          <w:sz w:val="24"/>
          <w:szCs w:val="24"/>
        </w:rPr>
        <w:t xml:space="preserve">it </w:t>
      </w:r>
      <w:r w:rsidR="00EC4EBD" w:rsidRPr="00466921">
        <w:rPr>
          <w:sz w:val="24"/>
          <w:szCs w:val="24"/>
        </w:rPr>
        <w:t>generates</w:t>
      </w:r>
      <w:r w:rsidR="00BD0BBC" w:rsidRPr="00466921">
        <w:rPr>
          <w:sz w:val="24"/>
          <w:szCs w:val="24"/>
        </w:rPr>
        <w:t xml:space="preserve"> a perceptual field of experiencing the past in an </w:t>
      </w:r>
      <w:r w:rsidR="00EC4EBD" w:rsidRPr="00466921">
        <w:rPr>
          <w:sz w:val="24"/>
          <w:szCs w:val="24"/>
        </w:rPr>
        <w:t>unexpected style.</w:t>
      </w:r>
      <w:r w:rsidR="008A25E9" w:rsidRPr="00466921">
        <w:rPr>
          <w:sz w:val="24"/>
          <w:szCs w:val="24"/>
        </w:rPr>
        <w:br/>
        <w:t xml:space="preserve"> </w:t>
      </w:r>
      <w:r w:rsidR="008A25E9" w:rsidRPr="00466921">
        <w:rPr>
          <w:sz w:val="24"/>
          <w:szCs w:val="24"/>
        </w:rPr>
        <w:tab/>
      </w:r>
      <w:r w:rsidR="00F525A2" w:rsidRPr="00466921">
        <w:rPr>
          <w:sz w:val="24"/>
          <w:szCs w:val="24"/>
        </w:rPr>
        <w:t xml:space="preserve">The poppy became popular after John McCrae’s poem ‘In Flanders Fields.’ A popular poem due to the imagery used. However, Britain </w:t>
      </w:r>
      <w:r w:rsidR="00157BAA">
        <w:rPr>
          <w:sz w:val="24"/>
          <w:szCs w:val="24"/>
        </w:rPr>
        <w:t>was</w:t>
      </w:r>
      <w:r w:rsidR="00F525A2" w:rsidRPr="00466921">
        <w:rPr>
          <w:sz w:val="24"/>
          <w:szCs w:val="24"/>
        </w:rPr>
        <w:t xml:space="preserve"> not the first country to use remembrance poppies, they were first implemented by the American Legion who were then followed by the British Empire.</w:t>
      </w:r>
      <w:r w:rsidR="00F525A2" w:rsidRPr="00466921">
        <w:rPr>
          <w:rStyle w:val="FootnoteReference"/>
          <w:sz w:val="24"/>
          <w:szCs w:val="24"/>
        </w:rPr>
        <w:footnoteReference w:id="32"/>
      </w:r>
      <w:r w:rsidR="0083420A" w:rsidRPr="00466921">
        <w:rPr>
          <w:sz w:val="24"/>
          <w:szCs w:val="24"/>
        </w:rPr>
        <w:t xml:space="preserve"> </w:t>
      </w:r>
      <w:r w:rsidR="00622D76" w:rsidRPr="00466921">
        <w:rPr>
          <w:sz w:val="24"/>
          <w:szCs w:val="24"/>
        </w:rPr>
        <w:t>The poppy is now essential for those who participate in Remembrance Sunday ceremonies as it is the ritual of collective remembering.</w:t>
      </w:r>
      <w:r w:rsidR="002079C2" w:rsidRPr="00466921">
        <w:rPr>
          <w:sz w:val="24"/>
          <w:szCs w:val="24"/>
        </w:rPr>
        <w:t xml:space="preserve"> However, there are </w:t>
      </w:r>
      <w:proofErr w:type="gramStart"/>
      <w:r w:rsidR="002079C2" w:rsidRPr="00466921">
        <w:rPr>
          <w:sz w:val="24"/>
          <w:szCs w:val="24"/>
        </w:rPr>
        <w:t>many different ways</w:t>
      </w:r>
      <w:proofErr w:type="gramEnd"/>
      <w:r w:rsidR="002079C2" w:rsidRPr="00466921">
        <w:rPr>
          <w:sz w:val="24"/>
          <w:szCs w:val="24"/>
        </w:rPr>
        <w:t xml:space="preserve"> in which a person can wear the poppy, for example, if one was to wear their poppy on a lapel, it means that the person can personally relate to the poppy</w:t>
      </w:r>
      <w:r w:rsidR="004D035C" w:rsidRPr="00466921">
        <w:rPr>
          <w:sz w:val="24"/>
          <w:szCs w:val="24"/>
        </w:rPr>
        <w:t xml:space="preserve"> and what it stands for.</w:t>
      </w:r>
      <w:r w:rsidR="004D035C" w:rsidRPr="00466921">
        <w:rPr>
          <w:rStyle w:val="FootnoteReference"/>
          <w:sz w:val="24"/>
          <w:szCs w:val="24"/>
        </w:rPr>
        <w:footnoteReference w:id="33"/>
      </w:r>
      <w:r w:rsidR="004D035C" w:rsidRPr="00466921">
        <w:rPr>
          <w:sz w:val="24"/>
          <w:szCs w:val="24"/>
        </w:rPr>
        <w:t xml:space="preserve"> </w:t>
      </w:r>
      <w:r w:rsidR="00DE1ABB" w:rsidRPr="00466921">
        <w:rPr>
          <w:sz w:val="24"/>
          <w:szCs w:val="24"/>
        </w:rPr>
        <w:br/>
      </w:r>
      <w:r w:rsidR="00DE1ABB" w:rsidRPr="00466921">
        <w:rPr>
          <w:sz w:val="24"/>
          <w:szCs w:val="24"/>
        </w:rPr>
        <w:lastRenderedPageBreak/>
        <w:t xml:space="preserve"> </w:t>
      </w:r>
      <w:r w:rsidR="00DE1ABB" w:rsidRPr="00466921">
        <w:rPr>
          <w:sz w:val="24"/>
          <w:szCs w:val="24"/>
        </w:rPr>
        <w:tab/>
      </w:r>
      <w:r w:rsidR="005E7B78">
        <w:rPr>
          <w:sz w:val="24"/>
          <w:szCs w:val="24"/>
        </w:rPr>
        <w:t>The s</w:t>
      </w:r>
      <w:r w:rsidR="0054173E" w:rsidRPr="00466921">
        <w:rPr>
          <w:sz w:val="24"/>
          <w:szCs w:val="24"/>
        </w:rPr>
        <w:t xml:space="preserve">emiotic </w:t>
      </w:r>
      <w:r w:rsidR="00DC3C23" w:rsidRPr="00466921">
        <w:rPr>
          <w:sz w:val="24"/>
          <w:szCs w:val="24"/>
        </w:rPr>
        <w:t xml:space="preserve">approach encourages the understanding of the significance of the poppy to social memory in Britain. </w:t>
      </w:r>
      <w:r w:rsidR="009E5037" w:rsidRPr="00466921">
        <w:rPr>
          <w:sz w:val="24"/>
          <w:szCs w:val="24"/>
        </w:rPr>
        <w:t xml:space="preserve">The rituals of the ceremonies are semiotic </w:t>
      </w:r>
      <w:r w:rsidR="000C70AC" w:rsidRPr="00466921">
        <w:rPr>
          <w:sz w:val="24"/>
          <w:szCs w:val="24"/>
        </w:rPr>
        <w:t>wholes,</w:t>
      </w:r>
      <w:r w:rsidR="00CF4E0F" w:rsidRPr="00466921">
        <w:rPr>
          <w:sz w:val="24"/>
          <w:szCs w:val="24"/>
        </w:rPr>
        <w:t xml:space="preserve"> by wearing the poppy it entitles the participants of the ceremony to take part of </w:t>
      </w:r>
      <w:r w:rsidR="00165884" w:rsidRPr="00466921">
        <w:rPr>
          <w:sz w:val="24"/>
          <w:szCs w:val="24"/>
        </w:rPr>
        <w:t>the</w:t>
      </w:r>
      <w:r w:rsidR="00CF4E0F" w:rsidRPr="00466921">
        <w:rPr>
          <w:sz w:val="24"/>
          <w:szCs w:val="24"/>
        </w:rPr>
        <w:t xml:space="preserve"> ritual action.</w:t>
      </w:r>
      <w:r w:rsidR="007C2E23" w:rsidRPr="00466921">
        <w:rPr>
          <w:sz w:val="24"/>
          <w:szCs w:val="24"/>
        </w:rPr>
        <w:t xml:space="preserve"> Murakami </w:t>
      </w:r>
      <w:r w:rsidR="00A43513" w:rsidRPr="00466921">
        <w:rPr>
          <w:sz w:val="24"/>
          <w:szCs w:val="24"/>
        </w:rPr>
        <w:t>points out that the ‘poppies, the cenotaph… all constitute a semiotic field and a community of commemoration’</w:t>
      </w:r>
      <w:r w:rsidR="000C70AC" w:rsidRPr="00466921">
        <w:rPr>
          <w:rStyle w:val="FootnoteReference"/>
          <w:sz w:val="24"/>
          <w:szCs w:val="24"/>
        </w:rPr>
        <w:footnoteReference w:id="34"/>
      </w:r>
      <w:r w:rsidR="00434771" w:rsidRPr="00466921">
        <w:rPr>
          <w:sz w:val="24"/>
          <w:szCs w:val="24"/>
        </w:rPr>
        <w:t xml:space="preserve"> The poppy </w:t>
      </w:r>
      <w:r w:rsidR="006B6938" w:rsidRPr="00466921">
        <w:rPr>
          <w:sz w:val="24"/>
          <w:szCs w:val="24"/>
        </w:rPr>
        <w:t>serves an important psychological purpose</w:t>
      </w:r>
      <w:r w:rsidR="009A6DE7" w:rsidRPr="00466921">
        <w:rPr>
          <w:sz w:val="24"/>
          <w:szCs w:val="24"/>
        </w:rPr>
        <w:t xml:space="preserve">, it creates a semiotic demand for actions in which society participate in the commemoration ceremonies whilst acting befittingly to the moral order of the activity. </w:t>
      </w:r>
      <w:r w:rsidR="00E32A4A" w:rsidRPr="00466921">
        <w:rPr>
          <w:sz w:val="24"/>
          <w:szCs w:val="24"/>
        </w:rPr>
        <w:br/>
        <w:t xml:space="preserve"> </w:t>
      </w:r>
      <w:r w:rsidR="00E32A4A" w:rsidRPr="00466921">
        <w:rPr>
          <w:sz w:val="24"/>
          <w:szCs w:val="24"/>
        </w:rPr>
        <w:tab/>
        <w:t xml:space="preserve">In Britain during 1922, the Poppy Factory was founded in England where remembrance poppies were made. This factory was created to present opportunities of employment to </w:t>
      </w:r>
      <w:r w:rsidR="003F56C3" w:rsidRPr="00466921">
        <w:rPr>
          <w:sz w:val="24"/>
          <w:szCs w:val="24"/>
        </w:rPr>
        <w:t>ex-servicemen</w:t>
      </w:r>
      <w:r w:rsidR="00E32A4A" w:rsidRPr="00466921">
        <w:rPr>
          <w:sz w:val="24"/>
          <w:szCs w:val="24"/>
        </w:rPr>
        <w:t xml:space="preserve"> who were injured before returning from the War.</w:t>
      </w:r>
      <w:r w:rsidR="003F56C3" w:rsidRPr="00466921">
        <w:rPr>
          <w:rStyle w:val="FootnoteReference"/>
          <w:sz w:val="24"/>
          <w:szCs w:val="24"/>
        </w:rPr>
        <w:footnoteReference w:id="35"/>
      </w:r>
      <w:r w:rsidR="00F436AF" w:rsidRPr="00466921">
        <w:rPr>
          <w:sz w:val="24"/>
          <w:szCs w:val="24"/>
        </w:rPr>
        <w:br/>
      </w:r>
      <w:r w:rsidR="00F436AF" w:rsidRPr="00466921">
        <w:rPr>
          <w:sz w:val="24"/>
          <w:szCs w:val="24"/>
        </w:rPr>
        <w:tab/>
        <w:t>The use of poppies as a means of commemoration and memorialisation for the deceased has been increasingly effective on both a national and local scale across Britain.</w:t>
      </w:r>
      <w:r w:rsidR="00D33A6B" w:rsidRPr="00466921">
        <w:rPr>
          <w:sz w:val="24"/>
          <w:szCs w:val="24"/>
        </w:rPr>
        <w:t xml:space="preserve"> Practical services acquired symbolic significance through its dedication to the deceased. These may have been a useful way in which the families and friends could grieve for those who they had lost. </w:t>
      </w:r>
      <w:r w:rsidR="00C3369E">
        <w:rPr>
          <w:sz w:val="24"/>
          <w:szCs w:val="24"/>
        </w:rPr>
        <w:br/>
      </w:r>
      <w:r w:rsidR="00C8365D">
        <w:rPr>
          <w:sz w:val="24"/>
          <w:szCs w:val="24"/>
        </w:rPr>
        <w:t xml:space="preserve"> </w:t>
      </w:r>
      <w:r w:rsidR="00C8365D">
        <w:rPr>
          <w:sz w:val="24"/>
          <w:szCs w:val="24"/>
        </w:rPr>
        <w:tab/>
      </w:r>
      <w:r w:rsidR="00C3369E">
        <w:rPr>
          <w:sz w:val="24"/>
          <w:szCs w:val="24"/>
        </w:rPr>
        <w:t>One</w:t>
      </w:r>
      <w:r w:rsidR="00E432AB" w:rsidRPr="00466921">
        <w:rPr>
          <w:sz w:val="24"/>
          <w:szCs w:val="24"/>
        </w:rPr>
        <w:t xml:space="preserve"> way in which the people of Britain have commemorated the deceased has increased since the war era</w:t>
      </w:r>
      <w:r w:rsidR="00C3369E">
        <w:rPr>
          <w:sz w:val="24"/>
          <w:szCs w:val="24"/>
        </w:rPr>
        <w:t>;</w:t>
      </w:r>
      <w:r w:rsidR="00E432AB" w:rsidRPr="00466921">
        <w:rPr>
          <w:sz w:val="24"/>
          <w:szCs w:val="24"/>
        </w:rPr>
        <w:t xml:space="preserve"> it has become increasingly popular for people to </w:t>
      </w:r>
      <w:r w:rsidR="00931C96" w:rsidRPr="00466921">
        <w:rPr>
          <w:sz w:val="24"/>
          <w:szCs w:val="24"/>
        </w:rPr>
        <w:t>empathise</w:t>
      </w:r>
      <w:r w:rsidR="00E432AB" w:rsidRPr="00466921">
        <w:rPr>
          <w:sz w:val="24"/>
          <w:szCs w:val="24"/>
        </w:rPr>
        <w:t xml:space="preserve"> with the past</w:t>
      </w:r>
      <w:r w:rsidR="00C3369E">
        <w:rPr>
          <w:sz w:val="24"/>
          <w:szCs w:val="24"/>
        </w:rPr>
        <w:t xml:space="preserve"> through personal responses</w:t>
      </w:r>
      <w:r w:rsidR="00E432AB" w:rsidRPr="00466921">
        <w:rPr>
          <w:sz w:val="24"/>
          <w:szCs w:val="24"/>
        </w:rPr>
        <w:t xml:space="preserve">. In 2014, there was an increase of </w:t>
      </w:r>
      <w:r w:rsidR="00F50B9D">
        <w:rPr>
          <w:sz w:val="24"/>
          <w:szCs w:val="24"/>
        </w:rPr>
        <w:t>literary</w:t>
      </w:r>
      <w:r w:rsidR="00E432AB" w:rsidRPr="00466921">
        <w:rPr>
          <w:sz w:val="24"/>
          <w:szCs w:val="24"/>
        </w:rPr>
        <w:t xml:space="preserve"> responses from people from all over the country who were encouraged to write to the bronze statue of an unknown solider which is based in London’s Paddington Station. This statue is of a soldier reading a letter, what it contains and who it may be from no one knew. On the anniversary of the day war was declared, Neil Bartlett and Kate </w:t>
      </w:r>
      <w:proofErr w:type="spellStart"/>
      <w:r w:rsidR="00E432AB" w:rsidRPr="00466921">
        <w:rPr>
          <w:sz w:val="24"/>
          <w:szCs w:val="24"/>
        </w:rPr>
        <w:t>Pullinger</w:t>
      </w:r>
      <w:proofErr w:type="spellEnd"/>
      <w:r w:rsidR="00E432AB" w:rsidRPr="00466921">
        <w:rPr>
          <w:sz w:val="24"/>
          <w:szCs w:val="24"/>
        </w:rPr>
        <w:t xml:space="preserve"> encouraged </w:t>
      </w:r>
      <w:r w:rsidR="00E432AB" w:rsidRPr="00466921">
        <w:rPr>
          <w:sz w:val="24"/>
          <w:szCs w:val="24"/>
        </w:rPr>
        <w:lastRenderedPageBreak/>
        <w:t>everyone to write that letter.</w:t>
      </w:r>
      <w:r w:rsidR="00862DE8">
        <w:rPr>
          <w:sz w:val="24"/>
          <w:szCs w:val="24"/>
        </w:rPr>
        <w:t xml:space="preserve"> </w:t>
      </w:r>
      <w:r w:rsidR="00862DE8">
        <w:rPr>
          <w:sz w:val="24"/>
          <w:szCs w:val="24"/>
        </w:rPr>
        <w:t>The use of writing a letter is something that many may not be overly familiar in the present day. It is something that is personal. It causes the writers to think about who this man was; a family member? A friend? Who was the letter from?</w:t>
      </w:r>
      <w:r w:rsidR="00E432AB" w:rsidRPr="00466921">
        <w:rPr>
          <w:sz w:val="24"/>
          <w:szCs w:val="24"/>
        </w:rPr>
        <w:t xml:space="preserve"> Using this literary response helped to provide a way in which the war </w:t>
      </w:r>
      <w:r w:rsidR="00F50B9D">
        <w:rPr>
          <w:sz w:val="24"/>
          <w:szCs w:val="24"/>
        </w:rPr>
        <w:t>could be</w:t>
      </w:r>
      <w:r w:rsidR="00E432AB" w:rsidRPr="00466921">
        <w:rPr>
          <w:sz w:val="24"/>
          <w:szCs w:val="24"/>
        </w:rPr>
        <w:t xml:space="preserve"> remembered in the modern day</w:t>
      </w:r>
      <w:r w:rsidR="000F5522">
        <w:rPr>
          <w:sz w:val="24"/>
          <w:szCs w:val="24"/>
        </w:rPr>
        <w:t>. To</w:t>
      </w:r>
      <w:r w:rsidR="00E432AB" w:rsidRPr="00466921">
        <w:rPr>
          <w:sz w:val="24"/>
          <w:szCs w:val="24"/>
        </w:rPr>
        <w:t>day the war is no longer within lived experience</w:t>
      </w:r>
      <w:r w:rsidR="00CE2338">
        <w:rPr>
          <w:sz w:val="24"/>
          <w:szCs w:val="24"/>
        </w:rPr>
        <w:t>, we must ask</w:t>
      </w:r>
      <w:r w:rsidR="00E432AB" w:rsidRPr="00466921">
        <w:rPr>
          <w:sz w:val="24"/>
          <w:szCs w:val="24"/>
        </w:rPr>
        <w:t xml:space="preserve"> what it means to remember what cannot in fact be remembered. </w:t>
      </w:r>
      <w:r w:rsidR="00E432AB" w:rsidRPr="00466921">
        <w:rPr>
          <w:sz w:val="24"/>
          <w:szCs w:val="24"/>
        </w:rPr>
        <w:br/>
        <w:t xml:space="preserve">Bartlett and </w:t>
      </w:r>
      <w:proofErr w:type="spellStart"/>
      <w:r w:rsidR="00E432AB" w:rsidRPr="00466921">
        <w:rPr>
          <w:sz w:val="24"/>
          <w:szCs w:val="24"/>
        </w:rPr>
        <w:t>Pullinger</w:t>
      </w:r>
      <w:proofErr w:type="spellEnd"/>
      <w:r w:rsidR="00E432AB" w:rsidRPr="00466921">
        <w:rPr>
          <w:sz w:val="24"/>
          <w:szCs w:val="24"/>
        </w:rPr>
        <w:t xml:space="preserve"> state that ‘</w:t>
      </w:r>
      <w:r w:rsidR="008646A9" w:rsidRPr="00466921">
        <w:rPr>
          <w:sz w:val="24"/>
          <w:szCs w:val="24"/>
        </w:rPr>
        <w:t>Remembrance</w:t>
      </w:r>
      <w:r w:rsidR="00E432AB" w:rsidRPr="00466921">
        <w:rPr>
          <w:sz w:val="24"/>
          <w:szCs w:val="24"/>
        </w:rPr>
        <w:t xml:space="preserve"> is usually conducted in silence. This memorial is made of voices- numerous, various, contradictory, heart-broken, angry, sentimental and true.’</w:t>
      </w:r>
      <w:r w:rsidR="006A7C6F" w:rsidRPr="00466921">
        <w:rPr>
          <w:rStyle w:val="FootnoteReference"/>
          <w:sz w:val="24"/>
          <w:szCs w:val="24"/>
        </w:rPr>
        <w:footnoteReference w:id="36"/>
      </w:r>
      <w:r w:rsidR="00B5095B" w:rsidRPr="00466921">
        <w:rPr>
          <w:sz w:val="24"/>
          <w:szCs w:val="24"/>
        </w:rPr>
        <w:br/>
        <w:t xml:space="preserve"> </w:t>
      </w:r>
      <w:r w:rsidR="00B5095B" w:rsidRPr="00466921">
        <w:rPr>
          <w:sz w:val="24"/>
          <w:szCs w:val="24"/>
        </w:rPr>
        <w:tab/>
        <w:t xml:space="preserve">By creating </w:t>
      </w:r>
      <w:r w:rsidR="00F24ACB">
        <w:rPr>
          <w:sz w:val="24"/>
          <w:szCs w:val="24"/>
        </w:rPr>
        <w:t>a</w:t>
      </w:r>
      <w:r w:rsidR="00B5095B" w:rsidRPr="00466921">
        <w:rPr>
          <w:sz w:val="24"/>
          <w:szCs w:val="24"/>
        </w:rPr>
        <w:t xml:space="preserve"> book</w:t>
      </w:r>
      <w:r w:rsidR="00F24ACB">
        <w:rPr>
          <w:sz w:val="24"/>
          <w:szCs w:val="24"/>
        </w:rPr>
        <w:t xml:space="preserve"> from the letters,</w:t>
      </w:r>
      <w:r w:rsidR="00B5095B" w:rsidRPr="00466921">
        <w:rPr>
          <w:sz w:val="24"/>
          <w:szCs w:val="24"/>
        </w:rPr>
        <w:t xml:space="preserve"> they unlocked a way to people’s emotions through the artistry of telling a story and creating compassion to shape the modern perceptions of the First World War.</w:t>
      </w:r>
      <w:r w:rsidR="00F853F0" w:rsidRPr="00F853F0">
        <w:rPr>
          <w:sz w:val="24"/>
          <w:szCs w:val="24"/>
        </w:rPr>
        <w:t xml:space="preserve"> </w:t>
      </w:r>
      <w:r w:rsidR="00F853F0">
        <w:rPr>
          <w:sz w:val="24"/>
          <w:szCs w:val="24"/>
        </w:rPr>
        <w:t xml:space="preserve">The use of letter writing has drawn out the compassion of </w:t>
      </w:r>
      <w:r w:rsidR="00F853F0">
        <w:rPr>
          <w:sz w:val="24"/>
          <w:szCs w:val="24"/>
        </w:rPr>
        <w:t>today’s</w:t>
      </w:r>
      <w:r w:rsidR="00F853F0">
        <w:rPr>
          <w:sz w:val="24"/>
          <w:szCs w:val="24"/>
        </w:rPr>
        <w:t xml:space="preserve"> society whilst causing them to take notice of the past, it was not just any war, it was a war in which the sheer number of casualties was something Britain had not seen before. There is a vast diversity of voices given in the letters written to this unknown soldier. It has encouraged people to stop, think and feel.</w:t>
      </w:r>
      <w:r w:rsidR="00F853F0">
        <w:rPr>
          <w:rStyle w:val="FootnoteReference"/>
          <w:sz w:val="24"/>
          <w:szCs w:val="24"/>
        </w:rPr>
        <w:footnoteReference w:id="37"/>
      </w:r>
      <w:r w:rsidR="00F853F0">
        <w:rPr>
          <w:sz w:val="24"/>
          <w:szCs w:val="24"/>
        </w:rPr>
        <w:t xml:space="preserve"> </w:t>
      </w:r>
      <w:r w:rsidR="00862DE8">
        <w:rPr>
          <w:sz w:val="24"/>
          <w:szCs w:val="24"/>
        </w:rPr>
        <w:br/>
        <w:t xml:space="preserve"> </w:t>
      </w:r>
      <w:r w:rsidR="00862DE8">
        <w:rPr>
          <w:sz w:val="24"/>
          <w:szCs w:val="24"/>
        </w:rPr>
        <w:tab/>
      </w:r>
      <w:r w:rsidR="00B5095B" w:rsidRPr="00466921">
        <w:rPr>
          <w:sz w:val="24"/>
          <w:szCs w:val="24"/>
        </w:rPr>
        <w:t xml:space="preserve"> Many sources have </w:t>
      </w:r>
      <w:r w:rsidR="00F24ACB">
        <w:rPr>
          <w:sz w:val="24"/>
          <w:szCs w:val="24"/>
        </w:rPr>
        <w:t xml:space="preserve">significantly </w:t>
      </w:r>
      <w:r w:rsidR="00B5095B" w:rsidRPr="00466921">
        <w:rPr>
          <w:sz w:val="24"/>
          <w:szCs w:val="24"/>
        </w:rPr>
        <w:t xml:space="preserve">shaped the perception of war up until the modern day, many of </w:t>
      </w:r>
      <w:r w:rsidR="00F24ACB">
        <w:rPr>
          <w:sz w:val="24"/>
          <w:szCs w:val="24"/>
        </w:rPr>
        <w:t>the creat</w:t>
      </w:r>
      <w:r w:rsidR="00B93002">
        <w:rPr>
          <w:sz w:val="24"/>
          <w:szCs w:val="24"/>
        </w:rPr>
        <w:t>ors</w:t>
      </w:r>
      <w:r w:rsidR="00F24ACB">
        <w:rPr>
          <w:sz w:val="24"/>
          <w:szCs w:val="24"/>
        </w:rPr>
        <w:t xml:space="preserve"> of these sources</w:t>
      </w:r>
      <w:r w:rsidR="00B5095B" w:rsidRPr="00466921">
        <w:rPr>
          <w:sz w:val="24"/>
          <w:szCs w:val="24"/>
        </w:rPr>
        <w:t xml:space="preserve"> </w:t>
      </w:r>
      <w:r w:rsidR="00F24ACB">
        <w:rPr>
          <w:sz w:val="24"/>
          <w:szCs w:val="24"/>
        </w:rPr>
        <w:t>were</w:t>
      </w:r>
      <w:r w:rsidR="00B5095B" w:rsidRPr="00466921">
        <w:rPr>
          <w:sz w:val="24"/>
          <w:szCs w:val="24"/>
        </w:rPr>
        <w:t xml:space="preserve"> a part of the war. The</w:t>
      </w:r>
      <w:r w:rsidR="00B22E41">
        <w:rPr>
          <w:sz w:val="24"/>
          <w:szCs w:val="24"/>
        </w:rPr>
        <w:t xml:space="preserve">y include </w:t>
      </w:r>
      <w:r w:rsidR="00B5095B" w:rsidRPr="00466921">
        <w:rPr>
          <w:sz w:val="24"/>
          <w:szCs w:val="24"/>
        </w:rPr>
        <w:t>poets, writers, sculptors, composers, photographers and film-makers.</w:t>
      </w:r>
      <w:r w:rsidR="00C8365D">
        <w:rPr>
          <w:rStyle w:val="FootnoteReference"/>
          <w:sz w:val="24"/>
          <w:szCs w:val="24"/>
        </w:rPr>
        <w:footnoteReference w:id="38"/>
      </w:r>
      <w:r w:rsidR="00B5095B" w:rsidRPr="00466921">
        <w:rPr>
          <w:sz w:val="24"/>
          <w:szCs w:val="24"/>
        </w:rPr>
        <w:t xml:space="preserve"> These were the people who had served for their country and had reflected on the effects of war and </w:t>
      </w:r>
      <w:r w:rsidR="00100DE4" w:rsidRPr="00466921">
        <w:rPr>
          <w:sz w:val="24"/>
          <w:szCs w:val="24"/>
        </w:rPr>
        <w:t>individuals</w:t>
      </w:r>
      <w:r w:rsidR="00B5095B" w:rsidRPr="00466921">
        <w:rPr>
          <w:sz w:val="24"/>
          <w:szCs w:val="24"/>
        </w:rPr>
        <w:t xml:space="preserve"> and society. </w:t>
      </w:r>
      <w:r w:rsidR="00100DE4" w:rsidRPr="00466921">
        <w:rPr>
          <w:sz w:val="24"/>
          <w:szCs w:val="24"/>
        </w:rPr>
        <w:t>Their art ha</w:t>
      </w:r>
      <w:r w:rsidR="00C8365D">
        <w:rPr>
          <w:sz w:val="24"/>
          <w:szCs w:val="24"/>
        </w:rPr>
        <w:t>s</w:t>
      </w:r>
      <w:r w:rsidR="00100DE4" w:rsidRPr="00466921">
        <w:rPr>
          <w:sz w:val="24"/>
          <w:szCs w:val="24"/>
        </w:rPr>
        <w:t xml:space="preserve"> a profound and lasting effect on the world. However, through </w:t>
      </w:r>
      <w:r w:rsidR="00290FA0">
        <w:rPr>
          <w:sz w:val="24"/>
          <w:szCs w:val="24"/>
        </w:rPr>
        <w:t xml:space="preserve">the </w:t>
      </w:r>
      <w:r w:rsidR="00290FA0">
        <w:rPr>
          <w:sz w:val="24"/>
          <w:szCs w:val="24"/>
        </w:rPr>
        <w:lastRenderedPageBreak/>
        <w:t>compilation of the book of letters</w:t>
      </w:r>
      <w:r w:rsidR="00100DE4" w:rsidRPr="00466921">
        <w:rPr>
          <w:sz w:val="24"/>
          <w:szCs w:val="24"/>
        </w:rPr>
        <w:t xml:space="preserve">, </w:t>
      </w:r>
      <w:r w:rsidR="00E70647">
        <w:rPr>
          <w:sz w:val="24"/>
          <w:szCs w:val="24"/>
        </w:rPr>
        <w:t xml:space="preserve">a </w:t>
      </w:r>
      <w:r w:rsidR="00100DE4" w:rsidRPr="00466921">
        <w:rPr>
          <w:sz w:val="24"/>
          <w:szCs w:val="24"/>
        </w:rPr>
        <w:t>rich portrait of how people in Britain have felt about the First World War one hundred years on</w:t>
      </w:r>
      <w:r w:rsidR="00E70647">
        <w:rPr>
          <w:sz w:val="24"/>
          <w:szCs w:val="24"/>
        </w:rPr>
        <w:t xml:space="preserve"> has been drawn</w:t>
      </w:r>
      <w:r w:rsidR="00100DE4" w:rsidRPr="00466921">
        <w:rPr>
          <w:sz w:val="24"/>
          <w:szCs w:val="24"/>
        </w:rPr>
        <w:t>. It gives another side to the story, rather than looking up the statistics from the First World War with the lists and numbers of those who had been wounded and killed</w:t>
      </w:r>
      <w:r w:rsidR="00850A84">
        <w:rPr>
          <w:sz w:val="24"/>
          <w:szCs w:val="24"/>
        </w:rPr>
        <w:t xml:space="preserve"> and t</w:t>
      </w:r>
      <w:r w:rsidR="00100DE4" w:rsidRPr="00466921">
        <w:rPr>
          <w:sz w:val="24"/>
          <w:szCs w:val="24"/>
        </w:rPr>
        <w:t xml:space="preserve">he battles which had destroyed villages and towns. The </w:t>
      </w:r>
      <w:r w:rsidR="00B145A5">
        <w:rPr>
          <w:sz w:val="24"/>
          <w:szCs w:val="24"/>
        </w:rPr>
        <w:t>unique form of memorialisation</w:t>
      </w:r>
      <w:r w:rsidR="00100DE4" w:rsidRPr="00466921">
        <w:rPr>
          <w:sz w:val="24"/>
          <w:szCs w:val="24"/>
        </w:rPr>
        <w:t xml:space="preserve"> has unlocked the emotion</w:t>
      </w:r>
      <w:r w:rsidR="00B145A5">
        <w:rPr>
          <w:sz w:val="24"/>
          <w:szCs w:val="24"/>
        </w:rPr>
        <w:t xml:space="preserve"> of a new generation in response.</w:t>
      </w:r>
      <w:r w:rsidR="00C8365D">
        <w:rPr>
          <w:rStyle w:val="FootnoteReference"/>
          <w:sz w:val="24"/>
          <w:szCs w:val="24"/>
        </w:rPr>
        <w:footnoteReference w:id="39"/>
      </w:r>
      <w:r w:rsidR="005B681C">
        <w:rPr>
          <w:sz w:val="24"/>
          <w:szCs w:val="24"/>
        </w:rPr>
        <w:t xml:space="preserve"> </w:t>
      </w:r>
      <w:r w:rsidR="00A8388F">
        <w:rPr>
          <w:sz w:val="24"/>
          <w:szCs w:val="24"/>
        </w:rPr>
        <w:t xml:space="preserve"> Helen McCartney, a historian, believe</w:t>
      </w:r>
      <w:r w:rsidR="00876131">
        <w:rPr>
          <w:sz w:val="24"/>
          <w:szCs w:val="24"/>
        </w:rPr>
        <w:t xml:space="preserve">s </w:t>
      </w:r>
      <w:r w:rsidR="00A8388F">
        <w:rPr>
          <w:sz w:val="24"/>
          <w:szCs w:val="24"/>
        </w:rPr>
        <w:t>that through our empathetic approach to history, that it ‘often encourages us to project our own feelings and attitudes towards the First World War.’</w:t>
      </w:r>
      <w:r w:rsidR="00A8388F">
        <w:rPr>
          <w:rStyle w:val="FootnoteReference"/>
          <w:sz w:val="24"/>
          <w:szCs w:val="24"/>
        </w:rPr>
        <w:footnoteReference w:id="40"/>
      </w:r>
      <w:r w:rsidR="00A8388F">
        <w:rPr>
          <w:sz w:val="24"/>
          <w:szCs w:val="24"/>
        </w:rPr>
        <w:t xml:space="preserve"> She </w:t>
      </w:r>
      <w:r w:rsidR="00876131">
        <w:rPr>
          <w:sz w:val="24"/>
          <w:szCs w:val="24"/>
        </w:rPr>
        <w:t>states</w:t>
      </w:r>
      <w:r w:rsidR="00A8388F">
        <w:rPr>
          <w:sz w:val="24"/>
          <w:szCs w:val="24"/>
        </w:rPr>
        <w:t xml:space="preserve"> that the cause of this is the increase of popularity in society and researching their family history.</w:t>
      </w:r>
      <w:r w:rsidR="00A8388F">
        <w:rPr>
          <w:rStyle w:val="FootnoteReference"/>
          <w:sz w:val="24"/>
          <w:szCs w:val="24"/>
        </w:rPr>
        <w:footnoteReference w:id="41"/>
      </w:r>
      <w:r w:rsidR="002D461A">
        <w:rPr>
          <w:sz w:val="24"/>
          <w:szCs w:val="24"/>
        </w:rPr>
        <w:t xml:space="preserve"> This can be very much caused by multidirectional memory which causes the past to be brought into the present. Rothberg believe</w:t>
      </w:r>
      <w:r w:rsidR="00876131">
        <w:rPr>
          <w:sz w:val="24"/>
          <w:szCs w:val="24"/>
        </w:rPr>
        <w:t xml:space="preserve">s that in present day the borders concerning remembrance and self are uneven </w:t>
      </w:r>
      <w:r w:rsidR="00876131">
        <w:rPr>
          <w:rStyle w:val="FootnoteReference"/>
          <w:sz w:val="24"/>
          <w:szCs w:val="24"/>
        </w:rPr>
        <w:footnoteReference w:id="42"/>
      </w:r>
      <w:r w:rsidR="00876131">
        <w:rPr>
          <w:sz w:val="24"/>
          <w:szCs w:val="24"/>
        </w:rPr>
        <w:t xml:space="preserve"> and although Rothberg was describing the after effects of the Second World War, his theory is still relevant to the way soldiers of the First World War are being perceived today. </w:t>
      </w:r>
      <w:r w:rsidR="00C8365D">
        <w:rPr>
          <w:sz w:val="24"/>
          <w:szCs w:val="24"/>
        </w:rPr>
        <w:br/>
        <w:t xml:space="preserve"> </w:t>
      </w:r>
      <w:r w:rsidR="00C8365D">
        <w:rPr>
          <w:sz w:val="24"/>
          <w:szCs w:val="24"/>
        </w:rPr>
        <w:tab/>
      </w:r>
    </w:p>
    <w:p w14:paraId="56966D0F" w14:textId="592AF214" w:rsidR="00EF382A" w:rsidRPr="00466921" w:rsidRDefault="00CB638C" w:rsidP="00A8388F">
      <w:pPr>
        <w:spacing w:line="480" w:lineRule="auto"/>
        <w:ind w:firstLine="720"/>
        <w:rPr>
          <w:sz w:val="24"/>
          <w:szCs w:val="24"/>
        </w:rPr>
      </w:pPr>
      <w:r>
        <w:rPr>
          <w:sz w:val="24"/>
          <w:szCs w:val="24"/>
        </w:rPr>
        <w:t xml:space="preserve"> </w:t>
      </w:r>
      <w:r>
        <w:rPr>
          <w:sz w:val="24"/>
          <w:szCs w:val="24"/>
        </w:rPr>
        <w:tab/>
      </w:r>
      <w:r w:rsidR="00B5095B" w:rsidRPr="00466921">
        <w:rPr>
          <w:sz w:val="24"/>
          <w:szCs w:val="24"/>
        </w:rPr>
        <w:t xml:space="preserve">Overall, the unprecedented mass death and bereavement impacted the way Britons commemorated the deceased greatly. After World War One there were many ways in which the soldiers were memorialised. Physically, spiritually and mentally. The mass monuments of the first world war greatly eclipsed any other battle or war following 1918 due to the sheer </w:t>
      </w:r>
      <w:r w:rsidR="007206C9">
        <w:rPr>
          <w:sz w:val="24"/>
          <w:szCs w:val="24"/>
        </w:rPr>
        <w:t>a</w:t>
      </w:r>
      <w:r w:rsidR="00B5095B" w:rsidRPr="00466921">
        <w:rPr>
          <w:sz w:val="24"/>
          <w:szCs w:val="24"/>
        </w:rPr>
        <w:t xml:space="preserve">mount of unexpected deaths </w:t>
      </w:r>
      <w:r w:rsidR="007206C9">
        <w:rPr>
          <w:sz w:val="24"/>
          <w:szCs w:val="24"/>
        </w:rPr>
        <w:t>of</w:t>
      </w:r>
      <w:r w:rsidR="00B5095B" w:rsidRPr="00466921">
        <w:rPr>
          <w:sz w:val="24"/>
          <w:szCs w:val="24"/>
        </w:rPr>
        <w:t xml:space="preserve"> civilians who had never witnessed anything on a scale this large. </w:t>
      </w:r>
      <w:r w:rsidR="00D428CE">
        <w:rPr>
          <w:sz w:val="24"/>
          <w:szCs w:val="24"/>
        </w:rPr>
        <w:t xml:space="preserve">Memorialisation does not have to be monuments that have </w:t>
      </w:r>
      <w:r w:rsidR="00D428CE">
        <w:rPr>
          <w:sz w:val="24"/>
          <w:szCs w:val="24"/>
        </w:rPr>
        <w:lastRenderedPageBreak/>
        <w:t xml:space="preserve">been mass created across the whole of Britain. It is also </w:t>
      </w:r>
      <w:r w:rsidR="00BB53E2">
        <w:rPr>
          <w:sz w:val="24"/>
          <w:szCs w:val="24"/>
        </w:rPr>
        <w:t xml:space="preserve">the creations of charities to help servicemen from the war to the present day, literary responses of reflection to immerse oneself into the past as well as something as small but significant as wearing the poppy. </w:t>
      </w:r>
      <w:r w:rsidR="00BB53E2">
        <w:rPr>
          <w:sz w:val="24"/>
          <w:szCs w:val="24"/>
        </w:rPr>
        <w:br/>
        <w:t>Britain has experienced multitude ways of commemoration after war and even in the twenty-first century new ways are being created and</w:t>
      </w:r>
      <w:r w:rsidR="00BB53E2" w:rsidRPr="00BB53E2">
        <w:rPr>
          <w:sz w:val="24"/>
          <w:szCs w:val="24"/>
        </w:rPr>
        <w:t xml:space="preserve"> </w:t>
      </w:r>
      <w:r w:rsidR="00BB53E2">
        <w:rPr>
          <w:sz w:val="24"/>
          <w:szCs w:val="24"/>
        </w:rPr>
        <w:t>utilised.</w:t>
      </w:r>
    </w:p>
    <w:p w14:paraId="7E02FA1F" w14:textId="53427E48" w:rsidR="00D122C6" w:rsidRDefault="00D122C6" w:rsidP="004A0EDD"/>
    <w:p w14:paraId="38F37649" w14:textId="6F0D9819" w:rsidR="00D122C6" w:rsidRDefault="00D122C6" w:rsidP="004A0EDD"/>
    <w:p w14:paraId="7790DF28" w14:textId="0BCDE6EA" w:rsidR="00D122C6" w:rsidRDefault="00D122C6" w:rsidP="004A0EDD"/>
    <w:p w14:paraId="75204957" w14:textId="25B4EE13" w:rsidR="00D122C6" w:rsidRDefault="00376CBB" w:rsidP="004A0EDD">
      <w:r>
        <w:t>Word Count: 2759</w:t>
      </w:r>
      <w:bookmarkStart w:id="0" w:name="_GoBack"/>
      <w:bookmarkEnd w:id="0"/>
    </w:p>
    <w:p w14:paraId="2CD8E340" w14:textId="1792CC12" w:rsidR="000410DF" w:rsidRDefault="000410DF" w:rsidP="004A0EDD"/>
    <w:p w14:paraId="75AB7C64" w14:textId="4ED00ED3" w:rsidR="000410DF" w:rsidRDefault="000410DF" w:rsidP="004A0EDD"/>
    <w:p w14:paraId="1ED5904B" w14:textId="020D4658" w:rsidR="000410DF" w:rsidRDefault="000410DF" w:rsidP="004A0EDD"/>
    <w:p w14:paraId="5250612E" w14:textId="70ACF8ED" w:rsidR="000410DF" w:rsidRDefault="000410DF" w:rsidP="004A0EDD"/>
    <w:p w14:paraId="36D69D6D" w14:textId="626225DA" w:rsidR="000410DF" w:rsidRDefault="000410DF" w:rsidP="004A0EDD"/>
    <w:p w14:paraId="6A53126E" w14:textId="0FF6F7EE" w:rsidR="000410DF" w:rsidRDefault="000410DF" w:rsidP="004A0EDD"/>
    <w:p w14:paraId="10922381" w14:textId="5168CEA0" w:rsidR="000410DF" w:rsidRDefault="000410DF" w:rsidP="004A0EDD"/>
    <w:p w14:paraId="3CCBA3E5" w14:textId="6B5B64E0" w:rsidR="000410DF" w:rsidRDefault="000410DF" w:rsidP="004A0EDD"/>
    <w:p w14:paraId="2C39D9AA" w14:textId="42602500" w:rsidR="000410DF" w:rsidRDefault="000410DF" w:rsidP="004A0EDD"/>
    <w:p w14:paraId="7D784D75" w14:textId="0B408741" w:rsidR="000410DF" w:rsidRDefault="000410DF" w:rsidP="004A0EDD"/>
    <w:p w14:paraId="459184EE" w14:textId="7AA580C3" w:rsidR="000410DF" w:rsidRDefault="000410DF" w:rsidP="004A0EDD"/>
    <w:p w14:paraId="3A49C508" w14:textId="3B18980D" w:rsidR="000410DF" w:rsidRDefault="000410DF" w:rsidP="004A0EDD"/>
    <w:p w14:paraId="398E03E3" w14:textId="1837FB27" w:rsidR="000410DF" w:rsidRDefault="000410DF" w:rsidP="004A0EDD"/>
    <w:p w14:paraId="36AAB8EC" w14:textId="4E850096" w:rsidR="000410DF" w:rsidRDefault="000410DF" w:rsidP="004A0EDD"/>
    <w:p w14:paraId="5F7465F0" w14:textId="0F77942A" w:rsidR="000410DF" w:rsidRDefault="000410DF" w:rsidP="004A0EDD"/>
    <w:p w14:paraId="797BB8EA" w14:textId="1A71E8EA" w:rsidR="000410DF" w:rsidRDefault="000410DF" w:rsidP="004A0EDD"/>
    <w:p w14:paraId="1F010EE2" w14:textId="06A4BE96" w:rsidR="000410DF" w:rsidRDefault="000410DF" w:rsidP="004A0EDD"/>
    <w:p w14:paraId="793022BB" w14:textId="46B16083" w:rsidR="000410DF" w:rsidRDefault="000410DF" w:rsidP="004A0EDD"/>
    <w:p w14:paraId="1DD04FBE" w14:textId="5B8FF0CE" w:rsidR="000410DF" w:rsidRDefault="000410DF" w:rsidP="004A0EDD"/>
    <w:p w14:paraId="493B5FDC" w14:textId="05D94CF9" w:rsidR="000410DF" w:rsidRDefault="000410DF" w:rsidP="004A0EDD"/>
    <w:p w14:paraId="4CE8AA14" w14:textId="6FC9C5E2" w:rsidR="000410DF" w:rsidRDefault="000410DF" w:rsidP="000410DF">
      <w:pPr>
        <w:pStyle w:val="Bibliography"/>
      </w:pPr>
      <w:r>
        <w:lastRenderedPageBreak/>
        <w:t>Bibliography</w:t>
      </w:r>
    </w:p>
    <w:p w14:paraId="4880093F" w14:textId="77777777" w:rsidR="000410DF" w:rsidRDefault="000410DF" w:rsidP="000410DF">
      <w:pPr>
        <w:pStyle w:val="Bibliography"/>
      </w:pPr>
    </w:p>
    <w:p w14:paraId="134B1BCC" w14:textId="14D19CFB" w:rsidR="000410DF" w:rsidRPr="000410DF" w:rsidRDefault="000410DF" w:rsidP="000410DF">
      <w:pPr>
        <w:pStyle w:val="Bibliography"/>
        <w:rPr>
          <w:rFonts w:ascii="Calibri" w:hAnsi="Calibri" w:cs="Calibri"/>
        </w:rPr>
      </w:pPr>
      <w:r>
        <w:fldChar w:fldCharType="begin"/>
      </w:r>
      <w:r>
        <w:instrText xml:space="preserve"> ADDIN ZOTERO_BIBL {"custom":[]} CSL_BIBLIOGRAPHY </w:instrText>
      </w:r>
      <w:r>
        <w:fldChar w:fldCharType="separate"/>
      </w:r>
      <w:r w:rsidRPr="000410DF">
        <w:rPr>
          <w:rFonts w:ascii="Calibri" w:hAnsi="Calibri" w:cs="Calibri"/>
        </w:rPr>
        <w:t xml:space="preserve">Bartlett, Neil, and Kate </w:t>
      </w:r>
      <w:proofErr w:type="spellStart"/>
      <w:r w:rsidRPr="000410DF">
        <w:rPr>
          <w:rFonts w:ascii="Calibri" w:hAnsi="Calibri" w:cs="Calibri"/>
        </w:rPr>
        <w:t>Pullinger</w:t>
      </w:r>
      <w:proofErr w:type="spellEnd"/>
      <w:r w:rsidRPr="000410DF">
        <w:rPr>
          <w:rFonts w:ascii="Calibri" w:hAnsi="Calibri" w:cs="Calibri"/>
        </w:rPr>
        <w:t xml:space="preserve">, eds., </w:t>
      </w:r>
      <w:r w:rsidRPr="000410DF">
        <w:rPr>
          <w:rFonts w:ascii="Calibri" w:hAnsi="Calibri" w:cs="Calibri"/>
          <w:i/>
          <w:iCs/>
        </w:rPr>
        <w:t>Letter to an Unknown Soldier</w:t>
      </w:r>
      <w:r w:rsidRPr="000410DF">
        <w:rPr>
          <w:rFonts w:ascii="Calibri" w:hAnsi="Calibri" w:cs="Calibri"/>
        </w:rPr>
        <w:t xml:space="preserve">, 1st </w:t>
      </w:r>
      <w:proofErr w:type="spellStart"/>
      <w:r w:rsidRPr="000410DF">
        <w:rPr>
          <w:rFonts w:ascii="Calibri" w:hAnsi="Calibri" w:cs="Calibri"/>
        </w:rPr>
        <w:t>edn</w:t>
      </w:r>
      <w:proofErr w:type="spellEnd"/>
      <w:r w:rsidRPr="000410DF">
        <w:rPr>
          <w:rFonts w:ascii="Calibri" w:hAnsi="Calibri" w:cs="Calibri"/>
        </w:rPr>
        <w:t xml:space="preserve"> (London: Harper Collins Publishers, 2014)</w:t>
      </w:r>
    </w:p>
    <w:p w14:paraId="43761FAD" w14:textId="77777777" w:rsidR="000410DF" w:rsidRPr="000410DF" w:rsidRDefault="000410DF" w:rsidP="000410DF">
      <w:pPr>
        <w:pStyle w:val="Bibliography"/>
        <w:rPr>
          <w:rFonts w:ascii="Calibri" w:hAnsi="Calibri" w:cs="Calibri"/>
        </w:rPr>
      </w:pPr>
      <w:r w:rsidRPr="000410DF">
        <w:rPr>
          <w:rFonts w:ascii="Calibri" w:hAnsi="Calibri" w:cs="Calibri"/>
        </w:rPr>
        <w:t xml:space="preserve">‘CARDIFF WELSH NATIONAL WAR MEMORIAL; NATIONAL MEMORIAL FOR THE GREAT WAR, CATHAYS PARK | </w:t>
      </w:r>
      <w:proofErr w:type="spellStart"/>
      <w:r w:rsidRPr="000410DF">
        <w:rPr>
          <w:rFonts w:ascii="Calibri" w:hAnsi="Calibri" w:cs="Calibri"/>
        </w:rPr>
        <w:t>Coflein</w:t>
      </w:r>
      <w:proofErr w:type="spellEnd"/>
      <w:r w:rsidRPr="000410DF">
        <w:rPr>
          <w:rFonts w:ascii="Calibri" w:hAnsi="Calibri" w:cs="Calibri"/>
        </w:rPr>
        <w:t>’ &lt;http://www.coflein.gov.uk/en/site/32845/details/cardiff-welsh-national-war-memorial-national-memorial-for-the-great-war-cathays-park&gt; [accessed 12 January 2018]</w:t>
      </w:r>
    </w:p>
    <w:p w14:paraId="25A9FD07" w14:textId="77777777" w:rsidR="000410DF" w:rsidRPr="000410DF" w:rsidRDefault="000410DF" w:rsidP="000410DF">
      <w:pPr>
        <w:pStyle w:val="Bibliography"/>
        <w:rPr>
          <w:rFonts w:ascii="Calibri" w:hAnsi="Calibri" w:cs="Calibri"/>
        </w:rPr>
      </w:pPr>
      <w:r w:rsidRPr="000410DF">
        <w:rPr>
          <w:rFonts w:ascii="Calibri" w:hAnsi="Calibri" w:cs="Calibri"/>
        </w:rPr>
        <w:t xml:space="preserve">Clark, David, </w:t>
      </w:r>
      <w:r w:rsidRPr="000410DF">
        <w:rPr>
          <w:rFonts w:ascii="Calibri" w:hAnsi="Calibri" w:cs="Calibri"/>
          <w:i/>
          <w:iCs/>
        </w:rPr>
        <w:t>The Sociology of Death: Theory, Culture, Practice</w:t>
      </w:r>
      <w:r w:rsidRPr="000410DF">
        <w:rPr>
          <w:rFonts w:ascii="Calibri" w:hAnsi="Calibri" w:cs="Calibri"/>
        </w:rPr>
        <w:t xml:space="preserve">, Sociological Review </w:t>
      </w:r>
      <w:proofErr w:type="gramStart"/>
      <w:r w:rsidRPr="000410DF">
        <w:rPr>
          <w:rFonts w:ascii="Calibri" w:hAnsi="Calibri" w:cs="Calibri"/>
        </w:rPr>
        <w:t>Monograph ;</w:t>
      </w:r>
      <w:proofErr w:type="gramEnd"/>
      <w:r w:rsidRPr="000410DF">
        <w:rPr>
          <w:rFonts w:ascii="Calibri" w:hAnsi="Calibri" w:cs="Calibri"/>
        </w:rPr>
        <w:t xml:space="preserve"> [40] (Oxford, Oxford ; Cambridge, MA: Blackwell, Blackwell Publishers/The Sociological Review, 1993)</w:t>
      </w:r>
    </w:p>
    <w:p w14:paraId="055CAC78" w14:textId="77777777" w:rsidR="000410DF" w:rsidRPr="000410DF" w:rsidRDefault="000410DF" w:rsidP="000410DF">
      <w:pPr>
        <w:pStyle w:val="Bibliography"/>
        <w:rPr>
          <w:rFonts w:ascii="Calibri" w:hAnsi="Calibri" w:cs="Calibri"/>
        </w:rPr>
      </w:pPr>
      <w:r w:rsidRPr="000410DF">
        <w:rPr>
          <w:rFonts w:ascii="Calibri" w:hAnsi="Calibri" w:cs="Calibri"/>
        </w:rPr>
        <w:t xml:space="preserve">Dawson, Graham, </w:t>
      </w:r>
      <w:r w:rsidRPr="000410DF">
        <w:rPr>
          <w:rFonts w:ascii="Calibri" w:hAnsi="Calibri" w:cs="Calibri"/>
          <w:i/>
          <w:iCs/>
        </w:rPr>
        <w:t>Commemorating War: The Politics of Memory</w:t>
      </w:r>
      <w:r w:rsidRPr="000410DF">
        <w:rPr>
          <w:rFonts w:ascii="Calibri" w:hAnsi="Calibri" w:cs="Calibri"/>
        </w:rPr>
        <w:t xml:space="preserve"> (Routledge, 2017)</w:t>
      </w:r>
    </w:p>
    <w:p w14:paraId="4F51308A" w14:textId="77777777" w:rsidR="000410DF" w:rsidRPr="000410DF" w:rsidRDefault="000410DF" w:rsidP="000410DF">
      <w:pPr>
        <w:pStyle w:val="Bibliography"/>
        <w:rPr>
          <w:rFonts w:ascii="Calibri" w:hAnsi="Calibri" w:cs="Calibri"/>
        </w:rPr>
      </w:pPr>
      <w:r w:rsidRPr="000410DF">
        <w:rPr>
          <w:rFonts w:ascii="Calibri" w:hAnsi="Calibri" w:cs="Calibri"/>
        </w:rPr>
        <w:t xml:space="preserve">Gill </w:t>
      </w:r>
      <w:proofErr w:type="spellStart"/>
      <w:r w:rsidRPr="000410DF">
        <w:rPr>
          <w:rFonts w:ascii="Calibri" w:hAnsi="Calibri" w:cs="Calibri"/>
        </w:rPr>
        <w:t>Abousnnouga</w:t>
      </w:r>
      <w:proofErr w:type="spellEnd"/>
      <w:r w:rsidRPr="000410DF">
        <w:rPr>
          <w:rFonts w:ascii="Calibri" w:hAnsi="Calibri" w:cs="Calibri"/>
        </w:rPr>
        <w:t xml:space="preserve">, and David Machin, ‘Analysing the Language of War Monuments’, </w:t>
      </w:r>
      <w:r w:rsidRPr="000410DF">
        <w:rPr>
          <w:rFonts w:ascii="Calibri" w:hAnsi="Calibri" w:cs="Calibri"/>
          <w:i/>
          <w:iCs/>
        </w:rPr>
        <w:t>Visual Communication</w:t>
      </w:r>
      <w:r w:rsidRPr="000410DF">
        <w:rPr>
          <w:rFonts w:ascii="Calibri" w:hAnsi="Calibri" w:cs="Calibri"/>
        </w:rPr>
        <w:t>, 9 (2010), 131–49 &lt;https://doi.org/10.1177/1470357210369884&gt;</w:t>
      </w:r>
    </w:p>
    <w:p w14:paraId="78BFF9C4" w14:textId="77777777" w:rsidR="000410DF" w:rsidRPr="000410DF" w:rsidRDefault="000410DF" w:rsidP="000410DF">
      <w:pPr>
        <w:pStyle w:val="Bibliography"/>
        <w:rPr>
          <w:rFonts w:ascii="Calibri" w:hAnsi="Calibri" w:cs="Calibri"/>
        </w:rPr>
      </w:pPr>
      <w:r w:rsidRPr="000410DF">
        <w:rPr>
          <w:rFonts w:ascii="Calibri" w:hAnsi="Calibri" w:cs="Calibri"/>
        </w:rPr>
        <w:t xml:space="preserve">Harrison, Ted, </w:t>
      </w:r>
      <w:r w:rsidRPr="000410DF">
        <w:rPr>
          <w:rFonts w:ascii="Calibri" w:hAnsi="Calibri" w:cs="Calibri"/>
          <w:i/>
          <w:iCs/>
        </w:rPr>
        <w:t>Remembrance Today: Poppies, Grief and Heroism</w:t>
      </w:r>
      <w:r w:rsidRPr="000410DF">
        <w:rPr>
          <w:rFonts w:ascii="Calibri" w:hAnsi="Calibri" w:cs="Calibri"/>
        </w:rPr>
        <w:t xml:space="preserve"> (</w:t>
      </w:r>
      <w:proofErr w:type="spellStart"/>
      <w:r w:rsidRPr="000410DF">
        <w:rPr>
          <w:rFonts w:ascii="Calibri" w:hAnsi="Calibri" w:cs="Calibri"/>
        </w:rPr>
        <w:t>Reaktion</w:t>
      </w:r>
      <w:proofErr w:type="spellEnd"/>
      <w:r w:rsidRPr="000410DF">
        <w:rPr>
          <w:rFonts w:ascii="Calibri" w:hAnsi="Calibri" w:cs="Calibri"/>
        </w:rPr>
        <w:t xml:space="preserve"> Books, 2013)</w:t>
      </w:r>
    </w:p>
    <w:p w14:paraId="77DDDA06" w14:textId="77777777" w:rsidR="000410DF" w:rsidRPr="000410DF" w:rsidRDefault="000410DF" w:rsidP="000410DF">
      <w:pPr>
        <w:pStyle w:val="Bibliography"/>
        <w:rPr>
          <w:rFonts w:ascii="Calibri" w:hAnsi="Calibri" w:cs="Calibri"/>
        </w:rPr>
      </w:pPr>
      <w:r w:rsidRPr="000410DF">
        <w:rPr>
          <w:rFonts w:ascii="Calibri" w:hAnsi="Calibri" w:cs="Calibri"/>
        </w:rPr>
        <w:t xml:space="preserve">Iles, Jennifer, ‘In Remembrance: The Flanders Poppy’, </w:t>
      </w:r>
      <w:r w:rsidRPr="000410DF">
        <w:rPr>
          <w:rFonts w:ascii="Calibri" w:hAnsi="Calibri" w:cs="Calibri"/>
          <w:i/>
          <w:iCs/>
        </w:rPr>
        <w:t>Mortality</w:t>
      </w:r>
      <w:r w:rsidRPr="000410DF">
        <w:rPr>
          <w:rFonts w:ascii="Calibri" w:hAnsi="Calibri" w:cs="Calibri"/>
        </w:rPr>
        <w:t>, 13 (2008), 201–21 &lt;https://doi.org/10.1080/13576270802181640&gt;</w:t>
      </w:r>
    </w:p>
    <w:p w14:paraId="150201E8" w14:textId="77777777" w:rsidR="000410DF" w:rsidRPr="000410DF" w:rsidRDefault="000410DF" w:rsidP="000410DF">
      <w:pPr>
        <w:pStyle w:val="Bibliography"/>
        <w:rPr>
          <w:rFonts w:ascii="Calibri" w:hAnsi="Calibri" w:cs="Calibri"/>
        </w:rPr>
      </w:pPr>
      <w:r w:rsidRPr="000410DF">
        <w:rPr>
          <w:rFonts w:ascii="Calibri" w:hAnsi="Calibri" w:cs="Calibri"/>
        </w:rPr>
        <w:t xml:space="preserve">King, Alex, </w:t>
      </w:r>
      <w:r w:rsidRPr="000410DF">
        <w:rPr>
          <w:rFonts w:ascii="Calibri" w:hAnsi="Calibri" w:cs="Calibri"/>
          <w:i/>
          <w:iCs/>
        </w:rPr>
        <w:t>Memorials of the Great War in Britain: The Symbolism and Politics of Remembrance</w:t>
      </w:r>
      <w:r w:rsidRPr="000410DF">
        <w:rPr>
          <w:rFonts w:ascii="Calibri" w:hAnsi="Calibri" w:cs="Calibri"/>
        </w:rPr>
        <w:t xml:space="preserve"> (Bloomsbury Publishing, 2014)</w:t>
      </w:r>
    </w:p>
    <w:p w14:paraId="090FE026" w14:textId="77777777" w:rsidR="000410DF" w:rsidRPr="000410DF" w:rsidRDefault="000410DF" w:rsidP="000410DF">
      <w:pPr>
        <w:pStyle w:val="Bibliography"/>
        <w:rPr>
          <w:rFonts w:ascii="Calibri" w:hAnsi="Calibri" w:cs="Calibri"/>
        </w:rPr>
      </w:pPr>
      <w:proofErr w:type="spellStart"/>
      <w:r w:rsidRPr="000410DF">
        <w:rPr>
          <w:rFonts w:ascii="Calibri" w:hAnsi="Calibri" w:cs="Calibri"/>
        </w:rPr>
        <w:t>Koureas</w:t>
      </w:r>
      <w:proofErr w:type="spellEnd"/>
      <w:r w:rsidRPr="000410DF">
        <w:rPr>
          <w:rFonts w:ascii="Calibri" w:hAnsi="Calibri" w:cs="Calibri"/>
        </w:rPr>
        <w:t xml:space="preserve">, Gabriel, </w:t>
      </w:r>
      <w:r w:rsidRPr="000410DF">
        <w:rPr>
          <w:rFonts w:ascii="Calibri" w:hAnsi="Calibri" w:cs="Calibri"/>
          <w:i/>
          <w:iCs/>
        </w:rPr>
        <w:t>"Memory, Masculinity and National Identity in British Visual Culture, 1914?930 ": A Study of ‘Unconquerable Manhood’</w:t>
      </w:r>
      <w:r w:rsidRPr="000410DF">
        <w:rPr>
          <w:rFonts w:ascii="Calibri" w:hAnsi="Calibri" w:cs="Calibri"/>
        </w:rPr>
        <w:t xml:space="preserve"> (Routledge, 2017)</w:t>
      </w:r>
    </w:p>
    <w:p w14:paraId="4116D47E" w14:textId="77777777" w:rsidR="000410DF" w:rsidRPr="000410DF" w:rsidRDefault="000410DF" w:rsidP="000410DF">
      <w:pPr>
        <w:pStyle w:val="Bibliography"/>
        <w:rPr>
          <w:rFonts w:ascii="Calibri" w:hAnsi="Calibri" w:cs="Calibri"/>
        </w:rPr>
      </w:pPr>
      <w:r w:rsidRPr="000410DF">
        <w:rPr>
          <w:rFonts w:ascii="Calibri" w:hAnsi="Calibri" w:cs="Calibri"/>
        </w:rPr>
        <w:t xml:space="preserve">Low, Polly, G. J Oliver, and P. J Rhodes, </w:t>
      </w:r>
      <w:r w:rsidRPr="000410DF">
        <w:rPr>
          <w:rFonts w:ascii="Calibri" w:hAnsi="Calibri" w:cs="Calibri"/>
          <w:i/>
          <w:iCs/>
        </w:rPr>
        <w:t>Cultures of Commemoration: War Memorials, Ancient and Modern</w:t>
      </w:r>
      <w:r w:rsidRPr="000410DF">
        <w:rPr>
          <w:rFonts w:ascii="Calibri" w:hAnsi="Calibri" w:cs="Calibri"/>
        </w:rPr>
        <w:t xml:space="preserve">, Proceedings of the British </w:t>
      </w:r>
      <w:proofErr w:type="gramStart"/>
      <w:r w:rsidRPr="000410DF">
        <w:rPr>
          <w:rFonts w:ascii="Calibri" w:hAnsi="Calibri" w:cs="Calibri"/>
        </w:rPr>
        <w:t>Academy ;</w:t>
      </w:r>
      <w:proofErr w:type="gramEnd"/>
      <w:r w:rsidRPr="000410DF">
        <w:rPr>
          <w:rFonts w:ascii="Calibri" w:hAnsi="Calibri" w:cs="Calibri"/>
        </w:rPr>
        <w:t xml:space="preserve"> 160 (Oxford: Oxford University Press, 2012)</w:t>
      </w:r>
    </w:p>
    <w:p w14:paraId="23E2B294" w14:textId="77777777" w:rsidR="000410DF" w:rsidRPr="000410DF" w:rsidRDefault="000410DF" w:rsidP="000410DF">
      <w:pPr>
        <w:pStyle w:val="Bibliography"/>
        <w:rPr>
          <w:rFonts w:ascii="Calibri" w:hAnsi="Calibri" w:cs="Calibri"/>
        </w:rPr>
      </w:pPr>
      <w:r w:rsidRPr="000410DF">
        <w:rPr>
          <w:rFonts w:ascii="Calibri" w:hAnsi="Calibri" w:cs="Calibri"/>
        </w:rPr>
        <w:t xml:space="preserve">Machin, David, and Gill </w:t>
      </w:r>
      <w:proofErr w:type="spellStart"/>
      <w:r w:rsidRPr="000410DF">
        <w:rPr>
          <w:rFonts w:ascii="Calibri" w:hAnsi="Calibri" w:cs="Calibri"/>
        </w:rPr>
        <w:t>Abousnnouga</w:t>
      </w:r>
      <w:proofErr w:type="spellEnd"/>
      <w:r w:rsidRPr="000410DF">
        <w:rPr>
          <w:rFonts w:ascii="Calibri" w:hAnsi="Calibri" w:cs="Calibri"/>
        </w:rPr>
        <w:t xml:space="preserve">, </w:t>
      </w:r>
      <w:r w:rsidRPr="000410DF">
        <w:rPr>
          <w:rFonts w:ascii="Calibri" w:hAnsi="Calibri" w:cs="Calibri"/>
          <w:i/>
          <w:iCs/>
        </w:rPr>
        <w:t>The Language of War Monuments</w:t>
      </w:r>
      <w:r w:rsidRPr="000410DF">
        <w:rPr>
          <w:rFonts w:ascii="Calibri" w:hAnsi="Calibri" w:cs="Calibri"/>
        </w:rPr>
        <w:t xml:space="preserve"> (A&amp;C Black, 2013)</w:t>
      </w:r>
    </w:p>
    <w:p w14:paraId="4AE99236" w14:textId="77777777" w:rsidR="000410DF" w:rsidRPr="000410DF" w:rsidRDefault="000410DF" w:rsidP="000410DF">
      <w:pPr>
        <w:pStyle w:val="Bibliography"/>
        <w:rPr>
          <w:rFonts w:ascii="Calibri" w:hAnsi="Calibri" w:cs="Calibri"/>
        </w:rPr>
      </w:pPr>
      <w:r w:rsidRPr="000410DF">
        <w:rPr>
          <w:rFonts w:ascii="Calibri" w:hAnsi="Calibri" w:cs="Calibri"/>
        </w:rPr>
        <w:t xml:space="preserve">McCartney, Helen B., ‘The First World War Soldier and His Contemporary Image in Britain’, </w:t>
      </w:r>
      <w:r w:rsidRPr="000410DF">
        <w:rPr>
          <w:rFonts w:ascii="Calibri" w:hAnsi="Calibri" w:cs="Calibri"/>
          <w:i/>
          <w:iCs/>
        </w:rPr>
        <w:t>International Affairs</w:t>
      </w:r>
      <w:r w:rsidRPr="000410DF">
        <w:rPr>
          <w:rFonts w:ascii="Calibri" w:hAnsi="Calibri" w:cs="Calibri"/>
        </w:rPr>
        <w:t>, 90 (2014), 299–315 &lt;https://doi.org/10.1111/1468-2346.12110&gt;</w:t>
      </w:r>
    </w:p>
    <w:p w14:paraId="7D9AEF2A" w14:textId="77777777" w:rsidR="000410DF" w:rsidRPr="000410DF" w:rsidRDefault="000410DF" w:rsidP="000410DF">
      <w:pPr>
        <w:pStyle w:val="Bibliography"/>
        <w:rPr>
          <w:rFonts w:ascii="Calibri" w:hAnsi="Calibri" w:cs="Calibri"/>
        </w:rPr>
      </w:pPr>
      <w:r w:rsidRPr="000410DF">
        <w:rPr>
          <w:rFonts w:ascii="Calibri" w:hAnsi="Calibri" w:cs="Calibri"/>
        </w:rPr>
        <w:t>Murakami, Kyoko, ‘Materiality of Memory: The Case of the Remembrance Poppy - Oxford Scholarship’, 2017 &lt;http://www.oxfordscholarship.com/view/10.1093/oso/9780190230814.001.0001/oso-9780190230814-chapter-6&gt; [accessed 11 January 2018]</w:t>
      </w:r>
    </w:p>
    <w:p w14:paraId="3BD61E63" w14:textId="77777777" w:rsidR="000410DF" w:rsidRPr="000410DF" w:rsidRDefault="000410DF" w:rsidP="000410DF">
      <w:pPr>
        <w:pStyle w:val="Bibliography"/>
        <w:rPr>
          <w:rFonts w:ascii="Calibri" w:hAnsi="Calibri" w:cs="Calibri"/>
        </w:rPr>
      </w:pPr>
      <w:r w:rsidRPr="000410DF">
        <w:rPr>
          <w:rFonts w:ascii="Calibri" w:hAnsi="Calibri" w:cs="Calibri"/>
        </w:rPr>
        <w:t xml:space="preserve">Nicholas J. Saunders, </w:t>
      </w:r>
      <w:r w:rsidRPr="000410DF">
        <w:rPr>
          <w:rFonts w:ascii="Calibri" w:hAnsi="Calibri" w:cs="Calibri"/>
          <w:i/>
          <w:iCs/>
        </w:rPr>
        <w:t xml:space="preserve">Trench Art: </w:t>
      </w:r>
      <w:proofErr w:type="spellStart"/>
      <w:r w:rsidRPr="000410DF">
        <w:rPr>
          <w:rFonts w:ascii="Calibri" w:hAnsi="Calibri" w:cs="Calibri"/>
          <w:i/>
          <w:iCs/>
        </w:rPr>
        <w:t>Materialities</w:t>
      </w:r>
      <w:proofErr w:type="spellEnd"/>
      <w:r w:rsidRPr="000410DF">
        <w:rPr>
          <w:rFonts w:ascii="Calibri" w:hAnsi="Calibri" w:cs="Calibri"/>
          <w:i/>
          <w:iCs/>
        </w:rPr>
        <w:t xml:space="preserve"> and Memories of War</w:t>
      </w:r>
      <w:r w:rsidRPr="000410DF">
        <w:rPr>
          <w:rFonts w:ascii="Calibri" w:hAnsi="Calibri" w:cs="Calibri"/>
        </w:rPr>
        <w:t xml:space="preserve"> (New York, NY: Berg, 2003)</w:t>
      </w:r>
    </w:p>
    <w:p w14:paraId="205886D2" w14:textId="77777777" w:rsidR="000410DF" w:rsidRPr="000410DF" w:rsidRDefault="000410DF" w:rsidP="000410DF">
      <w:pPr>
        <w:pStyle w:val="Bibliography"/>
        <w:rPr>
          <w:rFonts w:ascii="Calibri" w:hAnsi="Calibri" w:cs="Calibri"/>
        </w:rPr>
      </w:pPr>
      <w:proofErr w:type="spellStart"/>
      <w:r w:rsidRPr="000410DF">
        <w:rPr>
          <w:rFonts w:ascii="Calibri" w:hAnsi="Calibri" w:cs="Calibri"/>
        </w:rPr>
        <w:t>Rayman</w:t>
      </w:r>
      <w:proofErr w:type="spellEnd"/>
      <w:r w:rsidRPr="000410DF">
        <w:rPr>
          <w:rFonts w:ascii="Calibri" w:hAnsi="Calibri" w:cs="Calibri"/>
        </w:rPr>
        <w:t xml:space="preserve">, Noah, ‘Memorial Day, Remembrance Sunday and Armed Forces Day: How 9 Other Countries Remember Their Fallen Troops’, </w:t>
      </w:r>
      <w:r w:rsidRPr="000410DF">
        <w:rPr>
          <w:rFonts w:ascii="Calibri" w:hAnsi="Calibri" w:cs="Calibri"/>
          <w:i/>
          <w:iCs/>
        </w:rPr>
        <w:t>Time.Com</w:t>
      </w:r>
      <w:r w:rsidRPr="000410DF">
        <w:rPr>
          <w:rFonts w:ascii="Calibri" w:hAnsi="Calibri" w:cs="Calibri"/>
        </w:rPr>
        <w:t>, 2014, 1–1</w:t>
      </w:r>
    </w:p>
    <w:p w14:paraId="7F38EB5F" w14:textId="77777777" w:rsidR="000410DF" w:rsidRPr="000410DF" w:rsidRDefault="000410DF" w:rsidP="000410DF">
      <w:pPr>
        <w:pStyle w:val="Bibliography"/>
        <w:rPr>
          <w:rFonts w:ascii="Calibri" w:hAnsi="Calibri" w:cs="Calibri"/>
        </w:rPr>
      </w:pPr>
      <w:r w:rsidRPr="000410DF">
        <w:rPr>
          <w:rFonts w:ascii="Calibri" w:hAnsi="Calibri" w:cs="Calibri"/>
        </w:rPr>
        <w:t xml:space="preserve">Rothberg, Michael, </w:t>
      </w:r>
      <w:r w:rsidRPr="000410DF">
        <w:rPr>
          <w:rFonts w:ascii="Calibri" w:hAnsi="Calibri" w:cs="Calibri"/>
          <w:i/>
          <w:iCs/>
        </w:rPr>
        <w:t>Multidirectional Memory: Remembering the Holocaust in the Age of Decolonization (</w:t>
      </w:r>
      <w:proofErr w:type="spellStart"/>
      <w:r w:rsidRPr="000410DF">
        <w:rPr>
          <w:rFonts w:ascii="Calibri" w:hAnsi="Calibri" w:cs="Calibri"/>
          <w:i/>
          <w:iCs/>
        </w:rPr>
        <w:t>Cultureal</w:t>
      </w:r>
      <w:proofErr w:type="spellEnd"/>
      <w:r w:rsidRPr="000410DF">
        <w:rPr>
          <w:rFonts w:ascii="Calibri" w:hAnsi="Calibri" w:cs="Calibri"/>
          <w:i/>
          <w:iCs/>
        </w:rPr>
        <w:t xml:space="preserve"> Memory in the Present)</w:t>
      </w:r>
      <w:r w:rsidRPr="000410DF">
        <w:rPr>
          <w:rFonts w:ascii="Calibri" w:hAnsi="Calibri" w:cs="Calibri"/>
        </w:rPr>
        <w:t xml:space="preserve"> (California: Stanford University Press, 2009)</w:t>
      </w:r>
    </w:p>
    <w:p w14:paraId="45AA877C" w14:textId="77777777" w:rsidR="000410DF" w:rsidRPr="000410DF" w:rsidRDefault="000410DF" w:rsidP="000410DF">
      <w:pPr>
        <w:pStyle w:val="Bibliography"/>
        <w:rPr>
          <w:rFonts w:ascii="Calibri" w:hAnsi="Calibri" w:cs="Calibri"/>
        </w:rPr>
      </w:pPr>
      <w:r w:rsidRPr="000410DF">
        <w:rPr>
          <w:rFonts w:ascii="Calibri" w:hAnsi="Calibri" w:cs="Calibri"/>
        </w:rPr>
        <w:lastRenderedPageBreak/>
        <w:t>‘Royal Naval Benevolent Trust’ &lt;http://www.rnbt.org.uk/about-us/useful-links/&gt; [accessed 12 January 2018]</w:t>
      </w:r>
    </w:p>
    <w:p w14:paraId="3A1C7025" w14:textId="77777777" w:rsidR="000410DF" w:rsidRPr="000410DF" w:rsidRDefault="000410DF" w:rsidP="000410DF">
      <w:pPr>
        <w:pStyle w:val="Bibliography"/>
        <w:rPr>
          <w:rFonts w:ascii="Calibri" w:hAnsi="Calibri" w:cs="Calibri"/>
        </w:rPr>
      </w:pPr>
      <w:r w:rsidRPr="000410DF">
        <w:rPr>
          <w:rFonts w:ascii="Calibri" w:hAnsi="Calibri" w:cs="Calibri"/>
        </w:rPr>
        <w:t xml:space="preserve">Saunders, Nicholas J., </w:t>
      </w:r>
      <w:r w:rsidRPr="000410DF">
        <w:rPr>
          <w:rFonts w:ascii="Calibri" w:hAnsi="Calibri" w:cs="Calibri"/>
          <w:i/>
          <w:iCs/>
        </w:rPr>
        <w:t>Matters of Conflict: Material Culture, Memory and the First World War</w:t>
      </w:r>
      <w:r w:rsidRPr="000410DF">
        <w:rPr>
          <w:rFonts w:ascii="Calibri" w:hAnsi="Calibri" w:cs="Calibri"/>
        </w:rPr>
        <w:t xml:space="preserve"> (</w:t>
      </w:r>
      <w:proofErr w:type="gramStart"/>
      <w:r w:rsidRPr="000410DF">
        <w:rPr>
          <w:rFonts w:ascii="Calibri" w:hAnsi="Calibri" w:cs="Calibri"/>
        </w:rPr>
        <w:t>London ;</w:t>
      </w:r>
      <w:proofErr w:type="gramEnd"/>
      <w:r w:rsidRPr="000410DF">
        <w:rPr>
          <w:rFonts w:ascii="Calibri" w:hAnsi="Calibri" w:cs="Calibri"/>
        </w:rPr>
        <w:t xml:space="preserve"> New York: Routledge, 2004)</w:t>
      </w:r>
    </w:p>
    <w:p w14:paraId="70071BF2" w14:textId="77777777" w:rsidR="000410DF" w:rsidRPr="000410DF" w:rsidRDefault="000410DF" w:rsidP="000410DF">
      <w:pPr>
        <w:pStyle w:val="Bibliography"/>
        <w:rPr>
          <w:rFonts w:ascii="Calibri" w:hAnsi="Calibri" w:cs="Calibri"/>
        </w:rPr>
      </w:pPr>
      <w:r w:rsidRPr="000410DF">
        <w:rPr>
          <w:rFonts w:ascii="Calibri" w:hAnsi="Calibri" w:cs="Calibri"/>
        </w:rPr>
        <w:t xml:space="preserve">Strange, Julie-Marie, </w:t>
      </w:r>
      <w:r w:rsidRPr="000410DF">
        <w:rPr>
          <w:rFonts w:ascii="Calibri" w:hAnsi="Calibri" w:cs="Calibri"/>
          <w:i/>
          <w:iCs/>
        </w:rPr>
        <w:t>Death, Grief and Poverty in Britain, 1870-1914</w:t>
      </w:r>
      <w:r w:rsidRPr="000410DF">
        <w:rPr>
          <w:rFonts w:ascii="Calibri" w:hAnsi="Calibri" w:cs="Calibri"/>
        </w:rPr>
        <w:t xml:space="preserve"> (Cambridge University Press, 2005)</w:t>
      </w:r>
    </w:p>
    <w:p w14:paraId="5BC81151" w14:textId="77777777" w:rsidR="000410DF" w:rsidRPr="000410DF" w:rsidRDefault="000410DF" w:rsidP="000410DF">
      <w:pPr>
        <w:pStyle w:val="Bibliography"/>
        <w:rPr>
          <w:rFonts w:ascii="Calibri" w:hAnsi="Calibri" w:cs="Calibri"/>
        </w:rPr>
      </w:pPr>
      <w:r w:rsidRPr="000410DF">
        <w:rPr>
          <w:rFonts w:ascii="Calibri" w:hAnsi="Calibri" w:cs="Calibri"/>
        </w:rPr>
        <w:t xml:space="preserve">Taylor, A. J. P., </w:t>
      </w:r>
      <w:r w:rsidRPr="000410DF">
        <w:rPr>
          <w:rFonts w:ascii="Calibri" w:hAnsi="Calibri" w:cs="Calibri"/>
          <w:i/>
          <w:iCs/>
        </w:rPr>
        <w:t>The First World War: An Illustrated History</w:t>
      </w:r>
      <w:r w:rsidRPr="000410DF">
        <w:rPr>
          <w:rFonts w:ascii="Calibri" w:hAnsi="Calibri" w:cs="Calibri"/>
        </w:rPr>
        <w:t xml:space="preserve"> (Penguin UK, 1974)</w:t>
      </w:r>
    </w:p>
    <w:p w14:paraId="254D3AC0" w14:textId="77777777" w:rsidR="000410DF" w:rsidRPr="000410DF" w:rsidRDefault="000410DF" w:rsidP="000410DF">
      <w:pPr>
        <w:pStyle w:val="Bibliography"/>
        <w:rPr>
          <w:rFonts w:ascii="Calibri" w:hAnsi="Calibri" w:cs="Calibri"/>
        </w:rPr>
      </w:pPr>
      <w:r w:rsidRPr="000410DF">
        <w:rPr>
          <w:rFonts w:ascii="Calibri" w:hAnsi="Calibri" w:cs="Calibri"/>
        </w:rPr>
        <w:t xml:space="preserve">Turner, Sarah Victoria, ‘The Poetics of Permanence? Inscriptions, Memory and Memorials of the First World War in Britain’, </w:t>
      </w:r>
      <w:r w:rsidRPr="000410DF">
        <w:rPr>
          <w:rFonts w:ascii="Calibri" w:hAnsi="Calibri" w:cs="Calibri"/>
          <w:i/>
          <w:iCs/>
        </w:rPr>
        <w:t>The Sculpture Journal; London</w:t>
      </w:r>
      <w:r w:rsidRPr="000410DF">
        <w:rPr>
          <w:rFonts w:ascii="Calibri" w:hAnsi="Calibri" w:cs="Calibri"/>
        </w:rPr>
        <w:t>, 24 (2015), 73–96,127 &lt;https://doi.org/http://dx.doi.org/10.3828/sj.2015.24.1.6&gt;</w:t>
      </w:r>
    </w:p>
    <w:p w14:paraId="1ED3A7ED" w14:textId="77777777" w:rsidR="000410DF" w:rsidRPr="000410DF" w:rsidRDefault="000410DF" w:rsidP="000410DF">
      <w:pPr>
        <w:pStyle w:val="Bibliography"/>
        <w:rPr>
          <w:rFonts w:ascii="Calibri" w:hAnsi="Calibri" w:cs="Calibri"/>
        </w:rPr>
      </w:pPr>
      <w:r w:rsidRPr="000410DF">
        <w:rPr>
          <w:rFonts w:ascii="Calibri" w:hAnsi="Calibri" w:cs="Calibri"/>
        </w:rPr>
        <w:t>‘Veterans Minister Visits Poppy Factory - GOV.UK’ &lt;https://www.gov.uk/government/news/veterans-minister-visits-poppy-factory&gt; [accessed 12 January 2018]</w:t>
      </w:r>
    </w:p>
    <w:p w14:paraId="38DDF036" w14:textId="77777777" w:rsidR="000410DF" w:rsidRPr="000410DF" w:rsidRDefault="000410DF" w:rsidP="000410DF">
      <w:pPr>
        <w:pStyle w:val="Bibliography"/>
        <w:rPr>
          <w:rFonts w:ascii="Calibri" w:hAnsi="Calibri" w:cs="Calibri"/>
        </w:rPr>
      </w:pPr>
      <w:r w:rsidRPr="000410DF">
        <w:rPr>
          <w:rFonts w:ascii="Calibri" w:hAnsi="Calibri" w:cs="Calibri"/>
        </w:rPr>
        <w:t xml:space="preserve">Whaley, Joachim, </w:t>
      </w:r>
      <w:r w:rsidRPr="000410DF">
        <w:rPr>
          <w:rFonts w:ascii="Calibri" w:hAnsi="Calibri" w:cs="Calibri"/>
          <w:i/>
          <w:iCs/>
        </w:rPr>
        <w:t>Mirrors of Mortality: Studies in the Social History of Death</w:t>
      </w:r>
      <w:r w:rsidRPr="000410DF">
        <w:rPr>
          <w:rFonts w:ascii="Calibri" w:hAnsi="Calibri" w:cs="Calibri"/>
        </w:rPr>
        <w:t xml:space="preserve">, Europa Social History of Human </w:t>
      </w:r>
      <w:proofErr w:type="gramStart"/>
      <w:r w:rsidRPr="000410DF">
        <w:rPr>
          <w:rFonts w:ascii="Calibri" w:hAnsi="Calibri" w:cs="Calibri"/>
        </w:rPr>
        <w:t>Experience ;</w:t>
      </w:r>
      <w:proofErr w:type="gramEnd"/>
      <w:r w:rsidRPr="000410DF">
        <w:rPr>
          <w:rFonts w:ascii="Calibri" w:hAnsi="Calibri" w:cs="Calibri"/>
        </w:rPr>
        <w:t xml:space="preserve"> 3 (London: Europa, 1981)</w:t>
      </w:r>
    </w:p>
    <w:p w14:paraId="7C6A9BF5" w14:textId="1D0E4165" w:rsidR="000410DF" w:rsidRDefault="000410DF" w:rsidP="004A0EDD">
      <w:r>
        <w:fldChar w:fldCharType="end"/>
      </w:r>
    </w:p>
    <w:p w14:paraId="12106593" w14:textId="1A157F5D" w:rsidR="00D122C6" w:rsidRDefault="00D122C6" w:rsidP="004A0EDD"/>
    <w:p w14:paraId="45C3C6C9" w14:textId="167FC8C5" w:rsidR="00D122C6" w:rsidRDefault="00D122C6" w:rsidP="00B5095B">
      <w:pPr>
        <w:tabs>
          <w:tab w:val="left" w:pos="5724"/>
        </w:tabs>
      </w:pPr>
    </w:p>
    <w:p w14:paraId="64D493B6" w14:textId="4A33A455" w:rsidR="00D122C6" w:rsidRDefault="00D122C6" w:rsidP="004A0EDD"/>
    <w:p w14:paraId="3A341AFC" w14:textId="7BFC01AC" w:rsidR="00D122C6" w:rsidRDefault="00D122C6" w:rsidP="004A0EDD"/>
    <w:p w14:paraId="0DD9124F" w14:textId="5BA006B0" w:rsidR="00D122C6" w:rsidRDefault="00D122C6" w:rsidP="004A0EDD"/>
    <w:p w14:paraId="252D6B4D" w14:textId="77777777" w:rsidR="00D122C6" w:rsidRDefault="00D122C6" w:rsidP="004A0EDD"/>
    <w:p w14:paraId="7FF1D117" w14:textId="77777777" w:rsidR="00DA3FCE" w:rsidRDefault="00DA3FCE" w:rsidP="004A0EDD"/>
    <w:p w14:paraId="7AEF4C4C" w14:textId="77777777" w:rsidR="00DA3FCE" w:rsidRDefault="00DA3FCE" w:rsidP="004A0EDD"/>
    <w:p w14:paraId="494F0402" w14:textId="77777777" w:rsidR="00895306" w:rsidRDefault="00895306" w:rsidP="00895306"/>
    <w:p w14:paraId="77599910" w14:textId="77777777" w:rsidR="00A641E5" w:rsidRDefault="00A641E5"/>
    <w:sectPr w:rsidR="00A641E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4DDA8C" w14:textId="77777777" w:rsidR="00B87A2A" w:rsidRDefault="00B87A2A" w:rsidP="00DA3FCE">
      <w:pPr>
        <w:spacing w:after="0" w:line="240" w:lineRule="auto"/>
      </w:pPr>
      <w:r>
        <w:separator/>
      </w:r>
    </w:p>
  </w:endnote>
  <w:endnote w:type="continuationSeparator" w:id="0">
    <w:p w14:paraId="1BCB4BEC" w14:textId="77777777" w:rsidR="00B87A2A" w:rsidRDefault="00B87A2A" w:rsidP="00DA3F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5F6C03" w14:textId="77777777" w:rsidR="00B87A2A" w:rsidRDefault="00B87A2A" w:rsidP="00DA3FCE">
      <w:pPr>
        <w:spacing w:after="0" w:line="240" w:lineRule="auto"/>
      </w:pPr>
      <w:r>
        <w:separator/>
      </w:r>
    </w:p>
  </w:footnote>
  <w:footnote w:type="continuationSeparator" w:id="0">
    <w:p w14:paraId="63DA2BD2" w14:textId="77777777" w:rsidR="00B87A2A" w:rsidRDefault="00B87A2A" w:rsidP="00DA3FCE">
      <w:pPr>
        <w:spacing w:after="0" w:line="240" w:lineRule="auto"/>
      </w:pPr>
      <w:r>
        <w:continuationSeparator/>
      </w:r>
    </w:p>
  </w:footnote>
  <w:footnote w:id="1">
    <w:p w14:paraId="6054B8AA" w14:textId="463B71D1" w:rsidR="00AA145A" w:rsidRDefault="00AA145A">
      <w:pPr>
        <w:pStyle w:val="FootnoteText"/>
      </w:pPr>
      <w:r>
        <w:rPr>
          <w:rStyle w:val="FootnoteReference"/>
        </w:rPr>
        <w:footnoteRef/>
      </w:r>
      <w:r>
        <w:t xml:space="preserve"> </w:t>
      </w:r>
      <w:r>
        <w:fldChar w:fldCharType="begin"/>
      </w:r>
      <w:r>
        <w:instrText xml:space="preserve"> ADDIN ZOTERO_ITEM CSL_CITATION {"citationID":"g22IDMc2","properties":{"formattedCitation":"{\\rtf Joachim Whaley, {\\i{}Mirrors of Mortality: Studies in the Social History of Death}, Europa Social History of Human Experience\\uc0\\u8239{}; 3 (London: Europa, 1981).}","plainCitation":"Joachim Whaley, Mirrors of Mortality: Studies in the Social History of Death, Europa Social History of Human Experience ; 3 (London: Europa, 1981)."},"citationItems":[{"id":181,"uris":["http://zotero.org/users/local/wNuioCXQ/items/ZCYLSWB2"],"uri":["http://zotero.org/users/local/wNuioCXQ/items/ZCYLSWB2"],"itemData":{"id":181,"type":"book","title":"Mirrors of mortality: studies in the social history of death","collection-title":"Europa social history of human experience ; 3","publisher":"Europa","publisher-place":"London","number-of-pages":"viii+252; 12","source":"librarycatalogue.uwtsd.ac.uk","event-place":"London","ISBN":"978-0-905118-67-3","call-number":"301.154 MIR","shortTitle":"Mirrors of mortality","language":"eng","author":[{"family":"Whaley","given":"Joachim"}],"issued":{"date-parts":[["1981"]]}}}],"schema":"https://github.com/citation-style-language/schema/raw/master/csl-citation.json"} </w:instrText>
      </w:r>
      <w:r>
        <w:fldChar w:fldCharType="separate"/>
      </w:r>
      <w:r w:rsidRPr="00AA145A">
        <w:rPr>
          <w:rFonts w:ascii="Calibri" w:hAnsi="Calibri" w:cs="Calibri"/>
          <w:szCs w:val="24"/>
        </w:rPr>
        <w:t xml:space="preserve">Joachim Whaley, </w:t>
      </w:r>
      <w:r w:rsidRPr="00AA145A">
        <w:rPr>
          <w:rFonts w:ascii="Calibri" w:hAnsi="Calibri" w:cs="Calibri"/>
          <w:i/>
          <w:iCs/>
          <w:szCs w:val="24"/>
        </w:rPr>
        <w:t>Mirrors of Mortality: Studies in the Social History of Death</w:t>
      </w:r>
      <w:r w:rsidRPr="00AA145A">
        <w:rPr>
          <w:rFonts w:ascii="Calibri" w:hAnsi="Calibri" w:cs="Calibri"/>
          <w:szCs w:val="24"/>
        </w:rPr>
        <w:t xml:space="preserve">, Europa Social History of Human </w:t>
      </w:r>
      <w:proofErr w:type="gramStart"/>
      <w:r w:rsidRPr="00AA145A">
        <w:rPr>
          <w:rFonts w:ascii="Calibri" w:hAnsi="Calibri" w:cs="Calibri"/>
          <w:szCs w:val="24"/>
        </w:rPr>
        <w:t>Experience ;</w:t>
      </w:r>
      <w:proofErr w:type="gramEnd"/>
      <w:r w:rsidRPr="00AA145A">
        <w:rPr>
          <w:rFonts w:ascii="Calibri" w:hAnsi="Calibri" w:cs="Calibri"/>
          <w:szCs w:val="24"/>
        </w:rPr>
        <w:t xml:space="preserve"> 3 (London: Europa, 1981).</w:t>
      </w:r>
      <w:r>
        <w:fldChar w:fldCharType="end"/>
      </w:r>
    </w:p>
  </w:footnote>
  <w:footnote w:id="2">
    <w:p w14:paraId="6F4EEBA5" w14:textId="12D1D4ED" w:rsidR="001707A1" w:rsidRDefault="001707A1">
      <w:pPr>
        <w:pStyle w:val="FootnoteText"/>
      </w:pPr>
      <w:r>
        <w:rPr>
          <w:rStyle w:val="FootnoteReference"/>
        </w:rPr>
        <w:footnoteRef/>
      </w:r>
      <w:r>
        <w:t xml:space="preserve"> </w:t>
      </w:r>
      <w:r>
        <w:fldChar w:fldCharType="begin"/>
      </w:r>
      <w:r>
        <w:instrText xml:space="preserve"> ADDIN ZOTERO_ITEM CSL_CITATION {"citationID":"4IrGqINv","properties":{"formattedCitation":"{\\rtf Julie-Marie Strange, {\\i{}Death, Grief and Poverty in Britain, 1870-1914} (Cambridge University Press, 2005).}","plainCitation":"Julie-Marie Strange, Death, Grief and Poverty in Britain, 1870-1914 (Cambridge University Press, 2005)."},"citationItems":[{"id":185,"uris":["http://zotero.org/users/local/wNuioCXQ/items/G4PXFF42"],"uri":["http://zotero.org/users/local/wNuioCXQ/items/G4PXFF42"],"itemData":{"id":185,"type":"book","title":"Death, Grief and Poverty in Britain, 1870-1914","publisher":"Cambridge University Press","number-of-pages":"316","abstract":"With high mortality rates, it has been assumed that the poor in Victorian and Edwardian Britain did not mourn their dead. Contesting this approach, Julie-Marie Strange studies the expression of grief among the working class, demonstrating that poverty increased--rather than deadened--it. She illustrates the mourning practices of the working classes through chapters addressing care of the corpse, the funeral, the cemetery, and commemoration. This book, which draws on a broad range of sources, will be an invaluable contribution to an important area of social and cultural history.","ISBN":"978-0-521-83857-3","language":"en","author":[{"family":"Strange","given":"Julie-Marie"}],"issued":{"date-parts":[["2005",7,25]]}}}],"schema":"https://github.com/citation-style-language/schema/raw/master/csl-citation.json"} </w:instrText>
      </w:r>
      <w:r>
        <w:fldChar w:fldCharType="separate"/>
      </w:r>
      <w:r w:rsidRPr="001707A1">
        <w:rPr>
          <w:rFonts w:ascii="Calibri" w:hAnsi="Calibri" w:cs="Calibri"/>
          <w:szCs w:val="24"/>
        </w:rPr>
        <w:t xml:space="preserve">Julie-Marie Strange, </w:t>
      </w:r>
      <w:r w:rsidRPr="001707A1">
        <w:rPr>
          <w:rFonts w:ascii="Calibri" w:hAnsi="Calibri" w:cs="Calibri"/>
          <w:i/>
          <w:iCs/>
          <w:szCs w:val="24"/>
        </w:rPr>
        <w:t>Death, Grief and Poverty in Britain, 1870-1914</w:t>
      </w:r>
      <w:r w:rsidRPr="001707A1">
        <w:rPr>
          <w:rFonts w:ascii="Calibri" w:hAnsi="Calibri" w:cs="Calibri"/>
          <w:szCs w:val="24"/>
        </w:rPr>
        <w:t xml:space="preserve"> (Cambridge University Press, 2005).</w:t>
      </w:r>
      <w:r>
        <w:fldChar w:fldCharType="end"/>
      </w:r>
    </w:p>
  </w:footnote>
  <w:footnote w:id="3">
    <w:p w14:paraId="3C3BB4E1" w14:textId="0B9789DB" w:rsidR="001707A1" w:rsidRDefault="001707A1">
      <w:pPr>
        <w:pStyle w:val="FootnoteText"/>
      </w:pPr>
      <w:r>
        <w:rPr>
          <w:rStyle w:val="FootnoteReference"/>
        </w:rPr>
        <w:footnoteRef/>
      </w:r>
      <w:r>
        <w:t xml:space="preserve"> </w:t>
      </w:r>
      <w:r>
        <w:fldChar w:fldCharType="begin"/>
      </w:r>
      <w:r>
        <w:instrText xml:space="preserve"> ADDIN ZOTERO_ITEM CSL_CITATION {"citationID":"jZd4g7CV","properties":{"formattedCitation":"{\\rtf David Clark, {\\i{}The Sociology of Death: Theory, Culture, Practice}, Sociological Review Monograph\\uc0\\u8239{}; [40] (Oxford, Oxford\\uc0\\u8239{}; Cambridge, MA: Blackwell, Blackwell Publishers/The Sociological Review, 1993).}","plainCitation":"David Clark, The Sociology of Death: Theory, Culture, Practice, Sociological Review Monograph ; [40] (Oxford, Oxford ; Cambridge, MA: Blackwell, Blackwell Publishers/The Sociological Review, 1993)."},"citationItems":[{"id":180,"uris":["http://zotero.org/users/local/wNuioCXQ/items/9ESEZKYK"],"uri":["http://zotero.org/users/local/wNuioCXQ/items/9ESEZKYK"],"itemData":{"id":180,"type":"book","title":"The sociology of death: theory, culture, practice","collection-title":"Sociological review monograph ; [40]","publisher":"Blackwell, Blackwell Publishers/The Sociological Review","publisher-place":"Oxford, Oxford ; Cambridge, MA","source":"librarycatalogue.uwtsd.ac.uk","event-place":"Oxford, Oxford ; Cambridge, MA","ISBN":"978-0-631-19057-8","call-number":"306.9 SOC, 301.154 SOC","shortTitle":"The sociology of death","language":"eng","author":[{"family":"Clark","given":"David"}],"issued":{"date-parts":[["1993"]]}}}],"schema":"https://github.com/citation-style-language/schema/raw/master/csl-citation.json"} </w:instrText>
      </w:r>
      <w:r>
        <w:fldChar w:fldCharType="separate"/>
      </w:r>
      <w:r w:rsidRPr="001707A1">
        <w:rPr>
          <w:rFonts w:ascii="Calibri" w:hAnsi="Calibri" w:cs="Calibri"/>
          <w:szCs w:val="24"/>
        </w:rPr>
        <w:t xml:space="preserve">David Clark, </w:t>
      </w:r>
      <w:r w:rsidRPr="001707A1">
        <w:rPr>
          <w:rFonts w:ascii="Calibri" w:hAnsi="Calibri" w:cs="Calibri"/>
          <w:i/>
          <w:iCs/>
          <w:szCs w:val="24"/>
        </w:rPr>
        <w:t>The Sociology of Death: Theory, Culture, Practice</w:t>
      </w:r>
      <w:r w:rsidRPr="001707A1">
        <w:rPr>
          <w:rFonts w:ascii="Calibri" w:hAnsi="Calibri" w:cs="Calibri"/>
          <w:szCs w:val="24"/>
        </w:rPr>
        <w:t xml:space="preserve">, Sociological Review </w:t>
      </w:r>
      <w:proofErr w:type="gramStart"/>
      <w:r w:rsidRPr="001707A1">
        <w:rPr>
          <w:rFonts w:ascii="Calibri" w:hAnsi="Calibri" w:cs="Calibri"/>
          <w:szCs w:val="24"/>
        </w:rPr>
        <w:t>Monograph ;</w:t>
      </w:r>
      <w:proofErr w:type="gramEnd"/>
      <w:r w:rsidRPr="001707A1">
        <w:rPr>
          <w:rFonts w:ascii="Calibri" w:hAnsi="Calibri" w:cs="Calibri"/>
          <w:szCs w:val="24"/>
        </w:rPr>
        <w:t xml:space="preserve"> [40] (Oxford, Oxford ; Cambridge, MA: Blackwell, Blackwell Publishers/The Sociological Review, 1993).</w:t>
      </w:r>
      <w:r>
        <w:fldChar w:fldCharType="end"/>
      </w:r>
    </w:p>
  </w:footnote>
  <w:footnote w:id="4">
    <w:p w14:paraId="2B1C12FB" w14:textId="006117B7" w:rsidR="001707A1" w:rsidRDefault="001707A1">
      <w:pPr>
        <w:pStyle w:val="FootnoteText"/>
      </w:pPr>
      <w:r>
        <w:rPr>
          <w:rStyle w:val="FootnoteReference"/>
        </w:rPr>
        <w:footnoteRef/>
      </w:r>
      <w:r>
        <w:t xml:space="preserve"> </w:t>
      </w:r>
      <w:r>
        <w:fldChar w:fldCharType="begin"/>
      </w:r>
      <w:r>
        <w:instrText xml:space="preserve"> ADDIN ZOTERO_ITEM CSL_CITATION {"citationID":"HYEdsj90","properties":{"formattedCitation":"{\\rtf A. J. P. Taylor, {\\i{}The First World War: An Illustrated History} (Penguin UK, 1974).}","plainCitation":"A. J. P. Taylor, The First World War: An Illustrated History (Penguin UK, 1974)."},"citationItems":[{"id":187,"uris":["http://zotero.org/users/local/wNuioCXQ/items/ZGBTPVG2"],"uri":["http://zotero.org/users/local/wNuioCXQ/items/ZGBTPVG2"],"itemData":{"id":187,"type":"book","title":"The First World War: An Illustrated History","publisher":"Penguin UK","number-of-pages":"388","abstract":"A. J. P. Taylor was one of the most acclaimed and uncompromising historians of the twentieth century. In this clear, lively and now-classic account of the First World War, he tells the story of the conflict from the German advance in the West, through the Marne, Gallipoli, the Balkans and the War at Sea to the offensives of 1918 and the state of Europe after the war. Containing photographs and maps, this an essential history of the war that 'cut deep into the consciousness of modern man'.","ISBN":"978-0-14-104223-7","shortTitle":"The First World War","language":"en","author":[{"family":"Taylor","given":"A. J. P."}],"issued":{"date-parts":[["1974",3,28]]}}}],"schema":"https://github.com/citation-style-language/schema/raw/master/csl-citation.json"} </w:instrText>
      </w:r>
      <w:r>
        <w:fldChar w:fldCharType="separate"/>
      </w:r>
      <w:r w:rsidRPr="001707A1">
        <w:rPr>
          <w:rFonts w:ascii="Calibri" w:hAnsi="Calibri" w:cs="Calibri"/>
          <w:szCs w:val="24"/>
        </w:rPr>
        <w:t xml:space="preserve">A. J. P. Taylor, </w:t>
      </w:r>
      <w:r w:rsidRPr="001707A1">
        <w:rPr>
          <w:rFonts w:ascii="Calibri" w:hAnsi="Calibri" w:cs="Calibri"/>
          <w:i/>
          <w:iCs/>
          <w:szCs w:val="24"/>
        </w:rPr>
        <w:t>The First World War: An Illustrated History</w:t>
      </w:r>
      <w:r w:rsidRPr="001707A1">
        <w:rPr>
          <w:rFonts w:ascii="Calibri" w:hAnsi="Calibri" w:cs="Calibri"/>
          <w:szCs w:val="24"/>
        </w:rPr>
        <w:t xml:space="preserve"> (Penguin UK, 1974).</w:t>
      </w:r>
      <w:r>
        <w:fldChar w:fldCharType="end"/>
      </w:r>
    </w:p>
  </w:footnote>
  <w:footnote w:id="5">
    <w:p w14:paraId="4E432AAF" w14:textId="6DED865B" w:rsidR="001707A1" w:rsidRDefault="001707A1">
      <w:pPr>
        <w:pStyle w:val="FootnoteText"/>
      </w:pPr>
      <w:r>
        <w:rPr>
          <w:rStyle w:val="FootnoteReference"/>
        </w:rPr>
        <w:footnoteRef/>
      </w:r>
      <w:r>
        <w:t xml:space="preserve"> </w:t>
      </w:r>
      <w:r>
        <w:fldChar w:fldCharType="begin"/>
      </w:r>
      <w:r>
        <w:instrText xml:space="preserve"> ADDIN ZOTERO_ITEM CSL_CITATION {"citationID":"v4ZTUUBc","properties":{"formattedCitation":"Taylor.","plainCitation":"Taylor."},"citationItems":[{"id":187,"uris":["http://zotero.org/users/local/wNuioCXQ/items/ZGBTPVG2"],"uri":["http://zotero.org/users/local/wNuioCXQ/items/ZGBTPVG2"],"itemData":{"id":187,"type":"book","title":"The First World War: An Illustrated History","publisher":"Penguin UK","number-of-pages":"388","abstract":"A. J. P. Taylor was one of the most acclaimed and uncompromising historians of the twentieth century. In this clear, lively and now-classic account of the First World War, he tells the story of the conflict from the German advance in the West, through the Marne, Gallipoli, the Balkans and the War at Sea to the offensives of 1918 and the state of Europe after the war. Containing photographs and maps, this an essential history of the war that 'cut deep into the consciousness of modern man'.","ISBN":"978-0-14-104223-7","shortTitle":"The First World War","language":"en","author":[{"family":"Taylor","given":"A. J. P."}],"issued":{"date-parts":[["1974",3,28]]}}}],"schema":"https://github.com/citation-style-language/schema/raw/master/csl-citation.json"} </w:instrText>
      </w:r>
      <w:r>
        <w:fldChar w:fldCharType="separate"/>
      </w:r>
      <w:r w:rsidRPr="001707A1">
        <w:rPr>
          <w:rFonts w:ascii="Calibri" w:hAnsi="Calibri" w:cs="Calibri"/>
        </w:rPr>
        <w:t>Taylor.</w:t>
      </w:r>
      <w:r>
        <w:fldChar w:fldCharType="end"/>
      </w:r>
    </w:p>
  </w:footnote>
  <w:footnote w:id="6">
    <w:p w14:paraId="35B1822F" w14:textId="3DAEFB9F" w:rsidR="003D52A9" w:rsidRDefault="003D52A9">
      <w:pPr>
        <w:pStyle w:val="FootnoteText"/>
      </w:pPr>
      <w:r>
        <w:rPr>
          <w:rStyle w:val="FootnoteReference"/>
        </w:rPr>
        <w:footnoteRef/>
      </w:r>
      <w:r>
        <w:t xml:space="preserve"> </w:t>
      </w:r>
      <w:r>
        <w:fldChar w:fldCharType="begin"/>
      </w:r>
      <w:r>
        <w:instrText xml:space="preserve"> ADDIN ZOTERO_ITEM CSL_CITATION {"citationID":"mXKcgiHx","properties":{"formattedCitation":"{\\rtf Polly Low, G. J Oliver, and P. J Rhodes, {\\i{}Cultures of Commemoration: War Memorials, Ancient and Modern}, Proceedings of the British Academy\\uc0\\u8239{}; 160 (Oxford: Oxford University Press, 2012).}","plainCitation":"Polly Low, G. J Oliver, and P. J Rhodes, Cultures of Commemoration: War Memorials, Ancient and Modern, Proceedings of the British Academy ; 160 (Oxford: Oxford University Press, 2012)."},"citationItems":[{"id":182,"uris":["http://zotero.org/users/local/wNuioCXQ/items/6DL8RSUE"],"uri":["http://zotero.org/users/local/wNuioCXQ/items/6DL8RSUE"],"itemData":{"id":182,"type":"book","title":"Cultures of commemoration: war memorials, ancient and modern","collection-title":"Proceedings of the British Academy ; 160","publisher":"Oxford University Press","publisher-place":"Oxford","number-of-pages":"xii+199","source":"librarycatalogue.uwtsd.ac.uk","event-place":"Oxford","ISBN":"978-0-19-726466-9","call-number":"PER 052","shortTitle":"Cultures of commemoration","language":"eng","author":[{"family":"Low","given":"Polly"},{"literal":"G. J Oliver"},{"literal":"P. J Rhodes"}],"issued":{"date-parts":[["2012"]]}}}],"schema":"https://github.com/citation-style-language/schema/raw/master/csl-citation.json"} </w:instrText>
      </w:r>
      <w:r>
        <w:fldChar w:fldCharType="separate"/>
      </w:r>
      <w:r w:rsidRPr="003D52A9">
        <w:rPr>
          <w:rFonts w:ascii="Calibri" w:hAnsi="Calibri" w:cs="Calibri"/>
          <w:szCs w:val="24"/>
        </w:rPr>
        <w:t xml:space="preserve">Polly Low, G. J Oliver, and P. J Rhodes, </w:t>
      </w:r>
      <w:r w:rsidRPr="003D52A9">
        <w:rPr>
          <w:rFonts w:ascii="Calibri" w:hAnsi="Calibri" w:cs="Calibri"/>
          <w:i/>
          <w:iCs/>
          <w:szCs w:val="24"/>
        </w:rPr>
        <w:t>Cultures of Commemoration: War Memorials, Ancient and Modern</w:t>
      </w:r>
      <w:r w:rsidRPr="003D52A9">
        <w:rPr>
          <w:rFonts w:ascii="Calibri" w:hAnsi="Calibri" w:cs="Calibri"/>
          <w:szCs w:val="24"/>
        </w:rPr>
        <w:t xml:space="preserve">, Proceedings of the British </w:t>
      </w:r>
      <w:proofErr w:type="gramStart"/>
      <w:r w:rsidRPr="003D52A9">
        <w:rPr>
          <w:rFonts w:ascii="Calibri" w:hAnsi="Calibri" w:cs="Calibri"/>
          <w:szCs w:val="24"/>
        </w:rPr>
        <w:t>Academy ;</w:t>
      </w:r>
      <w:proofErr w:type="gramEnd"/>
      <w:r w:rsidRPr="003D52A9">
        <w:rPr>
          <w:rFonts w:ascii="Calibri" w:hAnsi="Calibri" w:cs="Calibri"/>
          <w:szCs w:val="24"/>
        </w:rPr>
        <w:t xml:space="preserve"> 160 (Oxford: Oxford University Press, 2012).</w:t>
      </w:r>
      <w:r>
        <w:fldChar w:fldCharType="end"/>
      </w:r>
    </w:p>
  </w:footnote>
  <w:footnote w:id="7">
    <w:p w14:paraId="0785FF28" w14:textId="549155CD" w:rsidR="00703755" w:rsidRDefault="00703755">
      <w:pPr>
        <w:pStyle w:val="FootnoteText"/>
      </w:pPr>
      <w:r>
        <w:rPr>
          <w:rStyle w:val="FootnoteReference"/>
        </w:rPr>
        <w:footnoteRef/>
      </w:r>
      <w:r>
        <w:t xml:space="preserve"> </w:t>
      </w:r>
      <w:r>
        <w:fldChar w:fldCharType="begin"/>
      </w:r>
      <w:r>
        <w:instrText xml:space="preserve"> ADDIN ZOTERO_ITEM CSL_CITATION {"citationID":"P4goqMwq","properties":{"formattedCitation":"Low, G. J Oliver, and P. J Rhodes.","plainCitation":"Low, G. J Oliver, and P. J Rhodes."},"citationItems":[{"id":182,"uris":["http://zotero.org/users/local/wNuioCXQ/items/6DL8RSUE"],"uri":["http://zotero.org/users/local/wNuioCXQ/items/6DL8RSUE"],"itemData":{"id":182,"type":"book","title":"Cultures of commemoration: war memorials, ancient and modern","collection-title":"Proceedings of the British Academy ; 160","publisher":"Oxford University Press","publisher-place":"Oxford","number-of-pages":"xii+199","source":"librarycatalogue.uwtsd.ac.uk","event-place":"Oxford","ISBN":"978-0-19-726466-9","call-number":"PER 052","shortTitle":"Cultures of commemoration","language":"eng","author":[{"family":"Low","given":"Polly"},{"literal":"G. J Oliver"},{"literal":"P. J Rhodes"}],"issued":{"date-parts":[["2012"]]}}}],"schema":"https://github.com/citation-style-language/schema/raw/master/csl-citation.json"} </w:instrText>
      </w:r>
      <w:r>
        <w:fldChar w:fldCharType="separate"/>
      </w:r>
      <w:r w:rsidRPr="00703755">
        <w:rPr>
          <w:rFonts w:ascii="Calibri" w:hAnsi="Calibri" w:cs="Calibri"/>
        </w:rPr>
        <w:t>Low, G. J Oliver, and P. J Rhodes.</w:t>
      </w:r>
      <w:r>
        <w:fldChar w:fldCharType="end"/>
      </w:r>
    </w:p>
  </w:footnote>
  <w:footnote w:id="8">
    <w:p w14:paraId="0DAF3EA9" w14:textId="134F4F1B" w:rsidR="00703755" w:rsidRDefault="00703755">
      <w:pPr>
        <w:pStyle w:val="FootnoteText"/>
      </w:pPr>
      <w:r>
        <w:rPr>
          <w:rStyle w:val="FootnoteReference"/>
        </w:rPr>
        <w:footnoteRef/>
      </w:r>
      <w:r>
        <w:t xml:space="preserve"> </w:t>
      </w:r>
      <w:r>
        <w:fldChar w:fldCharType="begin"/>
      </w:r>
      <w:r>
        <w:instrText xml:space="preserve"> ADDIN ZOTERO_ITEM CSL_CITATION {"citationID":"mroTdmnr","properties":{"formattedCitation":"Low, G. J Oliver, and P. J Rhodes.","plainCitation":"Low, G. J Oliver, and P. J Rhodes."},"citationItems":[{"id":182,"uris":["http://zotero.org/users/local/wNuioCXQ/items/6DL8RSUE"],"uri":["http://zotero.org/users/local/wNuioCXQ/items/6DL8RSUE"],"itemData":{"id":182,"type":"book","title":"Cultures of commemoration: war memorials, ancient and modern","collection-title":"Proceedings of the British Academy ; 160","publisher":"Oxford University Press","publisher-place":"Oxford","number-of-pages":"xii+199","source":"librarycatalogue.uwtsd.ac.uk","event-place":"Oxford","ISBN":"978-0-19-726466-9","call-number":"PER 052","shortTitle":"Cultures of commemoration","language":"eng","author":[{"family":"Low","given":"Polly"},{"literal":"G. J Oliver"},{"literal":"P. J Rhodes"}],"issued":{"date-parts":[["2012"]]}}}],"schema":"https://github.com/citation-style-language/schema/raw/master/csl-citation.json"} </w:instrText>
      </w:r>
      <w:r>
        <w:fldChar w:fldCharType="separate"/>
      </w:r>
      <w:r w:rsidRPr="00703755">
        <w:rPr>
          <w:rFonts w:ascii="Calibri" w:hAnsi="Calibri" w:cs="Calibri"/>
        </w:rPr>
        <w:t>Low, G. J Oliver, and P. J Rhodes.</w:t>
      </w:r>
      <w:r>
        <w:fldChar w:fldCharType="end"/>
      </w:r>
    </w:p>
  </w:footnote>
  <w:footnote w:id="9">
    <w:p w14:paraId="33D8CB63" w14:textId="2FC65B0A" w:rsidR="00703755" w:rsidRDefault="00703755">
      <w:pPr>
        <w:pStyle w:val="FootnoteText"/>
      </w:pPr>
      <w:r>
        <w:rPr>
          <w:rStyle w:val="FootnoteReference"/>
        </w:rPr>
        <w:footnoteRef/>
      </w:r>
      <w:r>
        <w:t xml:space="preserve"> </w:t>
      </w:r>
      <w:r>
        <w:fldChar w:fldCharType="begin"/>
      </w:r>
      <w:r w:rsidR="00923DFC">
        <w:instrText xml:space="preserve"> ADDIN ZOTERO_ITEM CSL_CITATION {"citationID":"2KaJM2Sl","properties":{"formattedCitation":"{\\rtf Graham Dawson, {\\i{}Commemorating War: The Politics of Memory} (Routledge, 2017).}","plainCitation":"Graham Dawson, Commemorating War: The Politics of Memory (Routledge, 2017)."},"citationItems":[{"id":189,"uris":["http://zotero.org/users/local/wNuioCXQ/items/DLP7EC9Q"],"uri":["http://zotero.org/users/local/wNuioCXQ/items/DLP7EC9Q"],"itemData":{"id":189,"type":"book","title":"Commemorating War: The Politics of Memory","publisher":"Routledge","number-of-pages":"497","abstract":"War memory and commemoration have had increasingly high profiles in public and academic debates in recent years. This volume examines some of the social changes that have led to this development, among them the passing of the two world wars from survivor into cultural memory. Focusing on the politics of war memory and commemoration, the book illuminates the struggle to install particular memories at the center of a cultural world, and offers an extensive argument about how the politics of commemoration practices should be understood.Commemorating War analyzes a range of forms of remembrance, from public commemorations orchestrated by nation-states to personal testimonies of war survivors; and from cultural memories of war represented in films, plays and novels to investigations of wartime atrocities in courts of human rights. It presents a wide range of international case studies, encompassing lesser-known national histories and wars beyond the well-trodden terrain of Vietnam and the two world wars in Europe.Emerging from this book is an important critique of both \"state-centered\" approaches to war memory and those that regard commemoration primarily as a human response to loss and grief. Offering a wealth of empirical research material, this book will be important for cultural and oral historians, sociologists, researchers in international relations and human rights, and anybody with an interest in the cultural construction of memory in contemporary society.","ISBN":"978-1-351-52764-4","shortTitle":"Commemorating War","language":"en","author":[{"family":"Dawson","given":"Graham"}],"issued":{"date-parts":[["2017",7,12]]}}}],"schema":"https://github.com/citation-style-language/schema/raw/master/csl-citation.json"} </w:instrText>
      </w:r>
      <w:r>
        <w:fldChar w:fldCharType="separate"/>
      </w:r>
      <w:r w:rsidRPr="00703755">
        <w:rPr>
          <w:rFonts w:ascii="Calibri" w:hAnsi="Calibri" w:cs="Calibri"/>
          <w:szCs w:val="24"/>
        </w:rPr>
        <w:t xml:space="preserve">Graham Dawson, </w:t>
      </w:r>
      <w:r w:rsidRPr="00703755">
        <w:rPr>
          <w:rFonts w:ascii="Calibri" w:hAnsi="Calibri" w:cs="Calibri"/>
          <w:i/>
          <w:iCs/>
          <w:szCs w:val="24"/>
        </w:rPr>
        <w:t>Commemorating War: The Politics of Memory</w:t>
      </w:r>
      <w:r w:rsidRPr="00703755">
        <w:rPr>
          <w:rFonts w:ascii="Calibri" w:hAnsi="Calibri" w:cs="Calibri"/>
          <w:szCs w:val="24"/>
        </w:rPr>
        <w:t xml:space="preserve"> (Routledge, 2017).</w:t>
      </w:r>
      <w:r>
        <w:fldChar w:fldCharType="end"/>
      </w:r>
    </w:p>
  </w:footnote>
  <w:footnote w:id="10">
    <w:p w14:paraId="1C593A1A" w14:textId="1AC5FD29" w:rsidR="00923DFC" w:rsidRDefault="00923DFC">
      <w:pPr>
        <w:pStyle w:val="FootnoteText"/>
      </w:pPr>
      <w:r>
        <w:rPr>
          <w:rStyle w:val="FootnoteReference"/>
        </w:rPr>
        <w:footnoteRef/>
      </w:r>
      <w:r>
        <w:t xml:space="preserve"> </w:t>
      </w:r>
      <w:r>
        <w:fldChar w:fldCharType="begin"/>
      </w:r>
      <w:r>
        <w:instrText xml:space="preserve"> ADDIN ZOTERO_ITEM CSL_CITATION {"citationID":"P0EP6232","properties":{"formattedCitation":"{\\rtf Ted Harrison, {\\i{}Remembrance Today: Poppies, Grief and Heroism} (Reaktion Books, 2013).}","plainCitation":"Ted Harrison, Remembrance Today: Poppies, Grief and Heroism (Reaktion Books, 2013)."},"citationItems":[{"id":191,"uris":["http://zotero.org/users/local/wNuioCXQ/items/EFVV4U32"],"uri":["http://zotero.org/users/local/wNuioCXQ/items/EFVV4U32"],"itemData":{"id":191,"type":"book","title":"Remembrance Today: Poppies, Grief and Heroism","publisher":"Reaktion Books","number-of-pages":"250","abstract":"Each November, Americans celebrate Veterans Day, a holiday that honors our armed services and that marks the anniversary of the signing of the armistice that ended World War I. Veterans Day roughly coincides with Remembrance Day in Canada, Australia, and the United Kingdom, where millions of people wear poppies—a flower that bloomed across the battlefields of Flanders and became emblematic of the war—and observe a period of silence at war memorials. For many countries around the world, this day is meant to thank those who give their lives to defend liberty and freedom, but as Ted Harrison reveals in Remembrance Today, the day and the poppies people wear were originally meant as a dedication to the intention that war must never happen again. Raising questions that are too often ignored, Harrison explores what it means to be heroic and what glory means in the context of military service. Most important, he asks what the purpose of Remembrance is outside honoring the fallen and comforting those who mourn their loss. He contends that if the prime function of holidays like Remembrance Day and Veterans Day is not to serve as a warning against war and a reminder to pursue peaceful solutions, then these days are futile. An examination of how our ideas of heroism, duty, and grief have lost their way, Remembrance Today is a powerful argument to focus again on the meaning behind this poignant holiday.","ISBN":"978-1-78023-052-8","shortTitle":"Remembrance Today","language":"en","author":[{"family":"Harrison","given":"Ted"}],"issued":{"date-parts":[["2013",2,15]]}}}],"schema":"https://github.com/citation-style-language/schema/raw/master/csl-citation.json"} </w:instrText>
      </w:r>
      <w:r>
        <w:fldChar w:fldCharType="separate"/>
      </w:r>
      <w:r w:rsidRPr="00923DFC">
        <w:rPr>
          <w:rFonts w:ascii="Calibri" w:hAnsi="Calibri" w:cs="Calibri"/>
          <w:szCs w:val="24"/>
        </w:rPr>
        <w:t xml:space="preserve">Ted Harrison, </w:t>
      </w:r>
      <w:r w:rsidRPr="00923DFC">
        <w:rPr>
          <w:rFonts w:ascii="Calibri" w:hAnsi="Calibri" w:cs="Calibri"/>
          <w:i/>
          <w:iCs/>
          <w:szCs w:val="24"/>
        </w:rPr>
        <w:t>Remembrance Today: Poppies, Grief and Heroism</w:t>
      </w:r>
      <w:r w:rsidRPr="00923DFC">
        <w:rPr>
          <w:rFonts w:ascii="Calibri" w:hAnsi="Calibri" w:cs="Calibri"/>
          <w:szCs w:val="24"/>
        </w:rPr>
        <w:t xml:space="preserve"> (</w:t>
      </w:r>
      <w:proofErr w:type="spellStart"/>
      <w:r w:rsidRPr="00923DFC">
        <w:rPr>
          <w:rFonts w:ascii="Calibri" w:hAnsi="Calibri" w:cs="Calibri"/>
          <w:szCs w:val="24"/>
        </w:rPr>
        <w:t>Reaktion</w:t>
      </w:r>
      <w:proofErr w:type="spellEnd"/>
      <w:r w:rsidRPr="00923DFC">
        <w:rPr>
          <w:rFonts w:ascii="Calibri" w:hAnsi="Calibri" w:cs="Calibri"/>
          <w:szCs w:val="24"/>
        </w:rPr>
        <w:t xml:space="preserve"> Books, 2013).</w:t>
      </w:r>
      <w:r>
        <w:fldChar w:fldCharType="end"/>
      </w:r>
    </w:p>
  </w:footnote>
  <w:footnote w:id="11">
    <w:p w14:paraId="6BC9F5AE" w14:textId="77777777" w:rsidR="00DA3FCE" w:rsidRDefault="00DA3FCE" w:rsidP="00DA3FCE">
      <w:pPr>
        <w:pStyle w:val="FootnoteText"/>
      </w:pPr>
      <w:r>
        <w:rPr>
          <w:rStyle w:val="FootnoteReference"/>
        </w:rPr>
        <w:footnoteRef/>
      </w:r>
      <w:r>
        <w:t xml:space="preserve"> </w:t>
      </w:r>
      <w:r>
        <w:fldChar w:fldCharType="begin"/>
      </w:r>
      <w:r>
        <w:instrText xml:space="preserve"> ADDIN ZOTERO_ITEM CSL_CITATION {"citationID":"1j910yuI","properties":{"formattedCitation":"{\\rtf Sarah Victoria Turner, \\uc0\\u8216{}The Poetics of Permanence? Inscriptions, Memory and Memorials of the First World War in Britain\\uc0\\u8217{}, {\\i{}The Sculpture Journal; London}, 24.1 (2015), 73\\uc0\\u8211{}96,127 &lt;https://doi.org/http://dx.doi.org/10.3828/sj.2015.24.1.6&gt;.}","plainCitation":"Sarah Victoria Turner, ‘The Poetics of Permanence? Inscriptions, Memory and Memorials of the First World War in Britain’, The Sculpture Journal; London, 24.1 (2015), 73–96,127 &lt;https://doi.org/http://dx.doi.org/10.3828/sj.2015.24.1.6&gt;."},"citationItems":[{"id":150,"uris":["http://zotero.org/users/local/wNuioCXQ/items/A9HV65WN"],"uri":["http://zotero.org/users/local/wNuioCXQ/items/A9HV65WN"],"itemData":{"id":150,"type":"article-journal","title":"The poetics of permanence? Inscriptions, memory and memorials of the First World War in Britain","container-title":"The Sculpture Journal; London","page":"73-96,127","volume":"24","issue":"1","source":"ProQuest","DOI":"http://dx.doi.org/10.3828/sj.2015.24.1.6","ISSN":"1366-2724","shortTitle":"The poetics of permanence?","language":"English","author":[{"family":"Turner","given":"Sarah Victoria"}],"issued":{"date-parts":[["2015"]]}}}],"schema":"https://github.com/citation-style-language/schema/raw/master/csl-citation.json"} </w:instrText>
      </w:r>
      <w:r>
        <w:fldChar w:fldCharType="separate"/>
      </w:r>
      <w:r w:rsidRPr="00392595">
        <w:rPr>
          <w:rFonts w:ascii="Calibri" w:hAnsi="Calibri" w:cs="Calibri"/>
          <w:szCs w:val="24"/>
        </w:rPr>
        <w:t xml:space="preserve">Sarah Victoria Turner, ‘The Poetics of Permanence? Inscriptions, Memory and Memorials of the First World War in Britain’, </w:t>
      </w:r>
      <w:r w:rsidRPr="00392595">
        <w:rPr>
          <w:rFonts w:ascii="Calibri" w:hAnsi="Calibri" w:cs="Calibri"/>
          <w:i/>
          <w:iCs/>
          <w:szCs w:val="24"/>
        </w:rPr>
        <w:t>The Sculpture Journal; London</w:t>
      </w:r>
      <w:r w:rsidRPr="00392595">
        <w:rPr>
          <w:rFonts w:ascii="Calibri" w:hAnsi="Calibri" w:cs="Calibri"/>
          <w:szCs w:val="24"/>
        </w:rPr>
        <w:t>, 24.1 (2015), 73–96,127 &lt;https://doi.org/http://dx.doi.org/10.3828/sj.2015.24.1.6&gt;.</w:t>
      </w:r>
      <w:r>
        <w:fldChar w:fldCharType="end"/>
      </w:r>
    </w:p>
  </w:footnote>
  <w:footnote w:id="12">
    <w:p w14:paraId="308B0D12" w14:textId="4AFA3FDB" w:rsidR="00923DFC" w:rsidRDefault="00923DFC">
      <w:pPr>
        <w:pStyle w:val="FootnoteText"/>
      </w:pPr>
      <w:r>
        <w:rPr>
          <w:rStyle w:val="FootnoteReference"/>
        </w:rPr>
        <w:footnoteRef/>
      </w:r>
      <w:r>
        <w:t xml:space="preserve"> </w:t>
      </w:r>
      <w:r>
        <w:fldChar w:fldCharType="begin"/>
      </w:r>
      <w:r w:rsidR="00C8365D">
        <w:instrText xml:space="preserve"> ADDIN ZOTERO_ITEM CSL_CITATION {"citationID":"xGwwPa2B","properties":{"formattedCitation":"{\\rtf Alex King, {\\i{}Memorials of the Great War in Britain: The Symbolism and Politics of Remembrance} (Bloomsbury Publishing, 2014).}","plainCitation":"Alex King, Memorials of the Great War in Britain: The Symbolism and Politics of Remembrance (Bloomsbury Publishing, 2014)."},"citationItems":[{"id":193,"uris":["http://zotero.org/users/local/wNuioCXQ/items/SEB5AM9U"],"uri":["http://zotero.org/users/local/wNuioCXQ/items/SEB5AM9U"],"itemData":{"id":193,"type":"book","title":"Memorials of the Great War in Britain: The Symbolism and Politics of Remembrance","publisher":"Bloomsbury Publishing","number-of-pages":"287","abstract":"Taking as its focus memorials of the First World War in Britain, this book brings a fresh approach to the study of public symbols by exploring how different motives for commemorating the dead were reconciled through the processes of local politics to create a widely valued form of collective expression. It examines how the memorials were produced, what was said about them, how support for them was mobilized and behaviour around them regulated. These memorials were the sites of contested, multiple and ambiguous meanings, yet out of them a united public observance was created. The author argues that this was possible because the interpretation of them as symbols was part of a creative process in which new meanings for traditional forms of memorial were established and circulated. The memorials not only symbolized emotional responses to the war, but also ambitions for the post-war era. Contemporaries adopted new ways of thinking about largely traditional forms of memorial to fit the uncertain social and political climate of the inter-war years.This book represents a significant contribution to the study of material culture and memory, as well as to the social and cultural history of modern warfare.","ISBN":"978-1-84520-952-0","shortTitle":"Memorials of the Great War in Britain","language":"en","author":[{"family":"King","given":"Alex"}],"issued":{"date-parts":[["2014",3,4]]}}}],"schema":"https://github.com/citation-style-language/schema/raw/master/csl-citation.json"} </w:instrText>
      </w:r>
      <w:r>
        <w:fldChar w:fldCharType="separate"/>
      </w:r>
      <w:r w:rsidRPr="00923DFC">
        <w:rPr>
          <w:rFonts w:ascii="Calibri" w:hAnsi="Calibri" w:cs="Calibri"/>
          <w:szCs w:val="24"/>
        </w:rPr>
        <w:t xml:space="preserve">Alex King, </w:t>
      </w:r>
      <w:r w:rsidRPr="00923DFC">
        <w:rPr>
          <w:rFonts w:ascii="Calibri" w:hAnsi="Calibri" w:cs="Calibri"/>
          <w:i/>
          <w:iCs/>
          <w:szCs w:val="24"/>
        </w:rPr>
        <w:t>Memorials of the Great War in Britain: The Symbolism and Politics of Remembrance</w:t>
      </w:r>
      <w:r w:rsidRPr="00923DFC">
        <w:rPr>
          <w:rFonts w:ascii="Calibri" w:hAnsi="Calibri" w:cs="Calibri"/>
          <w:szCs w:val="24"/>
        </w:rPr>
        <w:t xml:space="preserve"> (Bloomsbury Publishing, 2014).</w:t>
      </w:r>
      <w:r>
        <w:fldChar w:fldCharType="end"/>
      </w:r>
    </w:p>
  </w:footnote>
  <w:footnote w:id="13">
    <w:p w14:paraId="594692BF" w14:textId="7D98686C" w:rsidR="00571750" w:rsidRDefault="00571750">
      <w:pPr>
        <w:pStyle w:val="FootnoteText"/>
      </w:pPr>
      <w:r>
        <w:rPr>
          <w:rStyle w:val="FootnoteReference"/>
        </w:rPr>
        <w:footnoteRef/>
      </w:r>
      <w:r>
        <w:t xml:space="preserve"> </w:t>
      </w:r>
      <w:r>
        <w:fldChar w:fldCharType="begin"/>
      </w:r>
      <w:r>
        <w:instrText xml:space="preserve"> ADDIN ZOTERO_ITEM CSL_CITATION {"citationID":"m8Pnrjek","properties":{"formattedCitation":"{\\rtf Gabriel Koureas, {\\i{}\"Memory, Masculinity and National Identity in British Visual Culture, 1914?930 \": A Study of \\uc0\\u8216{}Unconquerable Manhood\\uc0\\u8217{}} (Routledge, 2017).}","plainCitation":"Gabriel Koureas, \"Memory, Masculinity and National Identity in British Visual Culture, 1914?930 \": A Study of ‘Unconquerable Manhood’ (Routledge, 2017)."},"citationItems":[{"id":159,"uris":["http://zotero.org/users/local/wNuioCXQ/items/VNVQDG3F"],"uri":["http://zotero.org/users/local/wNuioCXQ/items/VNVQDG3F"],"itemData":{"id":159,"type":"book","title":"\"Memory, Masculinity and National Identity in British Visual Culture, 1914?930 \": A Study of 'Unconquerable Manhood'","publisher":"Routledge","number-of-pages":"232","source":"Google Books","abstract":"With its specific focus on British representations of masculinity in relation to the trauma of the First World War and notions of national identity, class and sexuality, this book provides a much needed addition to the historiography of visual culture during the period. The study interrogates the complications arising out of issues of trauma, cultural expressions of sexuality and affect, as well as the ways in which these are encoded in diverse forms in visual culture and commemorative objects. Concentrating on masculinity and cultural memory, it investigates the ways in which these and the web of power relations that they entail worked during the interwar years in order to reconstruct the post-First World War British society. In the course of the narrative, the author looks at Bolshevism and the Returning Ex-Servicemen, the 1919 NUR Strike, the Central Labour College in conjunction with banners and revolution, as well as the Imperial War Graves, the Cenotaph, the London and North Western Railway memorial, the Machine Gun Corps Memorial and the establishment of the Imperial War Museum. He also excavates new archival material, particularly case studies of shell shock sufferers and film footage of male hysteria.","ISBN":"978-1-351-55855-6","note":"Google-Books-ID: bzQrDwAAQBAJ","shortTitle":"\"Memory, Masculinity and National Identity in British Visual Culture, 1914?","language":"en","author":[{"family":"Koureas","given":"Gabriel"}],"issued":{"date-parts":[["2017",7,5]]}}}],"schema":"https://github.com/citation-style-language/schema/raw/master/csl-citation.json"} </w:instrText>
      </w:r>
      <w:r>
        <w:fldChar w:fldCharType="separate"/>
      </w:r>
      <w:r w:rsidRPr="00571750">
        <w:rPr>
          <w:rFonts w:ascii="Calibri" w:hAnsi="Calibri" w:cs="Calibri"/>
          <w:szCs w:val="24"/>
        </w:rPr>
        <w:t xml:space="preserve">Gabriel </w:t>
      </w:r>
      <w:proofErr w:type="spellStart"/>
      <w:r w:rsidRPr="00571750">
        <w:rPr>
          <w:rFonts w:ascii="Calibri" w:hAnsi="Calibri" w:cs="Calibri"/>
          <w:szCs w:val="24"/>
        </w:rPr>
        <w:t>Koureas</w:t>
      </w:r>
      <w:proofErr w:type="spellEnd"/>
      <w:r w:rsidRPr="00571750">
        <w:rPr>
          <w:rFonts w:ascii="Calibri" w:hAnsi="Calibri" w:cs="Calibri"/>
          <w:szCs w:val="24"/>
        </w:rPr>
        <w:t xml:space="preserve">, </w:t>
      </w:r>
      <w:r w:rsidRPr="00571750">
        <w:rPr>
          <w:rFonts w:ascii="Calibri" w:hAnsi="Calibri" w:cs="Calibri"/>
          <w:i/>
          <w:iCs/>
          <w:szCs w:val="24"/>
        </w:rPr>
        <w:t>"Memory, Masculinity and National Identity in British Visual Culture, 1914?930 ": A Study of ‘Unconquerable Manhood’</w:t>
      </w:r>
      <w:r w:rsidRPr="00571750">
        <w:rPr>
          <w:rFonts w:ascii="Calibri" w:hAnsi="Calibri" w:cs="Calibri"/>
          <w:szCs w:val="24"/>
        </w:rPr>
        <w:t xml:space="preserve"> (Routledge, 2017).</w:t>
      </w:r>
      <w:r>
        <w:fldChar w:fldCharType="end"/>
      </w:r>
    </w:p>
  </w:footnote>
  <w:footnote w:id="14">
    <w:p w14:paraId="432B3DED" w14:textId="22E0D852" w:rsidR="00476A65" w:rsidRDefault="00476A65">
      <w:pPr>
        <w:pStyle w:val="FootnoteText"/>
      </w:pPr>
      <w:r>
        <w:rPr>
          <w:rStyle w:val="FootnoteReference"/>
        </w:rPr>
        <w:footnoteRef/>
      </w:r>
      <w:r>
        <w:t xml:space="preserve"> </w:t>
      </w:r>
      <w:r>
        <w:fldChar w:fldCharType="begin"/>
      </w:r>
      <w:r>
        <w:instrText xml:space="preserve"> ADDIN ZOTERO_ITEM CSL_CITATION {"citationID":"GfO6GNpo","properties":{"formattedCitation":"{\\rtf Gill Abousnnouga and David Machin, \\uc0\\u8216{}Analysing the Language of War Monuments\\uc0\\u8217{}, {\\i{}Visual Communication}, 9.2 (2010), 131\\uc0\\u8211{}49 &lt;https://doi.org/10.1177/1470357210369884&gt;.}","plainCitation":"Gill Abousnnouga and David Machin, ‘Analysing the Language of War Monuments’, Visual Communication, 9.2 (2010), 131–49 &lt;https://doi.org/10.1177/1470357210369884&gt;."},"citationItems":[{"id":169,"uris":["http://zotero.org/users/local/wNuioCXQ/items/9TJJZHBN"],"uri":["http://zotero.org/users/local/wNuioCXQ/items/9TJJZHBN"],"itemData":{"id":169,"type":"article-journal","title":"Analysing the language of war monuments","container-title":"Visual Communication","page":"131-149","volume":"9","issue":"2","source":"SAGE Journals","abstract":"This paper seeks an approach for a systematic analysis of the semiotic resources used by the designers of British World War 1 monuments. Semiotic studies of monuments have emphasised on the one hand factors from outside the’ text’, in other words contextual social and political factors that lead to design decisions, and on the other hand factors within the text, as being maximally important for this — the latter characterising such visual communication, like language, as a system or code. The paper uses an assessment of an example of the latter, O’Toole’s functional analysis (1994) of sculptures, using a number of theories of the visual to draw out its limitations and point to a number of characteristics of visual communication that would need to be considered in order to carry out a satisfactory analysis.","DOI":"10.1177/1470357210369884","ISSN":"1470-3572","journalAbbreviation":"Visual Communication","language":"en","author":[{"literal":"Gill Abousnnouga"},{"literal":"David Machin"}],"issued":{"date-parts":[["2010",5,1]]}}}],"schema":"https://github.com/citation-style-language/schema/raw/master/csl-citation.json"} </w:instrText>
      </w:r>
      <w:r>
        <w:fldChar w:fldCharType="separate"/>
      </w:r>
      <w:r w:rsidRPr="00476A65">
        <w:rPr>
          <w:rFonts w:ascii="Calibri" w:hAnsi="Calibri" w:cs="Calibri"/>
          <w:szCs w:val="24"/>
        </w:rPr>
        <w:t xml:space="preserve">Gill Abousnnouga and David Machin, ‘Analysing the Language of War Monuments’, </w:t>
      </w:r>
      <w:r w:rsidRPr="00476A65">
        <w:rPr>
          <w:rFonts w:ascii="Calibri" w:hAnsi="Calibri" w:cs="Calibri"/>
          <w:i/>
          <w:iCs/>
          <w:szCs w:val="24"/>
        </w:rPr>
        <w:t>Visual Communication</w:t>
      </w:r>
      <w:r w:rsidRPr="00476A65">
        <w:rPr>
          <w:rFonts w:ascii="Calibri" w:hAnsi="Calibri" w:cs="Calibri"/>
          <w:szCs w:val="24"/>
        </w:rPr>
        <w:t>, 9.2 (2010), 131–49 &lt;https://doi.org/10.1177/1470357210369884&gt;.</w:t>
      </w:r>
      <w:r>
        <w:fldChar w:fldCharType="end"/>
      </w:r>
      <w:r w:rsidR="00EC5A4B">
        <w:t>p.217</w:t>
      </w:r>
    </w:p>
  </w:footnote>
  <w:footnote w:id="15">
    <w:p w14:paraId="12CD4DDB" w14:textId="1ECA0EB7" w:rsidR="00E862EA" w:rsidRDefault="00E862EA">
      <w:pPr>
        <w:pStyle w:val="FootnoteText"/>
      </w:pPr>
      <w:r>
        <w:rPr>
          <w:rStyle w:val="FootnoteReference"/>
        </w:rPr>
        <w:footnoteRef/>
      </w:r>
      <w:r>
        <w:t xml:space="preserve"> </w:t>
      </w:r>
      <w:r>
        <w:fldChar w:fldCharType="begin"/>
      </w:r>
      <w:r>
        <w:instrText xml:space="preserve"> ADDIN ZOTERO_ITEM CSL_CITATION {"citationID":"dFk0D57c","properties":{"formattedCitation":"Gill Abousnnouga and David Machin.","plainCitation":"Gill Abousnnouga and David Machin."},"citationItems":[{"id":169,"uris":["http://zotero.org/users/local/wNuioCXQ/items/9TJJZHBN"],"uri":["http://zotero.org/users/local/wNuioCXQ/items/9TJJZHBN"],"itemData":{"id":169,"type":"article-journal","title":"Analysing the language of war monuments","container-title":"Visual Communication","page":"131-149","volume":"9","issue":"2","source":"SAGE Journals","abstract":"This paper seeks an approach for a systematic analysis of the semiotic resources used by the designers of British World War 1 monuments. Semiotic studies of monuments have emphasised on the one hand factors from outside the’ text’, in other words contextual social and political factors that lead to design decisions, and on the other hand factors within the text, as being maximally important for this — the latter characterising such visual communication, like language, as a system or code. The paper uses an assessment of an example of the latter, O’Toole’s functional analysis (1994) of sculptures, using a number of theories of the visual to draw out its limitations and point to a number of characteristics of visual communication that would need to be considered in order to carry out a satisfactory analysis.","DOI":"10.1177/1470357210369884","ISSN":"1470-3572","journalAbbreviation":"Visual Communication","language":"en","author":[{"literal":"Gill Abousnnouga"},{"literal":"David Machin"}],"issued":{"date-parts":[["2010",5,1]]}}}],"schema":"https://github.com/citation-style-language/schema/raw/master/csl-citation.json"} </w:instrText>
      </w:r>
      <w:r>
        <w:fldChar w:fldCharType="separate"/>
      </w:r>
      <w:r w:rsidRPr="00E862EA">
        <w:rPr>
          <w:rFonts w:ascii="Calibri" w:hAnsi="Calibri" w:cs="Calibri"/>
        </w:rPr>
        <w:t>Gill Abousnnouga and David Machin.</w:t>
      </w:r>
      <w:r>
        <w:fldChar w:fldCharType="end"/>
      </w:r>
      <w:r w:rsidR="00EC5A4B">
        <w:t>p.218</w:t>
      </w:r>
    </w:p>
  </w:footnote>
  <w:footnote w:id="16">
    <w:p w14:paraId="24031C22" w14:textId="5635CB57" w:rsidR="00367050" w:rsidRDefault="00367050">
      <w:pPr>
        <w:pStyle w:val="FootnoteText"/>
      </w:pPr>
      <w:r>
        <w:rPr>
          <w:rStyle w:val="FootnoteReference"/>
        </w:rPr>
        <w:footnoteRef/>
      </w:r>
      <w:r>
        <w:t xml:space="preserve"> </w:t>
      </w:r>
      <w:r>
        <w:fldChar w:fldCharType="begin"/>
      </w:r>
      <w:r w:rsidR="001707A1">
        <w:instrText xml:space="preserve"> ADDIN ZOTERO_ITEM CSL_CITATION {"citationID":"eQhw3nZh","properties":{"formattedCitation":"{\\rtf David Machin and Gill Abousnnouga, {\\i{}The Language of War Monuments} (A&amp;C Black, 2013).}","plainCitation":"David Machin and Gill Abousnnouga, The Language of War Monuments (A&amp;C Black, 2013)."},"citationItems":[{"id":171,"uris":["http://zotero.org/users/local/wNuioCXQ/items/GB2HS9ZX"],"uri":["http://zotero.org/users/local/wNuioCXQ/items/GB2HS9ZX"],"itemData":{"id":171,"type":"book","title":"The Language of War Monuments","publisher":"A&amp;C Black","number-of-pages":"249","abstract":"This book analyses war monuments by developing a multimodal social-semiotic approach to understand how they communicate as three-dimensional objects. The book provides a practical tool-kit approach to how critical multimodal social semiotics should be done through visual, textual and material analysis. It ties this material analysis into the social and political contexts of production. Using examples across the 20th and 21st century the book's chapters offer a way of analysing the way that monument designers have used specific semiotic choices in terms of things like iconography, objects, shape, form, angularity, height, materials and surface realisation to place representations of war in public places across Britain.This social-semiotic approach to the study of war monuments serves three innovative purposes. First, it provides a contribution to the work on the ideological representations of war in Media and Cultural Studies and in Critical Discourse Analysis applied specifically to more banal realisations of discourse. Second, it responds to calls by historians for innovative ways to study war commemoration by providing an approach that offers both specific analysis of the objects and attends to matters of design. Thirdly, following in the relatively recent tradition of multimodal analysis, the arguments draw on the ideas of Kress and van Leeuwen (1996, 2001), adapting and extending their theories and models to the analysis of British commemorative war monuments, in order to develop a multimodal framework for the analysis of three dimensional objects.","ISBN":"978-1-62356-821-4","language":"en","author":[{"family":"Machin","given":"David"},{"family":"Abousnnouga","given":"Gill"}],"issued":{"date-parts":[["2013",10,10]]}}}],"schema":"https://github.com/citation-style-language/schema/raw/master/csl-citation.json"} </w:instrText>
      </w:r>
      <w:r>
        <w:fldChar w:fldCharType="separate"/>
      </w:r>
      <w:r w:rsidRPr="00367050">
        <w:rPr>
          <w:rFonts w:ascii="Calibri" w:hAnsi="Calibri" w:cs="Calibri"/>
          <w:szCs w:val="24"/>
        </w:rPr>
        <w:t xml:space="preserve">David Machin and Gill Abousnnouga, </w:t>
      </w:r>
      <w:r w:rsidRPr="00367050">
        <w:rPr>
          <w:rFonts w:ascii="Calibri" w:hAnsi="Calibri" w:cs="Calibri"/>
          <w:i/>
          <w:iCs/>
          <w:szCs w:val="24"/>
        </w:rPr>
        <w:t>The Language of War Monuments</w:t>
      </w:r>
      <w:r w:rsidRPr="00367050">
        <w:rPr>
          <w:rFonts w:ascii="Calibri" w:hAnsi="Calibri" w:cs="Calibri"/>
          <w:szCs w:val="24"/>
        </w:rPr>
        <w:t xml:space="preserve"> (A&amp;C Black, 2013).</w:t>
      </w:r>
      <w:r>
        <w:fldChar w:fldCharType="end"/>
      </w:r>
      <w:r w:rsidR="00EC5A4B">
        <w:t>p.219</w:t>
      </w:r>
    </w:p>
  </w:footnote>
  <w:footnote w:id="17">
    <w:p w14:paraId="76A5B26D" w14:textId="77362105" w:rsidR="00045758" w:rsidRDefault="00045758">
      <w:pPr>
        <w:pStyle w:val="FootnoteText"/>
      </w:pPr>
      <w:r>
        <w:rPr>
          <w:rStyle w:val="FootnoteReference"/>
        </w:rPr>
        <w:footnoteRef/>
      </w:r>
      <w:r>
        <w:t xml:space="preserve"> </w:t>
      </w:r>
      <w:r>
        <w:fldChar w:fldCharType="begin"/>
      </w:r>
      <w:r>
        <w:instrText xml:space="preserve"> ADDIN ZOTERO_ITEM CSL_CITATION {"citationID":"OW11YOph","properties":{"formattedCitation":"{\\rtf \\uc0\\u8216{}CARDIFF WELSH NATIONAL WAR MEMORIAL; NATIONAL MEMORIAL FOR THE GREAT WAR, CATHAYS PARK | Coflein\\uc0\\u8217{} &lt;http://www.coflein.gov.uk/en/site/32845/details/cardiff-welsh-national-war-memorial-national-memorial-for-the-great-war-cathays-park&gt; [accessed 12 January 2018].}","plainCitation":"‘CARDIFF WELSH NATIONAL WAR MEMORIAL; NATIONAL MEMORIAL FOR THE GREAT WAR, CATHAYS PARK | Coflein’ &lt;http://www.coflein.gov.uk/en/site/32845/details/cardiff-welsh-national-war-memorial-national-memorial-for-the-great-war-cathays-park&gt; [accessed 12 January 2018]."},"citationItems":[{"id":175,"uris":["http://zotero.org/users/local/wNuioCXQ/items/A4AY2HJR"],"uri":["http://zotero.org/users/local/wNuioCXQ/items/A4AY2HJR"],"itemData":{"id":175,"type":"webpage","title":"CARDIFF WELSH NATIONAL WAR MEMORIAL; NATIONAL MEMORIAL FOR THE GREAT WAR, CATHAYS PARK | Coflein","URL":"http://www.coflein.gov.uk/en/site/32845/details/cardiff-welsh-national-war-memorial-national-memorial-for-the-great-war-cathays-park","language":"en","accessed":{"date-parts":[["2018",1,12]]}}}],"schema":"https://github.com/citation-style-language/schema/raw/master/csl-citation.json"} </w:instrText>
      </w:r>
      <w:r>
        <w:fldChar w:fldCharType="separate"/>
      </w:r>
      <w:r w:rsidRPr="00045758">
        <w:rPr>
          <w:rFonts w:ascii="Calibri" w:hAnsi="Calibri" w:cs="Calibri"/>
          <w:szCs w:val="24"/>
        </w:rPr>
        <w:t>‘CARDIFF WELSH NATIONAL WAR MEMORIAL; NATIONAL MEMORIAL FOR THE GREAT WAR, CATHAYS PARK | Coflein’ &lt;http://www.coflein.gov.uk/en/site/32845/details/cardiff-welsh-national-war-memorial-national-memorial-for-the-great-war-cathays-park&gt; [accessed 12 January 2018].</w:t>
      </w:r>
      <w:r>
        <w:fldChar w:fldCharType="end"/>
      </w:r>
    </w:p>
  </w:footnote>
  <w:footnote w:id="18">
    <w:p w14:paraId="260D95B9" w14:textId="796530FA" w:rsidR="00045758" w:rsidRDefault="00045758">
      <w:pPr>
        <w:pStyle w:val="FootnoteText"/>
      </w:pPr>
      <w:r>
        <w:rPr>
          <w:rStyle w:val="FootnoteReference"/>
        </w:rPr>
        <w:footnoteRef/>
      </w:r>
      <w:r>
        <w:t xml:space="preserve"> </w:t>
      </w:r>
      <w:r>
        <w:fldChar w:fldCharType="begin"/>
      </w:r>
      <w:r w:rsidR="001707A1">
        <w:instrText xml:space="preserve"> ADDIN ZOTERO_ITEM CSL_CITATION {"citationID":"06uqohKM","properties":{"formattedCitation":"Machin and Abousnnouga.","plainCitation":"Machin and Abousnnouga."},"citationItems":[{"id":171,"uris":["http://zotero.org/users/local/wNuioCXQ/items/GB2HS9ZX"],"uri":["http://zotero.org/users/local/wNuioCXQ/items/GB2HS9ZX"],"itemData":{"id":171,"type":"book","title":"The Language of War Monuments","publisher":"A&amp;C Black","number-of-pages":"249","abstract":"This book analyses war monuments by developing a multimodal social-semiotic approach to understand how they communicate as three-dimensional objects. The book provides a practical tool-kit approach to how critical multimodal social semiotics should be done through visual, textual and material analysis. It ties this material analysis into the social and political contexts of production. Using examples across the 20th and 21st century the book's chapters offer a way of analysing the way that monument designers have used specific semiotic choices in terms of things like iconography, objects, shape, form, angularity, height, materials and surface realisation to place representations of war in public places across Britain.This social-semiotic approach to the study of war monuments serves three innovative purposes. First, it provides a contribution to the work on the ideological representations of war in Media and Cultural Studies and in Critical Discourse Analysis applied specifically to more banal realisations of discourse. Second, it responds to calls by historians for innovative ways to study war commemoration by providing an approach that offers both specific analysis of the objects and attends to matters of design. Thirdly, following in the relatively recent tradition of multimodal analysis, the arguments draw on the ideas of Kress and van Leeuwen (1996, 2001), adapting and extending their theories and models to the analysis of British commemorative war monuments, in order to develop a multimodal framework for the analysis of three dimensional objects.","ISBN":"978-1-62356-821-4","language":"en","author":[{"family":"Machin","given":"David"},{"family":"Abousnnouga","given":"Gill"}],"issued":{"date-parts":[["2013",10,10]]}}}],"schema":"https://github.com/citation-style-language/schema/raw/master/csl-citation.json"} </w:instrText>
      </w:r>
      <w:r>
        <w:fldChar w:fldCharType="separate"/>
      </w:r>
      <w:r w:rsidRPr="00045758">
        <w:rPr>
          <w:rFonts w:ascii="Calibri" w:hAnsi="Calibri" w:cs="Calibri"/>
        </w:rPr>
        <w:t>Machin and Abousnnouga.</w:t>
      </w:r>
      <w:r>
        <w:fldChar w:fldCharType="end"/>
      </w:r>
      <w:r w:rsidR="00EC5A4B">
        <w:t>p.219</w:t>
      </w:r>
    </w:p>
  </w:footnote>
  <w:footnote w:id="19">
    <w:p w14:paraId="7BD8295D" w14:textId="39F24890" w:rsidR="00717B0B" w:rsidRDefault="00717B0B">
      <w:pPr>
        <w:pStyle w:val="FootnoteText"/>
      </w:pPr>
      <w:r>
        <w:rPr>
          <w:rStyle w:val="FootnoteReference"/>
        </w:rPr>
        <w:footnoteRef/>
      </w:r>
      <w:r>
        <w:t xml:space="preserve"> </w:t>
      </w:r>
      <w:r>
        <w:fldChar w:fldCharType="begin"/>
      </w:r>
      <w:r>
        <w:instrText xml:space="preserve"> ADDIN ZOTERO_ITEM CSL_CITATION {"citationID":"Tfspilad","properties":{"formattedCitation":"{\\rtf \\uc0\\u8216{}CARDIFF WELSH NATIONAL WAR MEMORIAL; NATIONAL MEMORIAL FOR THE GREAT WAR, CATHAYS PARK | Coflein\\uc0\\u8217{}.}","plainCitation":"‘CARDIFF WELSH NATIONAL WAR MEMORIAL; NATIONAL MEMORIAL FOR THE GREAT WAR, CATHAYS PARK | Coflein’."},"citationItems":[{"id":175,"uris":["http://zotero.org/users/local/wNuioCXQ/items/A4AY2HJR"],"uri":["http://zotero.org/users/local/wNuioCXQ/items/A4AY2HJR"],"itemData":{"id":175,"type":"webpage","title":"CARDIFF WELSH NATIONAL WAR MEMORIAL; NATIONAL MEMORIAL FOR THE GREAT WAR, CATHAYS PARK | Coflein","URL":"http://www.coflein.gov.uk/en/site/32845/details/cardiff-welsh-national-war-memorial-national-memorial-for-the-great-war-cathays-park","language":"en","accessed":{"date-parts":[["2018",1,12]]}}}],"schema":"https://github.com/citation-style-language/schema/raw/master/csl-citation.json"} </w:instrText>
      </w:r>
      <w:r>
        <w:fldChar w:fldCharType="separate"/>
      </w:r>
      <w:r w:rsidRPr="00717B0B">
        <w:rPr>
          <w:rFonts w:ascii="Calibri" w:hAnsi="Calibri" w:cs="Calibri"/>
          <w:szCs w:val="24"/>
        </w:rPr>
        <w:t>‘CARDIFF WELSH NATIONAL WAR MEMORIAL; NATIONAL MEMORIAL FOR THE GREAT WAR, CATHAYS PARK | Coflein’.</w:t>
      </w:r>
      <w:r>
        <w:fldChar w:fldCharType="end"/>
      </w:r>
    </w:p>
  </w:footnote>
  <w:footnote w:id="20">
    <w:p w14:paraId="4832FB54" w14:textId="3101ED9A" w:rsidR="00577C2E" w:rsidRDefault="00577C2E">
      <w:pPr>
        <w:pStyle w:val="FootnoteText"/>
      </w:pPr>
      <w:r>
        <w:rPr>
          <w:rStyle w:val="FootnoteReference"/>
        </w:rPr>
        <w:footnoteRef/>
      </w:r>
      <w:r>
        <w:t xml:space="preserve"> </w:t>
      </w:r>
      <w:r>
        <w:fldChar w:fldCharType="begin"/>
      </w:r>
      <w:r>
        <w:instrText xml:space="preserve"> ADDIN ZOTERO_ITEM CSL_CITATION {"citationID":"yYLQP1KY","properties":{"formattedCitation":"Gill Abousnnouga and David Machin.","plainCitation":"Gill Abousnnouga and David Machin."},"citationItems":[{"id":169,"uris":["http://zotero.org/users/local/wNuioCXQ/items/9TJJZHBN"],"uri":["http://zotero.org/users/local/wNuioCXQ/items/9TJJZHBN"],"itemData":{"id":169,"type":"article-journal","title":"Analysing the language of war monuments","container-title":"Visual Communication","page":"131-149","volume":"9","issue":"2","source":"SAGE Journals","abstract":"This paper seeks an approach for a systematic analysis of the semiotic resources used by the designers of British World War 1 monuments. Semiotic studies of monuments have emphasised on the one hand factors from outside the’ text’, in other words contextual social and political factors that lead to design decisions, and on the other hand factors within the text, as being maximally important for this — the latter characterising such visual communication, like language, as a system or code. The paper uses an assessment of an example of the latter, O’Toole’s functional analysis (1994) of sculptures, using a number of theories of the visual to draw out its limitations and point to a number of characteristics of visual communication that would need to be considered in order to carry out a satisfactory analysis.","DOI":"10.1177/1470357210369884","ISSN":"1470-3572","journalAbbreviation":"Visual Communication","language":"en","author":[{"literal":"Gill Abousnnouga"},{"literal":"David Machin"}],"issued":{"date-parts":[["2010",5,1]]}}}],"schema":"https://github.com/citation-style-language/schema/raw/master/csl-citation.json"} </w:instrText>
      </w:r>
      <w:r>
        <w:fldChar w:fldCharType="separate"/>
      </w:r>
      <w:r w:rsidRPr="00577C2E">
        <w:rPr>
          <w:rFonts w:ascii="Calibri" w:hAnsi="Calibri" w:cs="Calibri"/>
        </w:rPr>
        <w:t>Gill Abousnnouga and David Machin.</w:t>
      </w:r>
      <w:r>
        <w:fldChar w:fldCharType="end"/>
      </w:r>
    </w:p>
  </w:footnote>
  <w:footnote w:id="21">
    <w:p w14:paraId="3429825A" w14:textId="17110614" w:rsidR="00384391" w:rsidRDefault="00384391">
      <w:pPr>
        <w:pStyle w:val="FootnoteText"/>
      </w:pPr>
      <w:r>
        <w:rPr>
          <w:rStyle w:val="FootnoteReference"/>
        </w:rPr>
        <w:footnoteRef/>
      </w:r>
      <w:r>
        <w:t xml:space="preserve"> </w:t>
      </w:r>
      <w:r>
        <w:fldChar w:fldCharType="begin"/>
      </w:r>
      <w:r>
        <w:instrText xml:space="preserve"> ADDIN ZOTERO_ITEM CSL_CITATION {"citationID":"LMyylapg","properties":{"formattedCitation":"{\\rtf Nicholas J. Saunders, {\\i{}Matters of Conflict: Material Culture, Memory and the First World War} (London\\uc0\\u8239{}; New York: Routledge, 2004).}","plainCitation":"Nicholas J. Saunders, Matters of Conflict: Material Culture, Memory and the First World War (London ; New York: Routledge, 2004)."},"citationItems":[{"id":157,"uris":["http://zotero.org/users/local/wNuioCXQ/items/77BYRHLI"],"uri":["http://zotero.org/users/local/wNuioCXQ/items/77BYRHLI"],"itemData":{"id":157,"type":"book","title":"Matters of conflict: material culture, memory and the First World War","publisher":"Routledge","publisher-place":"London ; New York","number-of-pages":"ix+214","source":"librarycatalogue.uwtsd.ac.uk","event-place":"London ; New York","abstract":"Material culture and conflict : the Great War, 1914-2003 / Nicholas J. Saunders -- Art, material life and disaster : civilian and military prisoners of war / Annette Becker -- 'Sacred relics' : objects in the Imperial War Museum 1917-39 / Paul Cornish -- Prostheses and propaganda : materiality and the human body in the Great War / Jeffrey S. Reznick -- Nagelfiguren : nailing patriotism in Germany 1914-18 / Susanne Brandt -- Shattered experiences, recycled relics : strategies of representation and the legacy of the Great War / Fabio Gygi -- The Great War re-remembered : the fragmentation of the world's largest painting / Mark Levitch -- Death and material culture : the case of pictures during the First World War / Joëlle Beurier -- A material link between war and peace : First World War silk postcards / Pat Tomczyszyn -- Thanks for the memory : war memorials, spectatorship and the trajectories of commemoration 1919-2001 / Jonathan Black -- The lion, the angel and the war memorial : some French sites re-visited / William Kidd -- The Internet and the Great War : the impact on the making and meaning of Great War history / Nils Fabiansson -- The Ocean Villas project : archaeology in the service of European remembrance / Jon Price -- Aftermath : materiality on the home front, 1914-2001 / John Schofield., From trench art and postcards to prosthetic limbs, unexploded ordinance and war memorials, this book examines the continuing and constantly changing significance of World War One through the things it left behind, setting a new agenda for the study of the conflict.","ISBN":"978-0-203-50254-9","call-number":"940.3 MAT","shortTitle":"Matters of conflict","language":"eng","author":[{"family":"Saunders","given":"Nicholas J."}],"issued":{"date-parts":[["2004"]]}}}],"schema":"https://github.com/citation-style-language/schema/raw/master/csl-citation.json"} </w:instrText>
      </w:r>
      <w:r>
        <w:fldChar w:fldCharType="separate"/>
      </w:r>
      <w:r w:rsidRPr="00384391">
        <w:rPr>
          <w:rFonts w:ascii="Calibri" w:hAnsi="Calibri" w:cs="Calibri"/>
          <w:szCs w:val="24"/>
        </w:rPr>
        <w:t xml:space="preserve">Nicholas J. Saunders, </w:t>
      </w:r>
      <w:r w:rsidRPr="00384391">
        <w:rPr>
          <w:rFonts w:ascii="Calibri" w:hAnsi="Calibri" w:cs="Calibri"/>
          <w:i/>
          <w:iCs/>
          <w:szCs w:val="24"/>
        </w:rPr>
        <w:t>Matters of Conflict: Material Culture, Memory and the First World War</w:t>
      </w:r>
      <w:r w:rsidRPr="00384391">
        <w:rPr>
          <w:rFonts w:ascii="Calibri" w:hAnsi="Calibri" w:cs="Calibri"/>
          <w:szCs w:val="24"/>
        </w:rPr>
        <w:t xml:space="preserve"> (London ; New York: Routledge, 2004).</w:t>
      </w:r>
      <w:r>
        <w:fldChar w:fldCharType="end"/>
      </w:r>
    </w:p>
  </w:footnote>
  <w:footnote w:id="22">
    <w:p w14:paraId="484AF010" w14:textId="1A368515" w:rsidR="005A6F03" w:rsidRDefault="005A6F03">
      <w:pPr>
        <w:pStyle w:val="FootnoteText"/>
      </w:pPr>
      <w:r>
        <w:rPr>
          <w:rStyle w:val="FootnoteReference"/>
        </w:rPr>
        <w:footnoteRef/>
      </w:r>
      <w:r>
        <w:t xml:space="preserve"> </w:t>
      </w:r>
      <w:r>
        <w:fldChar w:fldCharType="begin"/>
      </w:r>
      <w:r>
        <w:instrText xml:space="preserve"> ADDIN ZOTERO_ITEM CSL_CITATION {"citationID":"yg1TYfoK","properties":{"formattedCitation":"{\\rtf Nicholas J. Saunders, {\\i{}Trench Art: Materialities and Memories of War} (New York, NY: Berg, 2003).}","plainCitation":"Nicholas J. Saunders, Trench Art: Materialities and Memories of War (New York, NY: Berg, 2003)."},"citationItems":[{"id":158,"uris":["http://zotero.org/users/local/wNuioCXQ/items/JFTT43EC"],"uri":["http://zotero.org/users/local/wNuioCXQ/items/JFTT43EC"],"itemData":{"id":158,"type":"book","title":"Trench art: materialities and memories of war","publisher":"Berg","publisher-place":"New York, NY","number-of-pages":"xii+254","source":"librarycatalogue.uwtsd.ac.uk","event-place":"New York, NY","ISBN":"978-1-85973-603-6","call-number":"745.5088 SAU","shortTitle":"Trench art","language":"eng","author":[{"literal":"Nicholas J. Saunders"}],"issued":{"date-parts":[["2003"]]}}}],"schema":"https://github.com/citation-style-language/schema/raw/master/csl-citation.json"} </w:instrText>
      </w:r>
      <w:r>
        <w:fldChar w:fldCharType="separate"/>
      </w:r>
      <w:r w:rsidRPr="005A6F03">
        <w:rPr>
          <w:rFonts w:ascii="Calibri" w:hAnsi="Calibri" w:cs="Calibri"/>
          <w:szCs w:val="24"/>
        </w:rPr>
        <w:t xml:space="preserve">Nicholas J. Saunders, </w:t>
      </w:r>
      <w:r w:rsidRPr="005A6F03">
        <w:rPr>
          <w:rFonts w:ascii="Calibri" w:hAnsi="Calibri" w:cs="Calibri"/>
          <w:i/>
          <w:iCs/>
          <w:szCs w:val="24"/>
        </w:rPr>
        <w:t>Trench Art: Materialities and Memories of War</w:t>
      </w:r>
      <w:r w:rsidRPr="005A6F03">
        <w:rPr>
          <w:rFonts w:ascii="Calibri" w:hAnsi="Calibri" w:cs="Calibri"/>
          <w:szCs w:val="24"/>
        </w:rPr>
        <w:t xml:space="preserve"> (New York, NY: Berg, 2003).</w:t>
      </w:r>
      <w:r>
        <w:fldChar w:fldCharType="end"/>
      </w:r>
      <w:r>
        <w:t xml:space="preserve"> P.113</w:t>
      </w:r>
    </w:p>
  </w:footnote>
  <w:footnote w:id="23">
    <w:p w14:paraId="402BF121" w14:textId="7C4813C9" w:rsidR="00571750" w:rsidRDefault="00571750">
      <w:pPr>
        <w:pStyle w:val="FootnoteText"/>
      </w:pPr>
      <w:r>
        <w:rPr>
          <w:rStyle w:val="FootnoteReference"/>
        </w:rPr>
        <w:footnoteRef/>
      </w:r>
      <w:r>
        <w:t xml:space="preserve"> </w:t>
      </w:r>
      <w:r>
        <w:fldChar w:fldCharType="begin"/>
      </w:r>
      <w:r>
        <w:instrText xml:space="preserve"> ADDIN ZOTERO_ITEM CSL_CITATION {"citationID":"zt1KBDIb","properties":{"formattedCitation":"Nicholas J. Saunders.","plainCitation":"Nicholas J. Saunders."},"citationItems":[{"id":158,"uris":["http://zotero.org/users/local/wNuioCXQ/items/JFTT43EC"],"uri":["http://zotero.org/users/local/wNuioCXQ/items/JFTT43EC"],"itemData":{"id":158,"type":"book","title":"Trench art: materialities and memories of war","publisher":"Berg","publisher-place":"New York, NY","number-of-pages":"xii+254","source":"librarycatalogue.uwtsd.ac.uk","event-place":"New York, NY","ISBN":"978-1-85973-603-6","call-number":"745.5088 SAU","shortTitle":"Trench art","language":"eng","author":[{"literal":"Nicholas J. Saunders"}],"issued":{"date-parts":[["2003"]]}}}],"schema":"https://github.com/citation-style-language/schema/raw/master/csl-citation.json"} </w:instrText>
      </w:r>
      <w:r>
        <w:fldChar w:fldCharType="separate"/>
      </w:r>
      <w:r w:rsidRPr="00571750">
        <w:rPr>
          <w:rFonts w:ascii="Calibri" w:hAnsi="Calibri" w:cs="Calibri"/>
        </w:rPr>
        <w:t>Nicholas J. Saunders.</w:t>
      </w:r>
      <w:r>
        <w:fldChar w:fldCharType="end"/>
      </w:r>
    </w:p>
  </w:footnote>
  <w:footnote w:id="24">
    <w:p w14:paraId="6B00BCAF" w14:textId="501B7B96" w:rsidR="00923DFC" w:rsidRDefault="00923DFC">
      <w:pPr>
        <w:pStyle w:val="FootnoteText"/>
      </w:pPr>
      <w:r>
        <w:rPr>
          <w:rStyle w:val="FootnoteReference"/>
        </w:rPr>
        <w:footnoteRef/>
      </w:r>
      <w:r>
        <w:t xml:space="preserve"> </w:t>
      </w:r>
      <w:r>
        <w:fldChar w:fldCharType="begin"/>
      </w:r>
      <w:r w:rsidR="00C8365D">
        <w:instrText xml:space="preserve"> ADDIN ZOTERO_ITEM CSL_CITATION {"citationID":"5X8ejnEO","properties":{"formattedCitation":"King.","plainCitation":"King."},"citationItems":[{"id":193,"uris":["http://zotero.org/users/local/wNuioCXQ/items/SEB5AM9U"],"uri":["http://zotero.org/users/local/wNuioCXQ/items/SEB5AM9U"],"itemData":{"id":193,"type":"book","title":"Memorials of the Great War in Britain: The Symbolism and Politics of Remembrance","publisher":"Bloomsbury Publishing","number-of-pages":"287","abstract":"Taking as its focus memorials of the First World War in Britain, this book brings a fresh approach to the study of public symbols by exploring how different motives for commemorating the dead were reconciled through the processes of local politics to create a widely valued form of collective expression. It examines how the memorials were produced, what was said about them, how support for them was mobilized and behaviour around them regulated. These memorials were the sites of contested, multiple and ambiguous meanings, yet out of them a united public observance was created. The author argues that this was possible because the interpretation of them as symbols was part of a creative process in which new meanings for traditional forms of memorial were established and circulated. The memorials not only symbolized emotional responses to the war, but also ambitions for the post-war era. Contemporaries adopted new ways of thinking about largely traditional forms of memorial to fit the uncertain social and political climate of the inter-war years.This book represents a significant contribution to the study of material culture and memory, as well as to the social and cultural history of modern warfare.","ISBN":"978-1-84520-952-0","shortTitle":"Memorials of the Great War in Britain","language":"en","author":[{"family":"King","given":"Alex"}],"issued":{"date-parts":[["2014",3,4]]}}}],"schema":"https://github.com/citation-style-language/schema/raw/master/csl-citation.json"} </w:instrText>
      </w:r>
      <w:r>
        <w:fldChar w:fldCharType="separate"/>
      </w:r>
      <w:r w:rsidRPr="00923DFC">
        <w:rPr>
          <w:rFonts w:ascii="Calibri" w:hAnsi="Calibri" w:cs="Calibri"/>
        </w:rPr>
        <w:t>King.</w:t>
      </w:r>
      <w:r>
        <w:fldChar w:fldCharType="end"/>
      </w:r>
    </w:p>
  </w:footnote>
  <w:footnote w:id="25">
    <w:p w14:paraId="61E8D930" w14:textId="3733BA9F" w:rsidR="005D704B" w:rsidRDefault="005D704B">
      <w:pPr>
        <w:pStyle w:val="FootnoteText"/>
      </w:pPr>
      <w:r>
        <w:rPr>
          <w:rStyle w:val="FootnoteReference"/>
        </w:rPr>
        <w:footnoteRef/>
      </w:r>
      <w:r>
        <w:t xml:space="preserve"> </w:t>
      </w:r>
      <w:r>
        <w:fldChar w:fldCharType="begin"/>
      </w:r>
      <w:r>
        <w:instrText xml:space="preserve"> ADDIN ZOTERO_ITEM CSL_CITATION {"citationID":"IcGbHHpS","properties":{"formattedCitation":"{\\rtf \\uc0\\u8216{}Royal Naval Benevolent Trust\\uc0\\u8217{} &lt;http://www.rnbt.org.uk/about-us/useful-links/&gt; [accessed 12 January 2018].}","plainCitation":"‘Royal Naval Benevolent Trust’ &lt;http://www.rnbt.org.uk/about-us/useful-links/&gt; [accessed 12 January 2018]."},"citationItems":[{"id":195,"uris":["http://zotero.org/users/local/wNuioCXQ/items/MES8MZ6P"],"uri":["http://zotero.org/users/local/wNuioCXQ/items/MES8MZ6P"],"itemData":{"id":195,"type":"webpage","title":"Royal Naval Benevolent Trust","URL":"http://www.rnbt.org.uk/about-us/useful-links/","accessed":{"date-parts":[["2018",1,12]]}}}],"schema":"https://github.com/citation-style-language/schema/raw/master/csl-citation.json"} </w:instrText>
      </w:r>
      <w:r>
        <w:fldChar w:fldCharType="separate"/>
      </w:r>
      <w:r w:rsidRPr="005D704B">
        <w:rPr>
          <w:rFonts w:ascii="Calibri" w:hAnsi="Calibri" w:cs="Calibri"/>
          <w:szCs w:val="24"/>
        </w:rPr>
        <w:t>‘Royal Naval Benevolent Trust’ &lt;http://www.rnbt.org.uk/about-us/useful-links/&gt; [accessed 12 January 2018].</w:t>
      </w:r>
      <w:r>
        <w:fldChar w:fldCharType="end"/>
      </w:r>
    </w:p>
  </w:footnote>
  <w:footnote w:id="26">
    <w:p w14:paraId="0430900D" w14:textId="2DDD252F" w:rsidR="004E04D6" w:rsidRDefault="004E04D6">
      <w:pPr>
        <w:pStyle w:val="FootnoteText"/>
      </w:pPr>
      <w:r>
        <w:rPr>
          <w:rStyle w:val="FootnoteReference"/>
        </w:rPr>
        <w:footnoteRef/>
      </w:r>
      <w:r>
        <w:t xml:space="preserve"> </w:t>
      </w:r>
      <w:r>
        <w:fldChar w:fldCharType="begin"/>
      </w:r>
      <w:r>
        <w:instrText xml:space="preserve"> ADDIN ZOTERO_ITEM CSL_CITATION {"citationID":"mQgy2F8a","properties":{"formattedCitation":"{\\rtf Noah Rayman, \\uc0\\u8216{}Memorial Day, Remembrance Sunday and Armed Forces Day: How 9 Other Countries Remember Their Fallen Troops\\uc0\\u8217{}, {\\i{}Time.Com}, 2014, 1\\uc0\\u8211{}1.}","plainCitation":"Noah Rayman, ‘Memorial Day, Remembrance Sunday and Armed Forces Day: How 9 Other Countries Remember Their Fallen Troops’, Time.Com, 2014, 1–1."},"citationItems":[{"id":162,"uris":["http://zotero.org/users/local/wNuioCXQ/items/Q87CJNZE"],"uri":["http://zotero.org/users/local/wNuioCXQ/items/Q87CJNZE"],"itemData":{"id":162,"type":"article-journal","title":"Memorial Day, Remembrance Sunday and Armed Forces Day: How 9 Other Countries Remember Their Fallen Troops","container-title":"Time.com","page":"1-1","source":"EBSCOhost","shortTitle":"Memorial Day, Remembrance Sunday and Armed Forces Day","journalAbbreviation":"Time.com","author":[{"family":"Rayman","given":"Noah"}],"issued":{"date-parts":[["2014",5,28]]}}}],"schema":"https://github.com/citation-style-language/schema/raw/master/csl-citation.json"} </w:instrText>
      </w:r>
      <w:r>
        <w:fldChar w:fldCharType="separate"/>
      </w:r>
      <w:r w:rsidRPr="004E04D6">
        <w:rPr>
          <w:rFonts w:ascii="Calibri" w:hAnsi="Calibri" w:cs="Calibri"/>
          <w:szCs w:val="24"/>
        </w:rPr>
        <w:t xml:space="preserve">Noah </w:t>
      </w:r>
      <w:proofErr w:type="spellStart"/>
      <w:r w:rsidRPr="004E04D6">
        <w:rPr>
          <w:rFonts w:ascii="Calibri" w:hAnsi="Calibri" w:cs="Calibri"/>
          <w:szCs w:val="24"/>
        </w:rPr>
        <w:t>Rayman</w:t>
      </w:r>
      <w:proofErr w:type="spellEnd"/>
      <w:r w:rsidRPr="004E04D6">
        <w:rPr>
          <w:rFonts w:ascii="Calibri" w:hAnsi="Calibri" w:cs="Calibri"/>
          <w:szCs w:val="24"/>
        </w:rPr>
        <w:t xml:space="preserve">, ‘Memorial Day, Remembrance Sunday and Armed Forces Day: How 9 Other Countries Remember Their Fallen Troops’, </w:t>
      </w:r>
      <w:r w:rsidRPr="004E04D6">
        <w:rPr>
          <w:rFonts w:ascii="Calibri" w:hAnsi="Calibri" w:cs="Calibri"/>
          <w:i/>
          <w:iCs/>
          <w:szCs w:val="24"/>
        </w:rPr>
        <w:t>Time.Com</w:t>
      </w:r>
      <w:r w:rsidRPr="004E04D6">
        <w:rPr>
          <w:rFonts w:ascii="Calibri" w:hAnsi="Calibri" w:cs="Calibri"/>
          <w:szCs w:val="24"/>
        </w:rPr>
        <w:t>, 2014, 1–1.</w:t>
      </w:r>
      <w:r>
        <w:fldChar w:fldCharType="end"/>
      </w:r>
    </w:p>
  </w:footnote>
  <w:footnote w:id="27">
    <w:p w14:paraId="5CBC48CB" w14:textId="1D239D60" w:rsidR="00706670" w:rsidRDefault="00706670">
      <w:pPr>
        <w:pStyle w:val="FootnoteText"/>
      </w:pPr>
      <w:r>
        <w:rPr>
          <w:rStyle w:val="FootnoteReference"/>
        </w:rPr>
        <w:footnoteRef/>
      </w:r>
      <w:r>
        <w:t xml:space="preserve"> </w:t>
      </w:r>
      <w:r>
        <w:fldChar w:fldCharType="begin"/>
      </w:r>
      <w:r>
        <w:instrText xml:space="preserve"> ADDIN ZOTERO_ITEM CSL_CITATION {"citationID":"VQtsTcjn","properties":{"formattedCitation":"Rayman.","plainCitation":"Rayman."},"citationItems":[{"id":162,"uris":["http://zotero.org/users/local/wNuioCXQ/items/Q87CJNZE"],"uri":["http://zotero.org/users/local/wNuioCXQ/items/Q87CJNZE"],"itemData":{"id":162,"type":"article-journal","title":"Memorial Day, Remembrance Sunday and Armed Forces Day: How 9 Other Countries Remember Their Fallen Troops","container-title":"Time.com","page":"1-1","source":"EBSCOhost","shortTitle":"Memorial Day, Remembrance Sunday and Armed Forces Day","journalAbbreviation":"Time.com","author":[{"family":"Rayman","given":"Noah"}],"issued":{"date-parts":[["2014",5,28]]}}}],"schema":"https://github.com/citation-style-language/schema/raw/master/csl-citation.json"} </w:instrText>
      </w:r>
      <w:r>
        <w:fldChar w:fldCharType="separate"/>
      </w:r>
      <w:r w:rsidRPr="00706670">
        <w:rPr>
          <w:rFonts w:ascii="Calibri" w:hAnsi="Calibri" w:cs="Calibri"/>
        </w:rPr>
        <w:t>Rayman.</w:t>
      </w:r>
      <w:r>
        <w:fldChar w:fldCharType="end"/>
      </w:r>
    </w:p>
  </w:footnote>
  <w:footnote w:id="28">
    <w:p w14:paraId="5D840CBC" w14:textId="76D2AC0B" w:rsidR="008E02E3" w:rsidRDefault="008E02E3">
      <w:pPr>
        <w:pStyle w:val="FootnoteText"/>
      </w:pPr>
      <w:r>
        <w:rPr>
          <w:rStyle w:val="FootnoteReference"/>
        </w:rPr>
        <w:footnoteRef/>
      </w:r>
      <w:r>
        <w:t xml:space="preserve"> </w:t>
      </w:r>
      <w:r>
        <w:fldChar w:fldCharType="begin"/>
      </w:r>
      <w:r>
        <w:instrText xml:space="preserve"> ADDIN ZOTERO_ITEM CSL_CITATION {"citationID":"xMUMYFpK","properties":{"formattedCitation":"{\\rtf Jennifer Iles, \\uc0\\u8216{}In Remembrance: The Flanders Poppy\\uc0\\u8217{}, {\\i{}Mortality}, 13.3 (2008), 201\\uc0\\u8211{}21 &lt;https://doi.org/10.1080/13576270802181640&gt;.}","plainCitation":"Jennifer Iles, ‘In Remembrance: The Flanders Poppy’, Mortality, 13.3 (2008), 201–21 &lt;https://doi.org/10.1080/13576270802181640&gt;."},"citationItems":[{"id":163,"uris":["http://zotero.org/users/local/wNuioCXQ/items/E4NTKSPD"],"uri":["http://zotero.org/users/local/wNuioCXQ/items/E4NTKSPD"],"itemData":{"id":163,"type":"article-journal","title":"In remembrance: The Flanders poppy","container-title":"Mortality","page":"201-221","volume":"13","issue":"3","source":"EBSCOhost","abstract":"Intricately bound with both national and local acts of commemoration for the war dead is the symbol of the red Flanders poppy. Adopted after the First World War as the official emblem of the Royal British Legion, which today is the nation's de facto custodian of remembrance, the poppy continues to encapsulate a conglomerate of ideas and strong sentiments. This article, which is partly based on ethnographic fieldwork carried out around Ypres, Belgium, the Somme region in France, and in London, seeks to explore the various factors that have enabled the poppy to become a lasting and universally respected symbol of remembrance for the war dead. It will also examine its current role in the rituals of remembrance and consider some of the debates and controversies that surround its cluster of values and continuing symbolic power.","DOI":"10.1080/13576270802181640","ISSN":"13576275","shortTitle":"In remembrance","journalAbbreviation":"Mortality","author":[{"family":"Iles","given":"Jennifer"}],"issued":{"date-parts":[["2008",8]]}}}],"schema":"https://github.com/citation-style-language/schema/raw/master/csl-citation.json"} </w:instrText>
      </w:r>
      <w:r>
        <w:fldChar w:fldCharType="separate"/>
      </w:r>
      <w:r w:rsidRPr="008E02E3">
        <w:rPr>
          <w:rFonts w:ascii="Calibri" w:hAnsi="Calibri" w:cs="Calibri"/>
          <w:szCs w:val="24"/>
        </w:rPr>
        <w:t xml:space="preserve">Jennifer Iles, ‘In Remembrance: The Flanders Poppy’, </w:t>
      </w:r>
      <w:r w:rsidRPr="008E02E3">
        <w:rPr>
          <w:rFonts w:ascii="Calibri" w:hAnsi="Calibri" w:cs="Calibri"/>
          <w:i/>
          <w:iCs/>
          <w:szCs w:val="24"/>
        </w:rPr>
        <w:t>Mortality</w:t>
      </w:r>
      <w:r w:rsidRPr="008E02E3">
        <w:rPr>
          <w:rFonts w:ascii="Calibri" w:hAnsi="Calibri" w:cs="Calibri"/>
          <w:szCs w:val="24"/>
        </w:rPr>
        <w:t>, 13.3 (2008), 201–21 &lt;https://doi.org/10.1080/13576270802181640&gt;.</w:t>
      </w:r>
      <w:r>
        <w:fldChar w:fldCharType="end"/>
      </w:r>
      <w:r w:rsidR="00772602">
        <w:t>p.201</w:t>
      </w:r>
    </w:p>
  </w:footnote>
  <w:footnote w:id="29">
    <w:p w14:paraId="2C036071" w14:textId="36D0FE6E" w:rsidR="00772602" w:rsidRDefault="00772602">
      <w:pPr>
        <w:pStyle w:val="FootnoteText"/>
      </w:pPr>
      <w:r>
        <w:rPr>
          <w:rStyle w:val="FootnoteReference"/>
        </w:rPr>
        <w:footnoteRef/>
      </w:r>
      <w:r>
        <w:t xml:space="preserve"> </w:t>
      </w:r>
      <w:r>
        <w:fldChar w:fldCharType="begin"/>
      </w:r>
      <w:r>
        <w:instrText xml:space="preserve"> ADDIN ZOTERO_ITEM CSL_CITATION {"citationID":"jMDBYwlI","properties":{"formattedCitation":"Iles.","plainCitation":"Iles."},"citationItems":[{"id":163,"uris":["http://zotero.org/users/local/wNuioCXQ/items/E4NTKSPD"],"uri":["http://zotero.org/users/local/wNuioCXQ/items/E4NTKSPD"],"itemData":{"id":163,"type":"article-journal","title":"In remembrance: The Flanders poppy","container-title":"Mortality","page":"201-221","volume":"13","issue":"3","source":"EBSCOhost","abstract":"Intricately bound with both national and local acts of commemoration for the war dead is the symbol of the red Flanders poppy. Adopted after the First World War as the official emblem of the Royal British Legion, which today is the nation's de facto custodian of remembrance, the poppy continues to encapsulate a conglomerate of ideas and strong sentiments. This article, which is partly based on ethnographic fieldwork carried out around Ypres, Belgium, the Somme region in France, and in London, seeks to explore the various factors that have enabled the poppy to become a lasting and universally respected symbol of remembrance for the war dead. It will also examine its current role in the rituals of remembrance and consider some of the debates and controversies that surround its cluster of values and continuing symbolic power.","DOI":"10.1080/13576270802181640","ISSN":"13576275","shortTitle":"In remembrance","journalAbbreviation":"Mortality","author":[{"family":"Iles","given":"Jennifer"}],"issued":{"date-parts":[["2008",8]]}}}],"schema":"https://github.com/citation-style-language/schema/raw/master/csl-citation.json"} </w:instrText>
      </w:r>
      <w:r>
        <w:fldChar w:fldCharType="separate"/>
      </w:r>
      <w:r w:rsidRPr="00772602">
        <w:rPr>
          <w:rFonts w:ascii="Calibri" w:hAnsi="Calibri" w:cs="Calibri"/>
        </w:rPr>
        <w:t>Iles.</w:t>
      </w:r>
      <w:r>
        <w:fldChar w:fldCharType="end"/>
      </w:r>
      <w:r>
        <w:t xml:space="preserve"> P.201</w:t>
      </w:r>
    </w:p>
  </w:footnote>
  <w:footnote w:id="30">
    <w:p w14:paraId="0FCD9FCB" w14:textId="0D12210D" w:rsidR="007E1061" w:rsidRDefault="007E1061">
      <w:pPr>
        <w:pStyle w:val="FootnoteText"/>
      </w:pPr>
      <w:r>
        <w:rPr>
          <w:rStyle w:val="FootnoteReference"/>
        </w:rPr>
        <w:footnoteRef/>
      </w:r>
      <w:r>
        <w:t xml:space="preserve"> </w:t>
      </w:r>
      <w:r>
        <w:fldChar w:fldCharType="begin"/>
      </w:r>
      <w:r>
        <w:instrText xml:space="preserve"> ADDIN ZOTERO_ITEM CSL_CITATION {"citationID":"gCgf6agj","properties":{"formattedCitation":"{\\rtf Kyoko Murakami, \\uc0\\u8216{}Materiality of Memory: The Case of the Remembrance Poppy - Oxford Scholarship\\uc0\\u8217{}, 2017 &lt;http://www.oxfordscholarship.com/view/10.1093/oso/9780190230814.001.0001/oso-9780190230814-chapter-6&gt; [accessed 11 January 2018].}","plainCitation":"Kyoko Murakami, ‘Materiality of Memory: The Case of the Remembrance Poppy - Oxford Scholarship’, 2017 &lt;http://www.oxfordscholarship.com/view/10.1093/oso/9780190230814.001.0001/oso-9780190230814-chapter-6&gt; [accessed 11 January 2018]."},"citationItems":[{"id":165,"uris":["http://zotero.org/users/local/wNuioCXQ/items/3HDFHSKV"],"uri":["http://zotero.org/users/local/wNuioCXQ/items/3HDFHSKV"],"itemData":{"id":165,"type":"webpage","title":"Materiality of Memory: The Case of the Remembrance Poppy - Oxford Scholarship","abstract":"This chapter highlights the importance of materiality in memory studies with a focus on the remembrance poppy, an artifact canonical to the practice of commemoration of war and conflict in Britain. A traditional psychological approach to studying the artifact as a decontextualized subject seems to resort to a simplistic representational model of the object. When used in an art installation in a heritage site, it creates a perceptual field of experiencing the past in an extraordinary manner. This chapter argues that when studying phenomena of collective remembering, it is important to consider the interplay between discourse, materials, body, and environment as the integrated whole. The argument is underpinned by the material view of remembering along with the concept of semiotic mediation. The analysis illustrates the significance of the artifact to the ritual performance and addresses how the artifact can create a semiotic field for meaning construction.","URL":"http://www.oxfordscholarship.com/view/10.1093/oso/9780190230814.001.0001/oso-9780190230814-chapter-6","shortTitle":"Materiality of Memory","language":"en","author":[{"family":"Murakami","given":"Kyoko"}],"issued":{"date-parts":[["2017",12,16]]},"accessed":{"date-parts":[["2018",1,11]]}}}],"schema":"https://github.com/citation-style-language/schema/raw/master/csl-citation.json"} </w:instrText>
      </w:r>
      <w:r>
        <w:fldChar w:fldCharType="separate"/>
      </w:r>
      <w:r w:rsidRPr="007E1061">
        <w:rPr>
          <w:rFonts w:ascii="Calibri" w:hAnsi="Calibri" w:cs="Calibri"/>
          <w:szCs w:val="24"/>
        </w:rPr>
        <w:t>Kyoko Murakami, ‘Materiality of Memory: The Case of the Remembrance Poppy - Oxford Scholarship’, 2017 &lt;http://www.oxfordscholarship.com/view/10.1093/oso/9780190230814.001.0001/oso-9780190230814-chapter-6&gt; [accessed 11 January 2018].</w:t>
      </w:r>
      <w:r>
        <w:fldChar w:fldCharType="end"/>
      </w:r>
    </w:p>
  </w:footnote>
  <w:footnote w:id="31">
    <w:p w14:paraId="168E3F18" w14:textId="5A7326CE" w:rsidR="001636A2" w:rsidRDefault="001636A2">
      <w:pPr>
        <w:pStyle w:val="FootnoteText"/>
      </w:pPr>
      <w:r>
        <w:rPr>
          <w:rStyle w:val="FootnoteReference"/>
        </w:rPr>
        <w:footnoteRef/>
      </w:r>
      <w:r>
        <w:t xml:space="preserve"> </w:t>
      </w:r>
      <w:r>
        <w:fldChar w:fldCharType="begin"/>
      </w:r>
      <w:r>
        <w:instrText xml:space="preserve"> ADDIN ZOTERO_ITEM CSL_CITATION {"citationID":"VnFRogyc","properties":{"formattedCitation":"Murakami.","plainCitation":"Murakami."},"citationItems":[{"id":165,"uris":["http://zotero.org/users/local/wNuioCXQ/items/3HDFHSKV"],"uri":["http://zotero.org/users/local/wNuioCXQ/items/3HDFHSKV"],"itemData":{"id":165,"type":"webpage","title":"Materiality of Memory: The Case of the Remembrance Poppy - Oxford Scholarship","abstract":"This chapter highlights the importance of materiality in memory studies with a focus on the remembrance poppy, an artifact canonical to the practice of commemoration of war and conflict in Britain. A traditional psychological approach to studying the artifact as a decontextualized subject seems to resort to a simplistic representational model of the object. When used in an art installation in a heritage site, it creates a perceptual field of experiencing the past in an extraordinary manner. This chapter argues that when studying phenomena of collective remembering, it is important to consider the interplay between discourse, materials, body, and environment as the integrated whole. The argument is underpinned by the material view of remembering along with the concept of semiotic mediation. The analysis illustrates the significance of the artifact to the ritual performance and addresses how the artifact can create a semiotic field for meaning construction.","URL":"http://www.oxfordscholarship.com/view/10.1093/oso/9780190230814.001.0001/oso-9780190230814-chapter-6","shortTitle":"Materiality of Memory","language":"en","author":[{"family":"Murakami","given":"Kyoko"}],"issued":{"date-parts":[["2017",12,16]]},"accessed":{"date-parts":[["2018",1,11]]}}}],"schema":"https://github.com/citation-style-language/schema/raw/master/csl-citation.json"} </w:instrText>
      </w:r>
      <w:r>
        <w:fldChar w:fldCharType="separate"/>
      </w:r>
      <w:r w:rsidRPr="001636A2">
        <w:rPr>
          <w:rFonts w:ascii="Calibri" w:hAnsi="Calibri" w:cs="Calibri"/>
        </w:rPr>
        <w:t>Murakami.</w:t>
      </w:r>
      <w:r>
        <w:fldChar w:fldCharType="end"/>
      </w:r>
    </w:p>
  </w:footnote>
  <w:footnote w:id="32">
    <w:p w14:paraId="19BCA630" w14:textId="2B2BDAEA" w:rsidR="00F525A2" w:rsidRDefault="00F525A2">
      <w:pPr>
        <w:pStyle w:val="FootnoteText"/>
      </w:pPr>
      <w:r>
        <w:rPr>
          <w:rStyle w:val="FootnoteReference"/>
        </w:rPr>
        <w:footnoteRef/>
      </w:r>
      <w:r>
        <w:t xml:space="preserve"> </w:t>
      </w:r>
      <w:r>
        <w:fldChar w:fldCharType="begin"/>
      </w:r>
      <w:r>
        <w:instrText xml:space="preserve"> ADDIN ZOTERO_ITEM CSL_CITATION {"citationID":"NX6TtHyb","properties":{"formattedCitation":"Murakami.","plainCitation":"Murakami."},"citationItems":[{"id":165,"uris":["http://zotero.org/users/local/wNuioCXQ/items/3HDFHSKV"],"uri":["http://zotero.org/users/local/wNuioCXQ/items/3HDFHSKV"],"itemData":{"id":165,"type":"webpage","title":"Materiality of Memory: The Case of the Remembrance Poppy - Oxford Scholarship","abstract":"This chapter highlights the importance of materiality in memory studies with a focus on the remembrance poppy, an artifact canonical to the practice of commemoration of war and conflict in Britain. A traditional psychological approach to studying the artifact as a decontextualized subject seems to resort to a simplistic representational model of the object. When used in an art installation in a heritage site, it creates a perceptual field of experiencing the past in an extraordinary manner. This chapter argues that when studying phenomena of collective remembering, it is important to consider the interplay between discourse, materials, body, and environment as the integrated whole. The argument is underpinned by the material view of remembering along with the concept of semiotic mediation. The analysis illustrates the significance of the artifact to the ritual performance and addresses how the artifact can create a semiotic field for meaning construction.","URL":"http://www.oxfordscholarship.com/view/10.1093/oso/9780190230814.001.0001/oso-9780190230814-chapter-6","shortTitle":"Materiality of Memory","language":"en","author":[{"family":"Murakami","given":"Kyoko"}],"issued":{"date-parts":[["2017",12,16]]},"accessed":{"date-parts":[["2018",1,11]]}}}],"schema":"https://github.com/citation-style-language/schema/raw/master/csl-citation.json"} </w:instrText>
      </w:r>
      <w:r>
        <w:fldChar w:fldCharType="separate"/>
      </w:r>
      <w:r w:rsidRPr="00F525A2">
        <w:rPr>
          <w:rFonts w:ascii="Calibri" w:hAnsi="Calibri" w:cs="Calibri"/>
        </w:rPr>
        <w:t>Murakami.</w:t>
      </w:r>
      <w:r>
        <w:fldChar w:fldCharType="end"/>
      </w:r>
    </w:p>
  </w:footnote>
  <w:footnote w:id="33">
    <w:p w14:paraId="1E3F6CC1" w14:textId="6441E880" w:rsidR="004D035C" w:rsidRDefault="004D035C">
      <w:pPr>
        <w:pStyle w:val="FootnoteText"/>
      </w:pPr>
      <w:r>
        <w:rPr>
          <w:rStyle w:val="FootnoteReference"/>
        </w:rPr>
        <w:footnoteRef/>
      </w:r>
      <w:r>
        <w:t xml:space="preserve"> </w:t>
      </w:r>
      <w:r>
        <w:fldChar w:fldCharType="begin"/>
      </w:r>
      <w:r>
        <w:instrText xml:space="preserve"> ADDIN ZOTERO_ITEM CSL_CITATION {"citationID":"CRh5Pk79","properties":{"formattedCitation":"Murakami.","plainCitation":"Murakami."},"citationItems":[{"id":165,"uris":["http://zotero.org/users/local/wNuioCXQ/items/3HDFHSKV"],"uri":["http://zotero.org/users/local/wNuioCXQ/items/3HDFHSKV"],"itemData":{"id":165,"type":"webpage","title":"Materiality of Memory: The Case of the Remembrance Poppy - Oxford Scholarship","abstract":"This chapter highlights the importance of materiality in memory studies with a focus on the remembrance poppy, an artifact canonical to the practice of commemoration of war and conflict in Britain. A traditional psychological approach to studying the artifact as a decontextualized subject seems to resort to a simplistic representational model of the object. When used in an art installation in a heritage site, it creates a perceptual field of experiencing the past in an extraordinary manner. This chapter argues that when studying phenomena of collective remembering, it is important to consider the interplay between discourse, materials, body, and environment as the integrated whole. The argument is underpinned by the material view of remembering along with the concept of semiotic mediation. The analysis illustrates the significance of the artifact to the ritual performance and addresses how the artifact can create a semiotic field for meaning construction.","URL":"http://www.oxfordscholarship.com/view/10.1093/oso/9780190230814.001.0001/oso-9780190230814-chapter-6","shortTitle":"Materiality of Memory","language":"en","author":[{"family":"Murakami","given":"Kyoko"}],"issued":{"date-parts":[["2017",12,16]]},"accessed":{"date-parts":[["2018",1,11]]}}}],"schema":"https://github.com/citation-style-language/schema/raw/master/csl-citation.json"} </w:instrText>
      </w:r>
      <w:r>
        <w:fldChar w:fldCharType="separate"/>
      </w:r>
      <w:r w:rsidRPr="004D035C">
        <w:rPr>
          <w:rFonts w:ascii="Calibri" w:hAnsi="Calibri" w:cs="Calibri"/>
        </w:rPr>
        <w:t>Murakami.</w:t>
      </w:r>
      <w:r>
        <w:fldChar w:fldCharType="end"/>
      </w:r>
    </w:p>
  </w:footnote>
  <w:footnote w:id="34">
    <w:p w14:paraId="19DDCC6A" w14:textId="6F7E82F7" w:rsidR="000C70AC" w:rsidRDefault="000C70AC">
      <w:pPr>
        <w:pStyle w:val="FootnoteText"/>
      </w:pPr>
      <w:r>
        <w:rPr>
          <w:rStyle w:val="FootnoteReference"/>
        </w:rPr>
        <w:footnoteRef/>
      </w:r>
      <w:r>
        <w:t xml:space="preserve"> </w:t>
      </w:r>
      <w:r>
        <w:fldChar w:fldCharType="begin"/>
      </w:r>
      <w:r>
        <w:instrText xml:space="preserve"> ADDIN ZOTERO_ITEM CSL_CITATION {"citationID":"TMAxqZAf","properties":{"formattedCitation":"Murakami.","plainCitation":"Murakami."},"citationItems":[{"id":165,"uris":["http://zotero.org/users/local/wNuioCXQ/items/3HDFHSKV"],"uri":["http://zotero.org/users/local/wNuioCXQ/items/3HDFHSKV"],"itemData":{"id":165,"type":"webpage","title":"Materiality of Memory: The Case of the Remembrance Poppy - Oxford Scholarship","abstract":"This chapter highlights the importance of materiality in memory studies with a focus on the remembrance poppy, an artifact canonical to the practice of commemoration of war and conflict in Britain. A traditional psychological approach to studying the artifact as a decontextualized subject seems to resort to a simplistic representational model of the object. When used in an art installation in a heritage site, it creates a perceptual field of experiencing the past in an extraordinary manner. This chapter argues that when studying phenomena of collective remembering, it is important to consider the interplay between discourse, materials, body, and environment as the integrated whole. The argument is underpinned by the material view of remembering along with the concept of semiotic mediation. The analysis illustrates the significance of the artifact to the ritual performance and addresses how the artifact can create a semiotic field for meaning construction.","URL":"http://www.oxfordscholarship.com/view/10.1093/oso/9780190230814.001.0001/oso-9780190230814-chapter-6","shortTitle":"Materiality of Memory","language":"en","author":[{"family":"Murakami","given":"Kyoko"}],"issued":{"date-parts":[["2017",12,16]]},"accessed":{"date-parts":[["2018",1,11]]}}}],"schema":"https://github.com/citation-style-language/schema/raw/master/csl-citation.json"} </w:instrText>
      </w:r>
      <w:r>
        <w:fldChar w:fldCharType="separate"/>
      </w:r>
      <w:r w:rsidRPr="000C70AC">
        <w:rPr>
          <w:rFonts w:ascii="Calibri" w:hAnsi="Calibri" w:cs="Calibri"/>
        </w:rPr>
        <w:t>Murakami.</w:t>
      </w:r>
      <w:r>
        <w:fldChar w:fldCharType="end"/>
      </w:r>
    </w:p>
  </w:footnote>
  <w:footnote w:id="35">
    <w:p w14:paraId="39E1C61D" w14:textId="2AC41FCA" w:rsidR="003F56C3" w:rsidRDefault="003F56C3">
      <w:pPr>
        <w:pStyle w:val="FootnoteText"/>
      </w:pPr>
      <w:r>
        <w:rPr>
          <w:rStyle w:val="FootnoteReference"/>
        </w:rPr>
        <w:footnoteRef/>
      </w:r>
      <w:r>
        <w:t xml:space="preserve"> </w:t>
      </w:r>
      <w:r>
        <w:fldChar w:fldCharType="begin"/>
      </w:r>
      <w:r>
        <w:instrText xml:space="preserve"> ADDIN ZOTERO_ITEM CSL_CITATION {"citationID":"k20q8v5B","properties":{"formattedCitation":"{\\rtf \\uc0\\u8216{}Veterans Minister Visits Poppy Factory - GOV.UK\\uc0\\u8217{} &lt;https://www.gov.uk/government/news/veterans-minister-visits-poppy-factory&gt; [accessed 12 January 2018].}","plainCitation":"‘Veterans Minister Visits Poppy Factory - GOV.UK’ &lt;https://www.gov.uk/government/news/veterans-minister-visits-poppy-factory&gt; [accessed 12 January 2018]."},"citationItems":[{"id":177,"uris":["http://zotero.org/users/local/wNuioCXQ/items/NZEFRGW6"],"uri":["http://zotero.org/users/local/wNuioCXQ/items/NZEFRGW6"],"itemData":{"id":177,"type":"webpage","title":"Veterans Minister visits Poppy Factory - GOV.UK","abstract":"The Minister for Defence Personnel, Welfare and Veterans, Andrew Robathan, has visited a charity helping to get wounded, injured and sick veterans into work.","URL":"https://www.gov.uk/government/news/veterans-minister-visits-poppy-factory","language":"en","accessed":{"date-parts":[["2018",1,12]]}}}],"schema":"https://github.com/citation-style-language/schema/raw/master/csl-citation.json"} </w:instrText>
      </w:r>
      <w:r>
        <w:fldChar w:fldCharType="separate"/>
      </w:r>
      <w:r w:rsidRPr="003F56C3">
        <w:rPr>
          <w:rFonts w:ascii="Calibri" w:hAnsi="Calibri" w:cs="Calibri"/>
          <w:szCs w:val="24"/>
        </w:rPr>
        <w:t>‘Veterans Minister Visits Poppy Factory - GOV.UK’ &lt;https://www.gov.uk/government/news/veterans-minister-visits-poppy-factory&gt; [accessed 12 January 2018].</w:t>
      </w:r>
      <w:r>
        <w:fldChar w:fldCharType="end"/>
      </w:r>
    </w:p>
  </w:footnote>
  <w:footnote w:id="36">
    <w:p w14:paraId="0B3ECFB2" w14:textId="4C22A4FF" w:rsidR="006A7C6F" w:rsidRDefault="006A7C6F">
      <w:pPr>
        <w:pStyle w:val="FootnoteText"/>
      </w:pPr>
      <w:r>
        <w:rPr>
          <w:rStyle w:val="FootnoteReference"/>
        </w:rPr>
        <w:footnoteRef/>
      </w:r>
      <w:r>
        <w:t xml:space="preserve"> </w:t>
      </w:r>
      <w:r>
        <w:fldChar w:fldCharType="begin"/>
      </w:r>
      <w:r w:rsidR="008837A2">
        <w:instrText xml:space="preserve"> ADDIN ZOTERO_ITEM CSL_CITATION {"citationID":"12NKnQpQ","properties":{"formattedCitation":"{\\rtf {\\i{}Letter to an Unknown Soldier}, ed. by Neil Bartlett and Kate Pullinger, 1st edn (London: Harper Collins Publishers, 2014).}","plainCitation":"Letter to an Unknown Soldier, ed. by Neil Bartlett and Kate Pullinger, 1st edn (London: Harper Collins Publishers, 2014)."},"citationItems":[{"id":161,"uris":["http://zotero.org/users/local/wNuioCXQ/items/9PE2KS6S"],"uri":["http://zotero.org/users/local/wNuioCXQ/items/9PE2KS6S"],"itemData":{"id":161,"type":"book","title":"Letter to an Unknown Soldier","publisher":"Harper Collins Publishers","publisher-place":"London","edition":"1st","event-place":"London","editor":[{"family":"Bartlett","given":"Neil"},{"family":"Pullinger","given":"Kate"}],"issued":{"date-parts":[["2014"]]}}}],"schema":"https://github.com/citation-style-language/schema/raw/master/csl-citation.json"} </w:instrText>
      </w:r>
      <w:r>
        <w:fldChar w:fldCharType="separate"/>
      </w:r>
      <w:r w:rsidR="008837A2" w:rsidRPr="008837A2">
        <w:rPr>
          <w:rFonts w:ascii="Calibri" w:hAnsi="Calibri" w:cs="Calibri"/>
          <w:i/>
          <w:iCs/>
          <w:szCs w:val="24"/>
        </w:rPr>
        <w:t>Letter to an Unknown Soldier</w:t>
      </w:r>
      <w:r w:rsidR="008837A2" w:rsidRPr="008837A2">
        <w:rPr>
          <w:rFonts w:ascii="Calibri" w:hAnsi="Calibri" w:cs="Calibri"/>
          <w:szCs w:val="24"/>
        </w:rPr>
        <w:t>, ed. by Neil Bartlett and Kate Pullinger, 1st edn (London: Harper Collins Publishers, 2014).</w:t>
      </w:r>
      <w:r>
        <w:fldChar w:fldCharType="end"/>
      </w:r>
    </w:p>
  </w:footnote>
  <w:footnote w:id="37">
    <w:p w14:paraId="7ACB71A4" w14:textId="3E4A716A" w:rsidR="00F853F0" w:rsidRDefault="00F853F0">
      <w:pPr>
        <w:pStyle w:val="FootnoteText"/>
      </w:pPr>
      <w:r>
        <w:rPr>
          <w:rStyle w:val="FootnoteReference"/>
        </w:rPr>
        <w:footnoteRef/>
      </w:r>
      <w:r>
        <w:t xml:space="preserve"> </w:t>
      </w:r>
      <w:r>
        <w:fldChar w:fldCharType="begin"/>
      </w:r>
      <w:r>
        <w:instrText xml:space="preserve"> ADDIN ZOTERO_ITEM CSL_CITATION {"citationID":"YLIs4iDX","properties":{"formattedCitation":"Bartlett and Pullinger.","plainCitation":"Bartlett and Pullinger."},"citationItems":[{"id":161,"uris":["http://zotero.org/users/local/wNuioCXQ/items/9PE2KS6S"],"uri":["http://zotero.org/users/local/wNuioCXQ/items/9PE2KS6S"],"itemData":{"id":161,"type":"book","title":"Letter to an Unknown Soldier","publisher":"Harper Collins Publishers","publisher-place":"London","edition":"1st","event-place":"London","editor":[{"family":"Bartlett","given":"Neil"},{"family":"Pullinger","given":"Kate"}],"issued":{"date-parts":[["2014"]]}}}],"schema":"https://github.com/citation-style-language/schema/raw/master/csl-citation.json"} </w:instrText>
      </w:r>
      <w:r>
        <w:fldChar w:fldCharType="separate"/>
      </w:r>
      <w:r w:rsidRPr="00F853F0">
        <w:rPr>
          <w:rFonts w:ascii="Calibri" w:hAnsi="Calibri" w:cs="Calibri"/>
        </w:rPr>
        <w:t xml:space="preserve">Bartlett and </w:t>
      </w:r>
      <w:proofErr w:type="spellStart"/>
      <w:r w:rsidRPr="00F853F0">
        <w:rPr>
          <w:rFonts w:ascii="Calibri" w:hAnsi="Calibri" w:cs="Calibri"/>
        </w:rPr>
        <w:t>Pullinger</w:t>
      </w:r>
      <w:proofErr w:type="spellEnd"/>
      <w:r w:rsidRPr="00F853F0">
        <w:rPr>
          <w:rFonts w:ascii="Calibri" w:hAnsi="Calibri" w:cs="Calibri"/>
        </w:rPr>
        <w:t>.</w:t>
      </w:r>
      <w:r>
        <w:fldChar w:fldCharType="end"/>
      </w:r>
    </w:p>
  </w:footnote>
  <w:footnote w:id="38">
    <w:p w14:paraId="45202C7D" w14:textId="4D4BB426" w:rsidR="00C8365D" w:rsidRDefault="00C8365D">
      <w:pPr>
        <w:pStyle w:val="FootnoteText"/>
      </w:pPr>
      <w:r>
        <w:rPr>
          <w:rStyle w:val="FootnoteReference"/>
        </w:rPr>
        <w:footnoteRef/>
      </w:r>
      <w:r>
        <w:t xml:space="preserve"> </w:t>
      </w:r>
      <w:r>
        <w:fldChar w:fldCharType="begin"/>
      </w:r>
      <w:r>
        <w:instrText xml:space="preserve"> ADDIN ZOTERO_ITEM CSL_CITATION {"citationID":"BOZsR6Jz","properties":{"formattedCitation":"Bartlett and Pullinger.","plainCitation":"Bartlett and Pullinger."},"citationItems":[{"id":161,"uris":["http://zotero.org/users/local/wNuioCXQ/items/9PE2KS6S"],"uri":["http://zotero.org/users/local/wNuioCXQ/items/9PE2KS6S"],"itemData":{"id":161,"type":"book","title":"Letter to an Unknown Soldier","publisher":"Harper Collins Publishers","publisher-place":"London","edition":"1st","event-place":"London","editor":[{"family":"Bartlett","given":"Neil"},{"family":"Pullinger","given":"Kate"}],"issued":{"date-parts":[["2014"]]}}}],"schema":"https://github.com/citation-style-language/schema/raw/master/csl-citation.json"} </w:instrText>
      </w:r>
      <w:r>
        <w:fldChar w:fldCharType="separate"/>
      </w:r>
      <w:r w:rsidRPr="00C8365D">
        <w:rPr>
          <w:rFonts w:ascii="Calibri" w:hAnsi="Calibri" w:cs="Calibri"/>
        </w:rPr>
        <w:t xml:space="preserve">Bartlett and </w:t>
      </w:r>
      <w:proofErr w:type="spellStart"/>
      <w:r w:rsidRPr="00C8365D">
        <w:rPr>
          <w:rFonts w:ascii="Calibri" w:hAnsi="Calibri" w:cs="Calibri"/>
        </w:rPr>
        <w:t>Pullinger</w:t>
      </w:r>
      <w:proofErr w:type="spellEnd"/>
      <w:r w:rsidRPr="00C8365D">
        <w:rPr>
          <w:rFonts w:ascii="Calibri" w:hAnsi="Calibri" w:cs="Calibri"/>
        </w:rPr>
        <w:t>.</w:t>
      </w:r>
      <w:r>
        <w:fldChar w:fldCharType="end"/>
      </w:r>
    </w:p>
  </w:footnote>
  <w:footnote w:id="39">
    <w:p w14:paraId="575943BB" w14:textId="0B248974" w:rsidR="00C8365D" w:rsidRDefault="00C8365D">
      <w:pPr>
        <w:pStyle w:val="FootnoteText"/>
      </w:pPr>
      <w:r>
        <w:rPr>
          <w:rStyle w:val="FootnoteReference"/>
        </w:rPr>
        <w:footnoteRef/>
      </w:r>
      <w:r>
        <w:t xml:space="preserve"> </w:t>
      </w:r>
      <w:r>
        <w:fldChar w:fldCharType="begin"/>
      </w:r>
      <w:r>
        <w:instrText xml:space="preserve"> ADDIN ZOTERO_ITEM CSL_CITATION {"citationID":"1fzsmETS","properties":{"formattedCitation":"Bartlett and Pullinger.","plainCitation":"Bartlett and Pullinger."},"citationItems":[{"id":161,"uris":["http://zotero.org/users/local/wNuioCXQ/items/9PE2KS6S"],"uri":["http://zotero.org/users/local/wNuioCXQ/items/9PE2KS6S"],"itemData":{"id":161,"type":"book","title":"Letter to an Unknown Soldier","publisher":"Harper Collins Publishers","publisher-place":"London","edition":"1st","event-place":"London","editor":[{"family":"Bartlett","given":"Neil"},{"family":"Pullinger","given":"Kate"}],"issued":{"date-parts":[["2014"]]}}}],"schema":"https://github.com/citation-style-language/schema/raw/master/csl-citation.json"} </w:instrText>
      </w:r>
      <w:r>
        <w:fldChar w:fldCharType="separate"/>
      </w:r>
      <w:r w:rsidRPr="00C8365D">
        <w:rPr>
          <w:rFonts w:ascii="Calibri" w:hAnsi="Calibri" w:cs="Calibri"/>
        </w:rPr>
        <w:t xml:space="preserve">Bartlett and </w:t>
      </w:r>
      <w:proofErr w:type="spellStart"/>
      <w:r w:rsidRPr="00C8365D">
        <w:rPr>
          <w:rFonts w:ascii="Calibri" w:hAnsi="Calibri" w:cs="Calibri"/>
        </w:rPr>
        <w:t>Pullinger</w:t>
      </w:r>
      <w:proofErr w:type="spellEnd"/>
      <w:r w:rsidRPr="00C8365D">
        <w:rPr>
          <w:rFonts w:ascii="Calibri" w:hAnsi="Calibri" w:cs="Calibri"/>
        </w:rPr>
        <w:t>.</w:t>
      </w:r>
      <w:r>
        <w:fldChar w:fldCharType="end"/>
      </w:r>
    </w:p>
  </w:footnote>
  <w:footnote w:id="40">
    <w:p w14:paraId="47BED4D9" w14:textId="01FECD69" w:rsidR="00A8388F" w:rsidRDefault="00A8388F">
      <w:pPr>
        <w:pStyle w:val="FootnoteText"/>
      </w:pPr>
      <w:r>
        <w:rPr>
          <w:rStyle w:val="FootnoteReference"/>
        </w:rPr>
        <w:footnoteRef/>
      </w:r>
      <w:r>
        <w:t xml:space="preserve"> </w:t>
      </w:r>
      <w:r>
        <w:fldChar w:fldCharType="begin"/>
      </w:r>
      <w:r>
        <w:instrText xml:space="preserve"> ADDIN ZOTERO_ITEM CSL_CITATION {"citationID":"Dy2vjXhX","properties":{"formattedCitation":"{\\rtf Helen B. McCartney, \\uc0\\u8216{}The First World War Soldier and His Contemporary Image in Britain\\uc0\\u8217{}, {\\i{}International Affairs}, 90.2 (2014), 299\\uc0\\u8211{}315 &lt;https://doi.org/10.1111/1468-2346.12110&gt;.}","plainCitation":"Helen B. McCartney, ‘The First World War Soldier and His Contemporary Image in Britain’, International Affairs, 90.2 (2014), 299–315 &lt;https://doi.org/10.1111/1468-2346.12110&gt;."},"citationItems":[{"id":2,"uris":["http://zotero.org/users/local/wNuioCXQ/items/LSEB2J8W"],"uri":["http://zotero.org/users/local/wNuioCXQ/items/LSEB2J8W"],"itemData":{"id":2,"type":"article-journal","title":"The First World War soldier and his contemporary image in Britain","container-title":"International Affairs","page":"299-315","volume":"90","issue":"2","source":"Wiley Online Library","abstract":"The image of the First World War soldier as a cowed victim, caught in the grip of a meaningless, industrialized war, is one that has become entrenched in the British popular imagination. It was not, however, the image that dominated public discussion of the soldier between 1914 and 1918. This article seeks to examine how the portrayal of the soldier changed during and after the First World War and proposes that the victimized soldier motif has been reinforced today by the coalescence of three trends. The first is the growth of the family history industry that encourages an individualized and empathetic approach to the First World War. The second trend is concerned with an increasing public interest in psychological reactions to war. Since the Vietnam War, there has been a growing expectation that soldiers will be psychologically damaged by wartime experience. This has influenced the public perception of the First World War soldier, affecting, in particular, the discussion surrounding those executed for military crimes during the conflict. Finally, the article argues that long-term changes in British attitudes to the use of force, coupled with the experience of recent conflicts in Iraq and Afghanistan, have also coloured the way in which the First World War is portrayed. A range of interest groups have cast the contemporary British soldier as a victim in recent years and the article argues that the explicit linking of operations in Afghanistan and Iraq with the First World War has reinforced this victim image for each conflict.","DOI":"10.1111/1468-2346.12110","ISSN":"1468-2346","journalAbbreviation":"International Affairs","language":"en","author":[{"family":"McCartney","given":"Helen B."}],"issued":{"date-parts":[["2014",3,1]]}}}],"schema":"https://github.com/citation-style-language/schema/raw/master/csl-citation.json"} </w:instrText>
      </w:r>
      <w:r>
        <w:fldChar w:fldCharType="separate"/>
      </w:r>
      <w:r w:rsidRPr="00A8388F">
        <w:rPr>
          <w:rFonts w:ascii="Calibri" w:hAnsi="Calibri" w:cs="Calibri"/>
          <w:szCs w:val="24"/>
        </w:rPr>
        <w:t xml:space="preserve">Helen B. McCartney, ‘The First World War Soldier and His Contemporary Image in Britain’, </w:t>
      </w:r>
      <w:r w:rsidRPr="00A8388F">
        <w:rPr>
          <w:rFonts w:ascii="Calibri" w:hAnsi="Calibri" w:cs="Calibri"/>
          <w:i/>
          <w:iCs/>
          <w:szCs w:val="24"/>
        </w:rPr>
        <w:t>International Affairs</w:t>
      </w:r>
      <w:r w:rsidRPr="00A8388F">
        <w:rPr>
          <w:rFonts w:ascii="Calibri" w:hAnsi="Calibri" w:cs="Calibri"/>
          <w:szCs w:val="24"/>
        </w:rPr>
        <w:t>, 90.2 (2014), 299–315 &lt;https://doi.org/10.1111/1468-2346.12110&gt;.</w:t>
      </w:r>
      <w:r>
        <w:fldChar w:fldCharType="end"/>
      </w:r>
    </w:p>
  </w:footnote>
  <w:footnote w:id="41">
    <w:p w14:paraId="4F508020" w14:textId="7674FDC5" w:rsidR="00A8388F" w:rsidRDefault="00A8388F">
      <w:pPr>
        <w:pStyle w:val="FootnoteText"/>
      </w:pPr>
      <w:r>
        <w:rPr>
          <w:rStyle w:val="FootnoteReference"/>
        </w:rPr>
        <w:footnoteRef/>
      </w:r>
      <w:r>
        <w:t xml:space="preserve"> </w:t>
      </w:r>
      <w:r>
        <w:fldChar w:fldCharType="begin"/>
      </w:r>
      <w:r>
        <w:instrText xml:space="preserve"> ADDIN ZOTERO_ITEM CSL_CITATION {"citationID":"Vrm6JQXS","properties":{"formattedCitation":"McCartney.","plainCitation":"McCartney."},"citationItems":[{"id":2,"uris":["http://zotero.org/users/local/wNuioCXQ/items/LSEB2J8W"],"uri":["http://zotero.org/users/local/wNuioCXQ/items/LSEB2J8W"],"itemData":{"id":2,"type":"article-journal","title":"The First World War soldier and his contemporary image in Britain","container-title":"International Affairs","page":"299-315","volume":"90","issue":"2","source":"Wiley Online Library","abstract":"The image of the First World War soldier as a cowed victim, caught in the grip of a meaningless, industrialized war, is one that has become entrenched in the British popular imagination. It was not, however, the image that dominated public discussion of the soldier between 1914 and 1918. This article seeks to examine how the portrayal of the soldier changed during and after the First World War and proposes that the victimized soldier motif has been reinforced today by the coalescence of three trends. The first is the growth of the family history industry that encourages an individualized and empathetic approach to the First World War. The second trend is concerned with an increasing public interest in psychological reactions to war. Since the Vietnam War, there has been a growing expectation that soldiers will be psychologically damaged by wartime experience. This has influenced the public perception of the First World War soldier, affecting, in particular, the discussion surrounding those executed for military crimes during the conflict. Finally, the article argues that long-term changes in British attitudes to the use of force, coupled with the experience of recent conflicts in Iraq and Afghanistan, have also coloured the way in which the First World War is portrayed. A range of interest groups have cast the contemporary British soldier as a victim in recent years and the article argues that the explicit linking of operations in Afghanistan and Iraq with the First World War has reinforced this victim image for each conflict.","DOI":"10.1111/1468-2346.12110","ISSN":"1468-2346","journalAbbreviation":"International Affairs","language":"en","author":[{"family":"McCartney","given":"Helen B."}],"issued":{"date-parts":[["2014",3,1]]}}}],"schema":"https://github.com/citation-style-language/schema/raw/master/csl-citation.json"} </w:instrText>
      </w:r>
      <w:r>
        <w:fldChar w:fldCharType="separate"/>
      </w:r>
      <w:r w:rsidRPr="00A8388F">
        <w:rPr>
          <w:rFonts w:ascii="Calibri" w:hAnsi="Calibri" w:cs="Calibri"/>
        </w:rPr>
        <w:t>McCartney.</w:t>
      </w:r>
      <w:r>
        <w:fldChar w:fldCharType="end"/>
      </w:r>
    </w:p>
  </w:footnote>
  <w:footnote w:id="42">
    <w:p w14:paraId="0424E88D" w14:textId="69D116E3" w:rsidR="00876131" w:rsidRDefault="00876131">
      <w:pPr>
        <w:pStyle w:val="FootnoteText"/>
      </w:pPr>
      <w:r>
        <w:rPr>
          <w:rStyle w:val="FootnoteReference"/>
        </w:rPr>
        <w:footnoteRef/>
      </w:r>
      <w:r>
        <w:t xml:space="preserve"> </w:t>
      </w:r>
      <w:r>
        <w:fldChar w:fldCharType="begin"/>
      </w:r>
      <w:r>
        <w:instrText xml:space="preserve"> ADDIN ZOTERO_ITEM CSL_CITATION {"citationID":"6ahnrXpR","properties":{"formattedCitation":"{\\rtf Michael Rothberg, {\\i{}Multidirectional Memory: Remembering the Holocaust in the Age of Decolonization (Cultureal Memory in the Present)} (California: Stanford University Press, 2009).}","plainCitation":"Michael Rothberg, Multidirectional Memory: Remembering the Holocaust in the Age of Decolonization (Cultureal Memory in the Present) (California: Stanford University Press, 2009)."},"citationItems":[{"id":16,"uris":["http://zotero.org/users/local/wNuioCXQ/items/SMBN6UPD"],"uri":["http://zotero.org/users/local/wNuioCXQ/items/SMBN6UPD"],"itemData":{"id":16,"type":"book","title":"Multidirectional Memory: Remembering the Holocaust in the Age of Decolonization (Cultureal Memory in the Present)","publisher":"Stanford University Press","publisher-place":"California","event-place":"California","author":[{"family":"Rothberg","given":"Michael"}],"issued":{"date-parts":[["2009"]]}}}],"schema":"https://github.com/citation-style-language/schema/raw/master/csl-citation.json"} </w:instrText>
      </w:r>
      <w:r>
        <w:fldChar w:fldCharType="separate"/>
      </w:r>
      <w:r w:rsidRPr="00876131">
        <w:rPr>
          <w:rFonts w:ascii="Calibri" w:hAnsi="Calibri" w:cs="Calibri"/>
          <w:szCs w:val="24"/>
        </w:rPr>
        <w:t xml:space="preserve">Michael Rothberg, </w:t>
      </w:r>
      <w:r w:rsidRPr="00876131">
        <w:rPr>
          <w:rFonts w:ascii="Calibri" w:hAnsi="Calibri" w:cs="Calibri"/>
          <w:i/>
          <w:iCs/>
          <w:szCs w:val="24"/>
        </w:rPr>
        <w:t>Multidirectional Memory: Remembering the Holocaust in the Age of Decolonization (</w:t>
      </w:r>
      <w:proofErr w:type="spellStart"/>
      <w:r w:rsidRPr="00876131">
        <w:rPr>
          <w:rFonts w:ascii="Calibri" w:hAnsi="Calibri" w:cs="Calibri"/>
          <w:i/>
          <w:iCs/>
          <w:szCs w:val="24"/>
        </w:rPr>
        <w:t>Cultureal</w:t>
      </w:r>
      <w:proofErr w:type="spellEnd"/>
      <w:r w:rsidRPr="00876131">
        <w:rPr>
          <w:rFonts w:ascii="Calibri" w:hAnsi="Calibri" w:cs="Calibri"/>
          <w:i/>
          <w:iCs/>
          <w:szCs w:val="24"/>
        </w:rPr>
        <w:t xml:space="preserve"> Memory in the Present)</w:t>
      </w:r>
      <w:r w:rsidRPr="00876131">
        <w:rPr>
          <w:rFonts w:ascii="Calibri" w:hAnsi="Calibri" w:cs="Calibri"/>
          <w:szCs w:val="24"/>
        </w:rPr>
        <w:t xml:space="preserve"> (California: Stanford University Press, 2009).</w:t>
      </w:r>
      <w:r>
        <w:fldChar w:fldCharType="end"/>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tbQEYkMDCwtjIyBXSUcpOLW4ODM/D6TApBYAkv6xKCwAAAA="/>
  </w:docVars>
  <w:rsids>
    <w:rsidRoot w:val="009F1D44"/>
    <w:rsid w:val="000410DF"/>
    <w:rsid w:val="0004334B"/>
    <w:rsid w:val="00043D23"/>
    <w:rsid w:val="00045758"/>
    <w:rsid w:val="000653FF"/>
    <w:rsid w:val="00082C8D"/>
    <w:rsid w:val="000C442C"/>
    <w:rsid w:val="000C70AC"/>
    <w:rsid w:val="000E7E42"/>
    <w:rsid w:val="000F029C"/>
    <w:rsid w:val="000F5522"/>
    <w:rsid w:val="00100DE4"/>
    <w:rsid w:val="00120FD1"/>
    <w:rsid w:val="00121F6D"/>
    <w:rsid w:val="001356FD"/>
    <w:rsid w:val="00137E3B"/>
    <w:rsid w:val="0014294D"/>
    <w:rsid w:val="00145DCE"/>
    <w:rsid w:val="00157BAA"/>
    <w:rsid w:val="001636A2"/>
    <w:rsid w:val="00165884"/>
    <w:rsid w:val="001707A1"/>
    <w:rsid w:val="001951D4"/>
    <w:rsid w:val="001B569D"/>
    <w:rsid w:val="001C502D"/>
    <w:rsid w:val="001D5A18"/>
    <w:rsid w:val="001D7B3F"/>
    <w:rsid w:val="002079C2"/>
    <w:rsid w:val="00217FEE"/>
    <w:rsid w:val="002255F9"/>
    <w:rsid w:val="00286ACD"/>
    <w:rsid w:val="00290FA0"/>
    <w:rsid w:val="00295B47"/>
    <w:rsid w:val="002A6BF4"/>
    <w:rsid w:val="002B0FBF"/>
    <w:rsid w:val="002B7B0D"/>
    <w:rsid w:val="002C5830"/>
    <w:rsid w:val="002D461A"/>
    <w:rsid w:val="002D4A88"/>
    <w:rsid w:val="00313B7B"/>
    <w:rsid w:val="00337EF6"/>
    <w:rsid w:val="00342F9F"/>
    <w:rsid w:val="0034371F"/>
    <w:rsid w:val="003525C8"/>
    <w:rsid w:val="00367050"/>
    <w:rsid w:val="00376CBB"/>
    <w:rsid w:val="003825DF"/>
    <w:rsid w:val="00384391"/>
    <w:rsid w:val="003A201E"/>
    <w:rsid w:val="003A3347"/>
    <w:rsid w:val="003D52A9"/>
    <w:rsid w:val="003E5C2D"/>
    <w:rsid w:val="003F0BD3"/>
    <w:rsid w:val="003F2817"/>
    <w:rsid w:val="003F56C3"/>
    <w:rsid w:val="00434771"/>
    <w:rsid w:val="00434953"/>
    <w:rsid w:val="00466921"/>
    <w:rsid w:val="004768F0"/>
    <w:rsid w:val="00476A65"/>
    <w:rsid w:val="004A0EDD"/>
    <w:rsid w:val="004D035C"/>
    <w:rsid w:val="004D401C"/>
    <w:rsid w:val="004D67A1"/>
    <w:rsid w:val="004E04D6"/>
    <w:rsid w:val="004E7C7F"/>
    <w:rsid w:val="0054173E"/>
    <w:rsid w:val="005528C0"/>
    <w:rsid w:val="0057149F"/>
    <w:rsid w:val="00571750"/>
    <w:rsid w:val="00577C2E"/>
    <w:rsid w:val="00581131"/>
    <w:rsid w:val="005A6F03"/>
    <w:rsid w:val="005B329F"/>
    <w:rsid w:val="005B681C"/>
    <w:rsid w:val="005D704B"/>
    <w:rsid w:val="005D7E16"/>
    <w:rsid w:val="005E0C3B"/>
    <w:rsid w:val="005E7B78"/>
    <w:rsid w:val="0060422A"/>
    <w:rsid w:val="006155F6"/>
    <w:rsid w:val="00622D76"/>
    <w:rsid w:val="00641FC6"/>
    <w:rsid w:val="00646A2B"/>
    <w:rsid w:val="00652A54"/>
    <w:rsid w:val="0065324C"/>
    <w:rsid w:val="00685499"/>
    <w:rsid w:val="00690F64"/>
    <w:rsid w:val="006A118C"/>
    <w:rsid w:val="006A306F"/>
    <w:rsid w:val="006A50DE"/>
    <w:rsid w:val="006A7C6F"/>
    <w:rsid w:val="006B6938"/>
    <w:rsid w:val="006C6525"/>
    <w:rsid w:val="006E45FC"/>
    <w:rsid w:val="006F677F"/>
    <w:rsid w:val="00702053"/>
    <w:rsid w:val="00703755"/>
    <w:rsid w:val="00706670"/>
    <w:rsid w:val="00717B0B"/>
    <w:rsid w:val="007206C9"/>
    <w:rsid w:val="00753221"/>
    <w:rsid w:val="00753E4A"/>
    <w:rsid w:val="00756DC8"/>
    <w:rsid w:val="00772602"/>
    <w:rsid w:val="00784F3A"/>
    <w:rsid w:val="007C2E23"/>
    <w:rsid w:val="007E1061"/>
    <w:rsid w:val="007E13A9"/>
    <w:rsid w:val="007F35C7"/>
    <w:rsid w:val="008250C5"/>
    <w:rsid w:val="0083420A"/>
    <w:rsid w:val="00845FCE"/>
    <w:rsid w:val="00850A84"/>
    <w:rsid w:val="00853D23"/>
    <w:rsid w:val="00862DE8"/>
    <w:rsid w:val="008646A9"/>
    <w:rsid w:val="00876131"/>
    <w:rsid w:val="008837A2"/>
    <w:rsid w:val="00890781"/>
    <w:rsid w:val="00895306"/>
    <w:rsid w:val="008A25E9"/>
    <w:rsid w:val="008A786A"/>
    <w:rsid w:val="008B2225"/>
    <w:rsid w:val="008B4E17"/>
    <w:rsid w:val="008E02E3"/>
    <w:rsid w:val="0090260F"/>
    <w:rsid w:val="00905B1D"/>
    <w:rsid w:val="00906112"/>
    <w:rsid w:val="00923DFC"/>
    <w:rsid w:val="00931C96"/>
    <w:rsid w:val="00972A6F"/>
    <w:rsid w:val="00973F60"/>
    <w:rsid w:val="00984E12"/>
    <w:rsid w:val="009A6DE7"/>
    <w:rsid w:val="009E5037"/>
    <w:rsid w:val="009F1D44"/>
    <w:rsid w:val="00A24B5B"/>
    <w:rsid w:val="00A43513"/>
    <w:rsid w:val="00A641E5"/>
    <w:rsid w:val="00A64319"/>
    <w:rsid w:val="00A659A2"/>
    <w:rsid w:val="00A732A5"/>
    <w:rsid w:val="00A8388F"/>
    <w:rsid w:val="00AA145A"/>
    <w:rsid w:val="00AA4001"/>
    <w:rsid w:val="00AE4123"/>
    <w:rsid w:val="00B01C07"/>
    <w:rsid w:val="00B145A5"/>
    <w:rsid w:val="00B1547C"/>
    <w:rsid w:val="00B22E41"/>
    <w:rsid w:val="00B5095B"/>
    <w:rsid w:val="00B645D1"/>
    <w:rsid w:val="00B827A2"/>
    <w:rsid w:val="00B87A2A"/>
    <w:rsid w:val="00B93002"/>
    <w:rsid w:val="00BA7342"/>
    <w:rsid w:val="00BB53E2"/>
    <w:rsid w:val="00BC57C2"/>
    <w:rsid w:val="00BC6174"/>
    <w:rsid w:val="00BD0BBC"/>
    <w:rsid w:val="00BD3221"/>
    <w:rsid w:val="00BD6D2C"/>
    <w:rsid w:val="00BD7502"/>
    <w:rsid w:val="00BF3114"/>
    <w:rsid w:val="00BF607A"/>
    <w:rsid w:val="00BF60A7"/>
    <w:rsid w:val="00C010BC"/>
    <w:rsid w:val="00C02280"/>
    <w:rsid w:val="00C05784"/>
    <w:rsid w:val="00C063F5"/>
    <w:rsid w:val="00C12360"/>
    <w:rsid w:val="00C3369E"/>
    <w:rsid w:val="00C8365D"/>
    <w:rsid w:val="00CB638C"/>
    <w:rsid w:val="00CC0E4B"/>
    <w:rsid w:val="00CC4363"/>
    <w:rsid w:val="00CE2338"/>
    <w:rsid w:val="00CE3E0C"/>
    <w:rsid w:val="00CE73FD"/>
    <w:rsid w:val="00CF17DC"/>
    <w:rsid w:val="00CF4E0F"/>
    <w:rsid w:val="00CF6D28"/>
    <w:rsid w:val="00D0303B"/>
    <w:rsid w:val="00D122C6"/>
    <w:rsid w:val="00D33A6B"/>
    <w:rsid w:val="00D428CE"/>
    <w:rsid w:val="00D62E43"/>
    <w:rsid w:val="00D74C4D"/>
    <w:rsid w:val="00DA3FCE"/>
    <w:rsid w:val="00DB2851"/>
    <w:rsid w:val="00DC3C23"/>
    <w:rsid w:val="00DD20BC"/>
    <w:rsid w:val="00DE1ABB"/>
    <w:rsid w:val="00E161F8"/>
    <w:rsid w:val="00E32A4A"/>
    <w:rsid w:val="00E432AB"/>
    <w:rsid w:val="00E53993"/>
    <w:rsid w:val="00E6092F"/>
    <w:rsid w:val="00E6594F"/>
    <w:rsid w:val="00E70647"/>
    <w:rsid w:val="00E862EA"/>
    <w:rsid w:val="00E96214"/>
    <w:rsid w:val="00E969F8"/>
    <w:rsid w:val="00EA3088"/>
    <w:rsid w:val="00EC4EBD"/>
    <w:rsid w:val="00EC5A4B"/>
    <w:rsid w:val="00ED44D3"/>
    <w:rsid w:val="00EE72E1"/>
    <w:rsid w:val="00EE7D72"/>
    <w:rsid w:val="00EF0367"/>
    <w:rsid w:val="00EF382A"/>
    <w:rsid w:val="00F05704"/>
    <w:rsid w:val="00F24ACB"/>
    <w:rsid w:val="00F27C4F"/>
    <w:rsid w:val="00F27E5E"/>
    <w:rsid w:val="00F3174F"/>
    <w:rsid w:val="00F368FD"/>
    <w:rsid w:val="00F436AF"/>
    <w:rsid w:val="00F50B9D"/>
    <w:rsid w:val="00F525A2"/>
    <w:rsid w:val="00F724DA"/>
    <w:rsid w:val="00F853F0"/>
    <w:rsid w:val="00F91BDC"/>
    <w:rsid w:val="00FA0AD7"/>
    <w:rsid w:val="00FA466D"/>
    <w:rsid w:val="00FC08E4"/>
    <w:rsid w:val="00FC5C62"/>
    <w:rsid w:val="00FC6C53"/>
    <w:rsid w:val="00FE51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5AF0DD"/>
  <w15:chartTrackingRefBased/>
  <w15:docId w15:val="{7904A201-4768-404A-AB8A-EA5C566C9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F1D4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A3FC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A3FCE"/>
    <w:rPr>
      <w:sz w:val="20"/>
      <w:szCs w:val="20"/>
    </w:rPr>
  </w:style>
  <w:style w:type="character" w:styleId="FootnoteReference">
    <w:name w:val="footnote reference"/>
    <w:basedOn w:val="DefaultParagraphFont"/>
    <w:uiPriority w:val="99"/>
    <w:semiHidden/>
    <w:unhideWhenUsed/>
    <w:rsid w:val="00DA3FCE"/>
    <w:rPr>
      <w:vertAlign w:val="superscript"/>
    </w:rPr>
  </w:style>
  <w:style w:type="paragraph" w:styleId="Bibliography">
    <w:name w:val="Bibliography"/>
    <w:basedOn w:val="Normal"/>
    <w:next w:val="Normal"/>
    <w:uiPriority w:val="37"/>
    <w:unhideWhenUsed/>
    <w:rsid w:val="000410DF"/>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3350</Words>
  <Characters>17286</Characters>
  <Application>Microsoft Office Word</Application>
  <DocSecurity>0</DocSecurity>
  <Lines>270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Laura-Cait Driscoll</dc:creator>
  <cp:keywords/>
  <dc:description/>
  <cp:lastModifiedBy>Laura-Cait Driscoll</cp:lastModifiedBy>
  <cp:revision>2</cp:revision>
  <dcterms:created xsi:type="dcterms:W3CDTF">2018-01-12T21:06:00Z</dcterms:created>
  <dcterms:modified xsi:type="dcterms:W3CDTF">2018-01-12T21:06:00Z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zotero-version="5.0.34"&gt;&lt;session id="Aqjvb33k"/&gt;&lt;style id="http://www.zotero.org/styles/modern-humanities-research-association" hasBibliography="1" bibliographyStyleHasBeenSet="1"/&gt;&lt;prefs&gt;&lt;pref name="fieldType" value="Field"/&gt;&lt;pref </vt:lpwstr>
  </property>
  <property fmtid="{D5CDD505-2E9C-101B-9397-08002B2CF9AE}" pid="3" name="ZOTERO_PREF_2">
    <vt:lpwstr>name="automaticJournalAbbreviations" value="true"/&gt;&lt;pref name="noteType" value="1"/&gt;&lt;/prefs&gt;&lt;/data&gt;</vt:lpwstr>
  </property>
</Properties>
</file>