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C119D" w14:textId="77777777" w:rsidR="0056508C" w:rsidRDefault="00E63E4F" w:rsidP="0084507D">
      <w:pPr>
        <w:spacing w:after="0" w:line="259" w:lineRule="auto"/>
        <w:ind w:left="720" w:firstLine="0"/>
        <w:rPr>
          <w:rFonts w:asciiTheme="majorHAnsi" w:hAnsiTheme="majorHAnsi" w:cs="Calibri"/>
          <w:b/>
          <w:bCs/>
          <w:color w:val="365F91"/>
          <w:sz w:val="30"/>
          <w:szCs w:val="30"/>
        </w:rPr>
      </w:pPr>
      <w:r w:rsidRPr="00E63E4F">
        <w:rPr>
          <w:rFonts w:asciiTheme="majorHAnsi" w:hAnsiTheme="majorHAnsi" w:cs="Calibri"/>
          <w:b/>
          <w:bCs/>
          <w:color w:val="365F91"/>
          <w:sz w:val="30"/>
          <w:szCs w:val="30"/>
        </w:rPr>
        <w:t xml:space="preserve">Telemedicine: Transforming Healthcare Delivery in the United Kingdom </w:t>
      </w:r>
    </w:p>
    <w:p w14:paraId="37E8EA7E" w14:textId="77777777" w:rsidR="00E63E4F" w:rsidRPr="00E63E4F" w:rsidRDefault="00E63E4F" w:rsidP="0084507D">
      <w:pPr>
        <w:spacing w:after="0" w:line="259" w:lineRule="auto"/>
        <w:ind w:left="720" w:firstLine="0"/>
        <w:rPr>
          <w:rFonts w:asciiTheme="majorHAnsi" w:hAnsiTheme="majorHAnsi"/>
          <w:b/>
          <w:bCs/>
          <w:sz w:val="30"/>
          <w:szCs w:val="30"/>
        </w:rPr>
      </w:pPr>
    </w:p>
    <w:p w14:paraId="58DC7466" w14:textId="77777777" w:rsidR="0056508C" w:rsidRPr="0084507D" w:rsidRDefault="00E63E4F">
      <w:pPr>
        <w:spacing w:after="207" w:line="268" w:lineRule="auto"/>
        <w:ind w:left="-5"/>
        <w:rPr>
          <w:rFonts w:asciiTheme="majorHAnsi" w:hAnsiTheme="majorHAnsi"/>
          <w:b/>
          <w:bCs/>
          <w:color w:val="4472C4" w:themeColor="accent1"/>
          <w:sz w:val="28"/>
          <w:szCs w:val="28"/>
        </w:rPr>
      </w:pPr>
      <w:r w:rsidRPr="0084507D">
        <w:rPr>
          <w:rFonts w:asciiTheme="majorHAnsi" w:eastAsia="Cambria" w:hAnsiTheme="majorHAnsi" w:cs="Cambria"/>
          <w:b/>
          <w:bCs/>
          <w:color w:val="4472C4" w:themeColor="accent1"/>
          <w:sz w:val="28"/>
          <w:szCs w:val="28"/>
        </w:rPr>
        <w:t xml:space="preserve">Component 2 – Written Assignment (Poster and Pitch) </w:t>
      </w:r>
    </w:p>
    <w:p w14:paraId="1C6A4805" w14:textId="2D42659C" w:rsidR="0056508C" w:rsidRPr="0084507D" w:rsidRDefault="00E63E4F">
      <w:pPr>
        <w:spacing w:after="207" w:line="268" w:lineRule="auto"/>
        <w:ind w:left="-5"/>
        <w:rPr>
          <w:rFonts w:asciiTheme="majorHAnsi" w:eastAsia="Cambria" w:hAnsiTheme="majorHAnsi" w:cs="Cambria"/>
          <w:b/>
          <w:bCs/>
          <w:color w:val="4472C4" w:themeColor="accent1"/>
          <w:sz w:val="28"/>
          <w:szCs w:val="28"/>
        </w:rPr>
      </w:pPr>
      <w:r w:rsidRPr="0084507D">
        <w:rPr>
          <w:rFonts w:asciiTheme="majorHAnsi" w:eastAsia="Cambria" w:hAnsiTheme="majorHAnsi" w:cs="Cambria"/>
          <w:b/>
          <w:bCs/>
          <w:color w:val="4472C4" w:themeColor="accent1"/>
          <w:sz w:val="28"/>
          <w:szCs w:val="28"/>
        </w:rPr>
        <w:t xml:space="preserve">Student Name:  </w:t>
      </w:r>
      <w:proofErr w:type="spellStart"/>
      <w:r w:rsidR="000874B9" w:rsidRPr="0084507D">
        <w:rPr>
          <w:rFonts w:asciiTheme="majorHAnsi" w:eastAsia="Cambria" w:hAnsiTheme="majorHAnsi" w:cs="Cambria"/>
          <w:b/>
          <w:bCs/>
          <w:color w:val="4472C4" w:themeColor="accent1"/>
          <w:sz w:val="28"/>
          <w:szCs w:val="28"/>
        </w:rPr>
        <w:t>Safara</w:t>
      </w:r>
      <w:proofErr w:type="spellEnd"/>
      <w:r w:rsidR="000874B9" w:rsidRPr="0084507D">
        <w:rPr>
          <w:rFonts w:asciiTheme="majorHAnsi" w:eastAsia="Cambria" w:hAnsiTheme="majorHAnsi" w:cs="Cambria"/>
          <w:b/>
          <w:bCs/>
          <w:color w:val="4472C4" w:themeColor="accent1"/>
          <w:sz w:val="28"/>
          <w:szCs w:val="28"/>
        </w:rPr>
        <w:t xml:space="preserve"> </w:t>
      </w:r>
      <w:proofErr w:type="spellStart"/>
      <w:r w:rsidR="000874B9" w:rsidRPr="0084507D">
        <w:rPr>
          <w:rFonts w:asciiTheme="majorHAnsi" w:eastAsia="Cambria" w:hAnsiTheme="majorHAnsi" w:cs="Cambria"/>
          <w:b/>
          <w:bCs/>
          <w:color w:val="4472C4" w:themeColor="accent1"/>
          <w:sz w:val="28"/>
          <w:szCs w:val="28"/>
        </w:rPr>
        <w:t>Zeb</w:t>
      </w:r>
      <w:proofErr w:type="spellEnd"/>
    </w:p>
    <w:p w14:paraId="3DCEF256" w14:textId="04190DA5" w:rsidR="000874B9" w:rsidRPr="0084507D" w:rsidRDefault="000874B9">
      <w:pPr>
        <w:spacing w:after="207" w:line="268" w:lineRule="auto"/>
        <w:ind w:left="-5"/>
        <w:rPr>
          <w:rFonts w:asciiTheme="majorHAnsi" w:hAnsiTheme="majorHAnsi"/>
          <w:b/>
          <w:bCs/>
          <w:color w:val="4472C4" w:themeColor="accent1"/>
          <w:sz w:val="28"/>
          <w:szCs w:val="28"/>
        </w:rPr>
      </w:pPr>
      <w:r w:rsidRPr="0084507D">
        <w:rPr>
          <w:rFonts w:asciiTheme="majorHAnsi" w:eastAsia="Cambria" w:hAnsiTheme="majorHAnsi" w:cs="Cambria"/>
          <w:b/>
          <w:bCs/>
          <w:color w:val="4472C4" w:themeColor="accent1"/>
          <w:sz w:val="28"/>
          <w:szCs w:val="28"/>
        </w:rPr>
        <w:t>Student ID: 2322413</w:t>
      </w:r>
    </w:p>
    <w:p w14:paraId="3459AEED" w14:textId="77777777" w:rsidR="0056508C" w:rsidRPr="0084507D" w:rsidRDefault="00E63E4F">
      <w:pPr>
        <w:spacing w:after="207" w:line="268" w:lineRule="auto"/>
        <w:ind w:left="-5"/>
        <w:rPr>
          <w:rFonts w:asciiTheme="majorHAnsi" w:hAnsiTheme="majorHAnsi"/>
          <w:b/>
          <w:bCs/>
          <w:color w:val="4472C4" w:themeColor="accent1"/>
          <w:sz w:val="28"/>
          <w:szCs w:val="28"/>
        </w:rPr>
      </w:pPr>
      <w:r w:rsidRPr="0084507D">
        <w:rPr>
          <w:rFonts w:asciiTheme="majorHAnsi" w:eastAsia="Cambria" w:hAnsiTheme="majorHAnsi" w:cs="Cambria"/>
          <w:b/>
          <w:bCs/>
          <w:color w:val="4472C4" w:themeColor="accent1"/>
          <w:sz w:val="28"/>
          <w:szCs w:val="28"/>
        </w:rPr>
        <w:t xml:space="preserve">Module: Health and Social Care Innovation </w:t>
      </w:r>
    </w:p>
    <w:p w14:paraId="6F987C08" w14:textId="77777777" w:rsidR="0056508C" w:rsidRPr="0084507D" w:rsidRDefault="00E63E4F">
      <w:pPr>
        <w:spacing w:after="214" w:line="259" w:lineRule="auto"/>
        <w:ind w:left="0" w:firstLine="0"/>
        <w:rPr>
          <w:rFonts w:asciiTheme="majorHAnsi" w:hAnsiTheme="majorHAnsi"/>
          <w:b/>
          <w:bCs/>
          <w:color w:val="4472C4" w:themeColor="accent1"/>
          <w:sz w:val="28"/>
          <w:szCs w:val="28"/>
        </w:rPr>
      </w:pPr>
      <w:r w:rsidRPr="0084507D">
        <w:rPr>
          <w:rFonts w:asciiTheme="majorHAnsi" w:eastAsia="Cambria" w:hAnsiTheme="majorHAnsi" w:cs="Cambria"/>
          <w:b/>
          <w:bCs/>
          <w:color w:val="4472C4" w:themeColor="accent1"/>
          <w:sz w:val="28"/>
          <w:szCs w:val="28"/>
        </w:rPr>
        <w:t xml:space="preserve"> </w:t>
      </w:r>
    </w:p>
    <w:p w14:paraId="47DB391D" w14:textId="77777777" w:rsidR="0056508C" w:rsidRDefault="00E63E4F">
      <w:pPr>
        <w:spacing w:after="214" w:line="259" w:lineRule="auto"/>
        <w:ind w:left="0" w:firstLine="0"/>
      </w:pPr>
      <w:r>
        <w:rPr>
          <w:rFonts w:ascii="Cambria" w:eastAsia="Cambria" w:hAnsi="Cambria" w:cs="Cambria"/>
          <w:b/>
          <w:color w:val="1F497D"/>
          <w:sz w:val="22"/>
        </w:rPr>
        <w:t xml:space="preserve"> </w:t>
      </w:r>
    </w:p>
    <w:p w14:paraId="402AF144" w14:textId="77777777" w:rsidR="0056508C" w:rsidRDefault="00E63E4F">
      <w:pPr>
        <w:spacing w:after="0" w:line="259" w:lineRule="auto"/>
        <w:ind w:left="0" w:firstLine="0"/>
      </w:pPr>
      <w:r>
        <w:rPr>
          <w:rFonts w:ascii="Cambria" w:eastAsia="Cambria" w:hAnsi="Cambria" w:cs="Cambria"/>
          <w:b/>
          <w:i/>
          <w:color w:val="1F497D"/>
          <w:sz w:val="22"/>
        </w:rPr>
        <w:t xml:space="preserve">POSTER: </w:t>
      </w:r>
    </w:p>
    <w:p w14:paraId="4A768E7A" w14:textId="77777777" w:rsidR="0056508C" w:rsidRDefault="00E63E4F">
      <w:pPr>
        <w:spacing w:after="0" w:line="259" w:lineRule="auto"/>
        <w:ind w:left="-2" w:firstLine="0"/>
      </w:pPr>
      <w:r>
        <w:rPr>
          <w:noProof/>
        </w:rPr>
        <w:drawing>
          <wp:inline distT="0" distB="0" distL="0" distR="0" wp14:anchorId="6AF30E90" wp14:editId="09829098">
            <wp:extent cx="5233035" cy="659384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4"/>
                    <a:stretch>
                      <a:fillRect/>
                    </a:stretch>
                  </pic:blipFill>
                  <pic:spPr>
                    <a:xfrm>
                      <a:off x="0" y="0"/>
                      <a:ext cx="5233035" cy="6593840"/>
                    </a:xfrm>
                    <a:prstGeom prst="rect">
                      <a:avLst/>
                    </a:prstGeom>
                  </pic:spPr>
                </pic:pic>
              </a:graphicData>
            </a:graphic>
          </wp:inline>
        </w:drawing>
      </w:r>
    </w:p>
    <w:p w14:paraId="4144B0D1" w14:textId="77777777" w:rsidR="0056508C" w:rsidRDefault="00E63E4F">
      <w:pPr>
        <w:pStyle w:val="Heading1"/>
        <w:ind w:left="-5"/>
      </w:pPr>
      <w:r>
        <w:lastRenderedPageBreak/>
        <w:t xml:space="preserve">Introduction </w:t>
      </w:r>
    </w:p>
    <w:p w14:paraId="03401B3F" w14:textId="77777777" w:rsidR="0056508C" w:rsidRDefault="00E63E4F">
      <w:pPr>
        <w:spacing w:after="0"/>
        <w:ind w:left="-5"/>
      </w:pPr>
      <w:r>
        <w:t>The purpose of this proposal is to drive Telemedicine as a new paradigm of service to drive accessibility, effectiveness, and continuity in the delivery of healthcare services in the United Kingdom. The COVID-19 pandemic brought home the adaptability and vulnerability of the National Health Service (NHS), which resulted in a shift toward digital and remote care. Telemedicine, which provides healthcare by using telecommunications technology</w:t>
      </w:r>
      <w:r>
        <w:rPr>
          <w:rFonts w:cs="Calibri"/>
        </w:rPr>
        <w:t>—</w:t>
      </w:r>
      <w:r>
        <w:t>disguised as video consultations, messaging, and remote monitoring</w:t>
      </w:r>
      <w:r>
        <w:rPr>
          <w:rFonts w:cs="Calibri"/>
        </w:rPr>
        <w:t>—</w:t>
      </w:r>
      <w:r>
        <w:t xml:space="preserve">provides a sustainable solution to the increasing pressures on the UK health and social care system (NHS </w:t>
      </w:r>
    </w:p>
    <w:p w14:paraId="4D61E0C8" w14:textId="77777777" w:rsidR="0056508C" w:rsidRDefault="00E63E4F">
      <w:pPr>
        <w:spacing w:after="200"/>
        <w:ind w:left="-5"/>
      </w:pPr>
      <w:r>
        <w:t xml:space="preserve">England, 2021). The technology is also in line with the NHS Long Term Plan (2019), wherein digital-first healthcare surfaces as one of the approaches to advance population health as well as streamline inequalities.  </w:t>
      </w:r>
    </w:p>
    <w:p w14:paraId="3EF92888" w14:textId="77777777" w:rsidR="0056508C" w:rsidRDefault="00E63E4F">
      <w:pPr>
        <w:spacing w:after="258" w:line="259" w:lineRule="auto"/>
        <w:ind w:left="0" w:firstLine="0"/>
      </w:pPr>
      <w:r>
        <w:t xml:space="preserve"> </w:t>
      </w:r>
    </w:p>
    <w:p w14:paraId="7794CC02" w14:textId="77777777" w:rsidR="0056508C" w:rsidRDefault="00E63E4F">
      <w:pPr>
        <w:pStyle w:val="Heading1"/>
        <w:ind w:left="-5"/>
      </w:pPr>
      <w:r>
        <w:t xml:space="preserve">Rationale and the Gap in Healthcare </w:t>
      </w:r>
    </w:p>
    <w:p w14:paraId="22636A6E" w14:textId="77777777" w:rsidR="0056508C" w:rsidRDefault="00E63E4F">
      <w:pPr>
        <w:ind w:left="-5"/>
      </w:pPr>
      <w:r>
        <w:t>Although the NHS has universal coverage, access is not equal in terms of geography, socioeconomic status, and staffing shortages. Most patients, especially the rural or underserved communities, are bounded by barriers to timely health care. Waiting times and staffing gaps have had an adverse effect on the delivery of services, and in turn, with digital solutions being defined as the solution for enhancing system resilience, as per the King's Fund (2022). In addition, the demographic aging and the prevalence</w:t>
      </w:r>
      <w:r>
        <w:t xml:space="preserve"> of chronic illnesses like diabetes and cardiovascular disease impose greater demands for follow-up visits with a tendency to place undue burdens on both patients and clinicians. Telemedicine fills these gaps instantly by providing patient-centered, convenient, and accessible care that complements conventional models of healthcare delivery. </w:t>
      </w:r>
    </w:p>
    <w:p w14:paraId="5AF6C19F" w14:textId="77777777" w:rsidR="0056508C" w:rsidRDefault="00E63E4F">
      <w:pPr>
        <w:pStyle w:val="Heading1"/>
        <w:ind w:left="-5"/>
      </w:pPr>
      <w:r>
        <w:t xml:space="preserve">Description of the Innovation </w:t>
      </w:r>
    </w:p>
    <w:p w14:paraId="476ECB6D" w14:textId="77777777" w:rsidR="0056508C" w:rsidRDefault="00E63E4F">
      <w:pPr>
        <w:ind w:left="-5"/>
      </w:pPr>
      <w:r>
        <w:t>Telemedicine allows clinicians to perform consultations, diagnose patients remotely through secure digital platforms, and follow up on patients without having to physically visit their whereabouts. It involves various technologies such as video consultations, telephony-based evaluation, mobile health applications, and wearable devices that track real-time health metrics (</w:t>
      </w:r>
      <w:proofErr w:type="spellStart"/>
      <w:r>
        <w:t>Greenhalgh</w:t>
      </w:r>
      <w:proofErr w:type="spellEnd"/>
      <w:r>
        <w:t xml:space="preserve"> et al., 2020). This proposal calls for the rollout of telemedicine across NHS services nationwide, especially in primary care, mental health services, and the care of </w:t>
      </w:r>
      <w:r>
        <w:lastRenderedPageBreak/>
        <w:t xml:space="preserve">chronic conditions. It would bring digital platforms together with existing NHS records using NHS Digital to provide continuity and assurance of care. </w:t>
      </w:r>
    </w:p>
    <w:p w14:paraId="007EE633" w14:textId="77777777" w:rsidR="0056508C" w:rsidRDefault="00E63E4F">
      <w:pPr>
        <w:pStyle w:val="Heading1"/>
        <w:ind w:left="-5"/>
      </w:pPr>
      <w:r>
        <w:t xml:space="preserve">Target Group and Projected Impact </w:t>
      </w:r>
    </w:p>
    <w:p w14:paraId="1F51DE96" w14:textId="77777777" w:rsidR="0056508C" w:rsidRDefault="00E63E4F">
      <w:pPr>
        <w:spacing w:after="201"/>
        <w:ind w:left="-5"/>
      </w:pPr>
      <w:r>
        <w:t>The innovation is mainly addressing patients with mobility impairment, long-term conditions, mental ill health, or those who reside in remote areas. It is also beneficial to healthcare staff by minimizing administrative burden, enhancing communication, and enabling flexible working patterns. Telemedicine is beneficial in allowing patient empowerment and independence, for example, shared decision-making and self-management</w:t>
      </w:r>
      <w:r>
        <w:rPr>
          <w:rFonts w:cs="Calibri"/>
        </w:rPr>
        <w:t>—</w:t>
      </w:r>
      <w:r>
        <w:t xml:space="preserve">core values that are at the heart of person-centered care (Department of Health and Social Care, 2023). Remote consultations can make healthcare staff's </w:t>
      </w:r>
    </w:p>
    <w:p w14:paraId="22D4F2D7" w14:textId="77777777" w:rsidR="0056508C" w:rsidRDefault="00E63E4F">
      <w:pPr>
        <w:spacing w:after="200"/>
        <w:ind w:left="-5"/>
      </w:pPr>
      <w:r>
        <w:t xml:space="preserve">uses the resources more effectively and has space for face-to-face provision for more complex cases. The expected outcome is fewer hospital readmissions, higher patient satisfaction, and better workforce sustainability. </w:t>
      </w:r>
    </w:p>
    <w:p w14:paraId="5E74F8FC" w14:textId="77777777" w:rsidR="0056508C" w:rsidRDefault="00E63E4F">
      <w:pPr>
        <w:spacing w:after="258" w:line="259" w:lineRule="auto"/>
        <w:ind w:left="0" w:firstLine="0"/>
      </w:pPr>
      <w:r>
        <w:t xml:space="preserve"> </w:t>
      </w:r>
    </w:p>
    <w:p w14:paraId="4880B9B2" w14:textId="77777777" w:rsidR="0056508C" w:rsidRDefault="00E63E4F">
      <w:pPr>
        <w:spacing w:after="190" w:line="259" w:lineRule="auto"/>
        <w:ind w:left="-5"/>
      </w:pPr>
      <w:r>
        <w:rPr>
          <w:rFonts w:cs="Calibri"/>
          <w:b/>
          <w:color w:val="1F497D"/>
          <w:sz w:val="30"/>
        </w:rPr>
        <w:t xml:space="preserve">Implementation will have to be phased. </w:t>
      </w:r>
    </w:p>
    <w:p w14:paraId="0D60B13E" w14:textId="77777777" w:rsidR="0056508C" w:rsidRDefault="00E63E4F">
      <w:pPr>
        <w:ind w:left="-5"/>
      </w:pPr>
      <w:r>
        <w:t>Rural general practice and community health center pilot schemes should be introduced in phase one. NHS Digital, Integrated Care Systems (ICSs), and local authorities working together will ensure it is compatible and consistent. Staff training in the use of telemedicine equipment competently and professionally would be the second step. Professional development modules could be made part of NHS e-learning frameworks. Mass deployment, fostered with national investment and technology partnerships, would be the</w:t>
      </w:r>
      <w:r>
        <w:t xml:space="preserve"> third step. Measurement criteria</w:t>
      </w:r>
      <w:r>
        <w:rPr>
          <w:rFonts w:cs="Calibri"/>
        </w:rPr>
        <w:t>—</w:t>
      </w:r>
      <w:r>
        <w:t>like patient satisfaction, clinical outcome, and cost savings</w:t>
      </w:r>
      <w:r>
        <w:rPr>
          <w:rFonts w:cs="Calibri"/>
        </w:rPr>
        <w:t>—</w:t>
      </w:r>
      <w:r>
        <w:t xml:space="preserve">would guide continuous improvement (Public Health England, 2020). </w:t>
      </w:r>
    </w:p>
    <w:p w14:paraId="517C4741" w14:textId="77777777" w:rsidR="0056508C" w:rsidRDefault="00E63E4F">
      <w:pPr>
        <w:pStyle w:val="Heading1"/>
        <w:ind w:left="-5"/>
      </w:pPr>
      <w:r>
        <w:t xml:space="preserve">Regulations, Standards, and Data Protection </w:t>
      </w:r>
    </w:p>
    <w:p w14:paraId="27C65724" w14:textId="77777777" w:rsidR="0056508C" w:rsidRDefault="00E63E4F">
      <w:pPr>
        <w:ind w:left="-5"/>
      </w:pPr>
      <w:r>
        <w:t>Telemedicine has to be compliant with applicable UK law and ethical practice for the sake of patient safety and confidentiality. The Health and Social Care Act 2012 stresses the unification of the services in an attempt to meet patient demands, while guidance regarding regulation of digital care services is offered by the Care Quality Commission (CQC). The UK GDPR and Data Protection Act 2018 regulate the processing of patient confidential data, confidentiality and informed consent being ensured in the even</w:t>
      </w:r>
      <w:r>
        <w:t xml:space="preserve">t of remote consultations. Telemedicine platforms utilized need to be NHS-approved and Cyber Essentials Plus certified to ensure </w:t>
      </w:r>
      <w:r>
        <w:lastRenderedPageBreak/>
        <w:t xml:space="preserve">security to data. Ethical values of beneficence, </w:t>
      </w:r>
      <w:proofErr w:type="spellStart"/>
      <w:r>
        <w:t>nonmaleficence</w:t>
      </w:r>
      <w:proofErr w:type="spellEnd"/>
      <w:r>
        <w:t xml:space="preserve">, autonomy, and justice form the basis of this innovation to ensure equal access for the service users (Beauchamp &amp; Childress, 2019). </w:t>
      </w:r>
    </w:p>
    <w:p w14:paraId="7F09C156" w14:textId="77777777" w:rsidR="0056508C" w:rsidRDefault="00E63E4F">
      <w:pPr>
        <w:pStyle w:val="Heading1"/>
        <w:ind w:left="-5"/>
      </w:pPr>
      <w:r>
        <w:t xml:space="preserve">Technology Integration </w:t>
      </w:r>
    </w:p>
    <w:p w14:paraId="344B0876" w14:textId="77777777" w:rsidR="0056508C" w:rsidRDefault="00E63E4F">
      <w:pPr>
        <w:ind w:left="-5"/>
      </w:pPr>
      <w:r>
        <w:t>The technology is at the center of this innovation. The idea is to integrate telemedicine platforms to interact with electronic health records (EHRs) to facilitate smooth communication among patients and clinicians. Artificial intelligence (AI) technologies can be applied in management monitoring of longterm conditions and diagnostic triage to support early intervention (</w:t>
      </w:r>
      <w:proofErr w:type="spellStart"/>
      <w:r>
        <w:t>Topol</w:t>
      </w:r>
      <w:proofErr w:type="spellEnd"/>
      <w:r>
        <w:t xml:space="preserve">, 2019). Real-time collection of data is also enabled through devices like smartwatches and glucose meters that can be monitored by clinicians. The technologies enable preventive and proactive care that is in tune with the NHS transition towards population health maximization and digital inclusion. </w:t>
      </w:r>
    </w:p>
    <w:p w14:paraId="3D907940" w14:textId="77777777" w:rsidR="0056508C" w:rsidRDefault="00E63E4F">
      <w:pPr>
        <w:pStyle w:val="Heading1"/>
        <w:ind w:left="-5"/>
      </w:pPr>
      <w:r>
        <w:t xml:space="preserve">Dissemination and Public Engagement </w:t>
      </w:r>
    </w:p>
    <w:p w14:paraId="6A8852AE" w14:textId="77777777" w:rsidR="0056508C" w:rsidRDefault="00E63E4F">
      <w:pPr>
        <w:ind w:left="-5"/>
      </w:pPr>
      <w:r>
        <w:t>Adoption is effective with stakeholder engagement and adequate communication. Dissemination of the project would be carried out through public information campaigns, professional workshops, and social media. Partnership with patient advocacy organizations like Age UK and Mind would increase accessibility to vulnerable groups. Partnership with technology sectors might also make cost-effective and user-friendly interfaces possible. Patient and clinician encouragement through pilot feedback mechanisms and ques</w:t>
      </w:r>
      <w:r>
        <w:t xml:space="preserve">tionnaires would cement the co-production principle and make inclusivity and ease of use features in the service (NHS Digital, 2021). Dissemination by conferences, policy forums, and academic journals would also promote national telemedicine integration. </w:t>
      </w:r>
    </w:p>
    <w:p w14:paraId="0AD8D387" w14:textId="77777777" w:rsidR="0056508C" w:rsidRDefault="00E63E4F">
      <w:pPr>
        <w:pStyle w:val="Heading1"/>
        <w:ind w:left="-5"/>
      </w:pPr>
      <w:r>
        <w:t xml:space="preserve">Challenges overcome </w:t>
      </w:r>
    </w:p>
    <w:p w14:paraId="3B378E40" w14:textId="77777777" w:rsidR="0056508C" w:rsidRDefault="00E63E4F">
      <w:pPr>
        <w:ind w:left="-5"/>
      </w:pPr>
      <w:r>
        <w:t>Telemedicine is not challenge-free even as it offers mass benefits. Digital exclusion persists</w:t>
      </w:r>
      <w:r>
        <w:rPr>
          <w:rFonts w:cs="Calibri"/>
        </w:rPr>
        <w:t>—</w:t>
      </w:r>
      <w:r>
        <w:t>anxiety for those without internet connection or digital skills lest they be left behind. The Office for National Statistics (2022) identifies that approximately 6% of UK adults are non-internet users, which is mainly across older people and deprived groups. To address this, digital skills education through community programs and open-access Telehealth clinics could be introduced in library facilities or community centers. Regional regulatory heterogeneity also creates issues; hence, national standardizati</w:t>
      </w:r>
      <w:r>
        <w:t xml:space="preserve">on of telemedicine policy under the NHS England Digital Transformation Directorate is necessary. Regular assessment and stakeholder discussion will keep improving and make services equitable. </w:t>
      </w:r>
    </w:p>
    <w:p w14:paraId="5D590D88" w14:textId="77777777" w:rsidR="0056508C" w:rsidRDefault="00E63E4F">
      <w:pPr>
        <w:pStyle w:val="Heading1"/>
        <w:ind w:left="-5"/>
      </w:pPr>
      <w:r>
        <w:lastRenderedPageBreak/>
        <w:t xml:space="preserve">Conclusion </w:t>
      </w:r>
    </w:p>
    <w:p w14:paraId="3C6903E8" w14:textId="77777777" w:rsidR="0056508C" w:rsidRDefault="00E63E4F">
      <w:pPr>
        <w:spacing w:after="200"/>
        <w:ind w:left="-5"/>
      </w:pPr>
      <w:r>
        <w:t>In summary, telemedicine is an innovative, evidence-informed solution to addressing most of the existing issues in UK health and social care. In increasing accessibility, affordability, and patient involvement, it fits ideally with the NHS vision of an integrated, person-centered digitally enabled healthcare system. Its success relies on multidisciplinary alliances between policymakers, healthcare providers, technologists, and the public. Telemedicine investment is not as much of a response to new technolog</w:t>
      </w:r>
      <w:r>
        <w:t>y</w:t>
      </w:r>
      <w:r>
        <w:rPr>
          <w:rFonts w:cs="Calibri"/>
        </w:rPr>
        <w:t>—</w:t>
      </w:r>
      <w:r>
        <w:t xml:space="preserve">it is an investment in sustainable, equitable, and humane care for all. </w:t>
      </w:r>
    </w:p>
    <w:p w14:paraId="23C7AB88" w14:textId="77777777" w:rsidR="0056508C" w:rsidRDefault="00E63E4F">
      <w:pPr>
        <w:spacing w:after="0" w:line="259" w:lineRule="auto"/>
        <w:ind w:left="0" w:firstLine="0"/>
      </w:pPr>
      <w:r>
        <w:rPr>
          <w:rFonts w:cs="Calibri"/>
          <w:b/>
          <w:color w:val="1F497D"/>
        </w:rPr>
        <w:t xml:space="preserve"> </w:t>
      </w:r>
    </w:p>
    <w:p w14:paraId="3E0C487D" w14:textId="77777777" w:rsidR="0056508C" w:rsidRDefault="00E63E4F">
      <w:pPr>
        <w:spacing w:after="222" w:line="259" w:lineRule="auto"/>
        <w:ind w:left="0" w:firstLine="0"/>
      </w:pPr>
      <w:r>
        <w:rPr>
          <w:rFonts w:cs="Calibri"/>
          <w:b/>
          <w:color w:val="1F497D"/>
        </w:rPr>
        <w:t xml:space="preserve"> </w:t>
      </w:r>
    </w:p>
    <w:p w14:paraId="7845B335" w14:textId="77777777" w:rsidR="0056508C" w:rsidRDefault="00E63E4F">
      <w:pPr>
        <w:spacing w:after="223" w:line="259" w:lineRule="auto"/>
        <w:ind w:left="0" w:firstLine="0"/>
      </w:pPr>
      <w:r>
        <w:rPr>
          <w:rFonts w:cs="Calibri"/>
          <w:b/>
          <w:color w:val="1F497D"/>
        </w:rPr>
        <w:t xml:space="preserve"> </w:t>
      </w:r>
    </w:p>
    <w:p w14:paraId="24F8E341" w14:textId="77777777" w:rsidR="0056508C" w:rsidRDefault="00E63E4F">
      <w:pPr>
        <w:spacing w:after="257" w:line="259" w:lineRule="auto"/>
        <w:ind w:left="0" w:firstLine="0"/>
      </w:pPr>
      <w:r>
        <w:rPr>
          <w:rFonts w:cs="Calibri"/>
          <w:b/>
          <w:color w:val="1F497D"/>
        </w:rPr>
        <w:t xml:space="preserve"> </w:t>
      </w:r>
    </w:p>
    <w:p w14:paraId="7B32F6C6" w14:textId="77777777" w:rsidR="0056508C" w:rsidRDefault="00E63E4F">
      <w:pPr>
        <w:pStyle w:val="Heading1"/>
        <w:spacing w:after="0"/>
        <w:ind w:left="-5"/>
      </w:pPr>
      <w:r>
        <w:t xml:space="preserve">References (Harvard Style) </w:t>
      </w:r>
    </w:p>
    <w:p w14:paraId="6D31F2AD" w14:textId="77777777" w:rsidR="0056508C" w:rsidRDefault="00E63E4F">
      <w:pPr>
        <w:spacing w:after="207" w:line="268" w:lineRule="auto"/>
        <w:ind w:left="-5"/>
      </w:pPr>
      <w:r>
        <w:rPr>
          <w:rFonts w:ascii="Cambria" w:eastAsia="Cambria" w:hAnsi="Cambria" w:cs="Cambria"/>
          <w:sz w:val="22"/>
        </w:rPr>
        <w:t xml:space="preserve">Beauchamp, T.L. &amp; Childress, J.F. (2019) Principles of Biomedical Ethics. 8th ed. Oxford: Oxford University Press. </w:t>
      </w:r>
    </w:p>
    <w:p w14:paraId="3037D481" w14:textId="77777777" w:rsidR="0056508C" w:rsidRDefault="00E63E4F">
      <w:pPr>
        <w:spacing w:after="207" w:line="268" w:lineRule="auto"/>
        <w:ind w:left="-5"/>
      </w:pPr>
      <w:r>
        <w:rPr>
          <w:rFonts w:ascii="Cambria" w:eastAsia="Cambria" w:hAnsi="Cambria" w:cs="Cambria"/>
          <w:sz w:val="22"/>
        </w:rPr>
        <w:t xml:space="preserve">Department of Health and Social Care (2023) People at the Heart of Care: Adult Social Care Reform White Paper. London: DHSC. </w:t>
      </w:r>
    </w:p>
    <w:p w14:paraId="68E023DD" w14:textId="77777777" w:rsidR="0056508C" w:rsidRDefault="00E63E4F">
      <w:pPr>
        <w:spacing w:after="207" w:line="266" w:lineRule="auto"/>
        <w:ind w:left="-5"/>
      </w:pPr>
      <w:proofErr w:type="spellStart"/>
      <w:r>
        <w:rPr>
          <w:rFonts w:ascii="Cambria" w:eastAsia="Cambria" w:hAnsi="Cambria" w:cs="Cambria"/>
          <w:sz w:val="22"/>
        </w:rPr>
        <w:t>Greenhalgh</w:t>
      </w:r>
      <w:proofErr w:type="spellEnd"/>
      <w:r>
        <w:rPr>
          <w:rFonts w:ascii="Cambria" w:eastAsia="Cambria" w:hAnsi="Cambria" w:cs="Cambria"/>
          <w:sz w:val="22"/>
        </w:rPr>
        <w:t xml:space="preserve">, T., </w:t>
      </w:r>
      <w:proofErr w:type="spellStart"/>
      <w:r>
        <w:rPr>
          <w:rFonts w:ascii="Cambria" w:eastAsia="Cambria" w:hAnsi="Cambria" w:cs="Cambria"/>
          <w:sz w:val="22"/>
        </w:rPr>
        <w:t>Wherton</w:t>
      </w:r>
      <w:proofErr w:type="spellEnd"/>
      <w:r>
        <w:rPr>
          <w:rFonts w:ascii="Cambria" w:eastAsia="Cambria" w:hAnsi="Cambria" w:cs="Cambria"/>
          <w:sz w:val="22"/>
        </w:rPr>
        <w:t xml:space="preserve">, J. &amp; Shaw, S. (2020) ‘Video consultations for COVID-19’, BMJ, 368, m998. </w:t>
      </w:r>
    </w:p>
    <w:p w14:paraId="79CCCEAA" w14:textId="77777777" w:rsidR="0056508C" w:rsidRDefault="00E63E4F">
      <w:pPr>
        <w:spacing w:after="207" w:line="266" w:lineRule="auto"/>
        <w:ind w:left="-5"/>
      </w:pPr>
      <w:r>
        <w:rPr>
          <w:rFonts w:ascii="Cambria" w:eastAsia="Cambria" w:hAnsi="Cambria" w:cs="Cambria"/>
          <w:sz w:val="22"/>
        </w:rPr>
        <w:t xml:space="preserve">King’s Fund (2022) Digital Transformation in the NHS. London: The King’s Fund. </w:t>
      </w:r>
    </w:p>
    <w:p w14:paraId="412159DA" w14:textId="77777777" w:rsidR="0056508C" w:rsidRDefault="00E63E4F">
      <w:pPr>
        <w:spacing w:after="207" w:line="268" w:lineRule="auto"/>
        <w:ind w:left="-5"/>
      </w:pPr>
      <w:r>
        <w:rPr>
          <w:rFonts w:ascii="Cambria" w:eastAsia="Cambria" w:hAnsi="Cambria" w:cs="Cambria"/>
          <w:sz w:val="22"/>
        </w:rPr>
        <w:t xml:space="preserve">NHS Digital (2021) Digital Health and Care Plan 2021–2024. Leeds: NHS Digital. </w:t>
      </w:r>
    </w:p>
    <w:p w14:paraId="3780D10B" w14:textId="77777777" w:rsidR="0056508C" w:rsidRDefault="00E63E4F">
      <w:pPr>
        <w:spacing w:after="207" w:line="268" w:lineRule="auto"/>
        <w:ind w:left="-5"/>
      </w:pPr>
      <w:r>
        <w:rPr>
          <w:rFonts w:ascii="Cambria" w:eastAsia="Cambria" w:hAnsi="Cambria" w:cs="Cambria"/>
          <w:sz w:val="22"/>
        </w:rPr>
        <w:t xml:space="preserve">NHS England (2019) The NHS Long Term Plan. London: NHS England. </w:t>
      </w:r>
    </w:p>
    <w:p w14:paraId="63E06C75" w14:textId="77777777" w:rsidR="0056508C" w:rsidRDefault="00E63E4F">
      <w:pPr>
        <w:spacing w:after="207" w:line="268" w:lineRule="auto"/>
        <w:ind w:left="-5"/>
      </w:pPr>
      <w:r>
        <w:rPr>
          <w:rFonts w:ascii="Cambria" w:eastAsia="Cambria" w:hAnsi="Cambria" w:cs="Cambria"/>
          <w:sz w:val="22"/>
        </w:rPr>
        <w:t xml:space="preserve">NHS England (2021) What Good Looks Like: Digital Transformation Framework. London: NHS England. </w:t>
      </w:r>
    </w:p>
    <w:p w14:paraId="33ADC010" w14:textId="77777777" w:rsidR="0056508C" w:rsidRDefault="00E63E4F">
      <w:pPr>
        <w:spacing w:after="207" w:line="268" w:lineRule="auto"/>
        <w:ind w:left="-5"/>
      </w:pPr>
      <w:r>
        <w:rPr>
          <w:rFonts w:ascii="Cambria" w:eastAsia="Cambria" w:hAnsi="Cambria" w:cs="Cambria"/>
          <w:sz w:val="22"/>
        </w:rPr>
        <w:t xml:space="preserve">Office for National Statistics (2022) Internet Users, UK: 2022. London: ONS. </w:t>
      </w:r>
    </w:p>
    <w:p w14:paraId="2BADED72" w14:textId="77777777" w:rsidR="0056508C" w:rsidRDefault="00E63E4F">
      <w:pPr>
        <w:spacing w:after="207" w:line="268" w:lineRule="auto"/>
        <w:ind w:left="-5"/>
      </w:pPr>
      <w:r>
        <w:rPr>
          <w:rFonts w:ascii="Cambria" w:eastAsia="Cambria" w:hAnsi="Cambria" w:cs="Cambria"/>
          <w:sz w:val="22"/>
        </w:rPr>
        <w:t xml:space="preserve">Public Health England (2020) Improving Access to Digital Health Services. London: PHE. </w:t>
      </w:r>
    </w:p>
    <w:p w14:paraId="4A7AFAC4" w14:textId="77777777" w:rsidR="0056508C" w:rsidRDefault="00E63E4F">
      <w:pPr>
        <w:spacing w:after="207" w:line="268" w:lineRule="auto"/>
        <w:ind w:left="-5"/>
      </w:pPr>
      <w:proofErr w:type="spellStart"/>
      <w:r>
        <w:rPr>
          <w:rFonts w:ascii="Cambria" w:eastAsia="Cambria" w:hAnsi="Cambria" w:cs="Cambria"/>
          <w:sz w:val="22"/>
        </w:rPr>
        <w:t>Topol</w:t>
      </w:r>
      <w:proofErr w:type="spellEnd"/>
      <w:r>
        <w:rPr>
          <w:rFonts w:ascii="Cambria" w:eastAsia="Cambria" w:hAnsi="Cambria" w:cs="Cambria"/>
          <w:sz w:val="22"/>
        </w:rPr>
        <w:t xml:space="preserve">, E. (2019) The </w:t>
      </w:r>
      <w:proofErr w:type="spellStart"/>
      <w:r>
        <w:rPr>
          <w:rFonts w:ascii="Cambria" w:eastAsia="Cambria" w:hAnsi="Cambria" w:cs="Cambria"/>
          <w:sz w:val="22"/>
        </w:rPr>
        <w:t>Topol</w:t>
      </w:r>
      <w:proofErr w:type="spellEnd"/>
      <w:r>
        <w:rPr>
          <w:rFonts w:ascii="Cambria" w:eastAsia="Cambria" w:hAnsi="Cambria" w:cs="Cambria"/>
          <w:sz w:val="22"/>
        </w:rPr>
        <w:t xml:space="preserve"> Review: Preparing the Healthcare Workforce to Deliver the Digital Future. London: Health Education England. </w:t>
      </w:r>
    </w:p>
    <w:sectPr w:rsidR="0056508C">
      <w:pgSz w:w="12240" w:h="15840"/>
      <w:pgMar w:top="1496" w:right="1810" w:bottom="140" w:left="180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08C"/>
    <w:rsid w:val="000874B9"/>
    <w:rsid w:val="0056508C"/>
    <w:rsid w:val="0084507D"/>
    <w:rsid w:val="00E63E4F"/>
    <w:rsid w:val="00F14ECE"/>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7705DAFE"/>
  <w15:docId w15:val="{6C54AE2D-F26F-6E4B-96CE-02A609774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PK"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5" w:line="276" w:lineRule="auto"/>
      <w:ind w:left="10" w:hanging="10"/>
    </w:pPr>
    <w:rPr>
      <w:rFonts w:ascii="Calibri" w:eastAsia="Calibri" w:hAnsi="Calibri" w:cs="Times New Roman"/>
      <w:color w:val="000000"/>
      <w:sz w:val="26"/>
      <w:lang w:val="en" w:eastAsia="en"/>
    </w:rPr>
  </w:style>
  <w:style w:type="paragraph" w:styleId="Heading1">
    <w:name w:val="heading 1"/>
    <w:next w:val="Normal"/>
    <w:link w:val="Heading1Char"/>
    <w:uiPriority w:val="9"/>
    <w:qFormat/>
    <w:pPr>
      <w:keepNext/>
      <w:keepLines/>
      <w:spacing w:after="190" w:line="259" w:lineRule="auto"/>
      <w:ind w:left="10" w:hanging="10"/>
      <w:outlineLvl w:val="0"/>
    </w:pPr>
    <w:rPr>
      <w:rFonts w:ascii="Calibri" w:eastAsia="Calibri" w:hAnsi="Calibri" w:cs="Calibri"/>
      <w:b/>
      <w:color w:val="1F497D"/>
      <w:sz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1F497D"/>
      <w:sz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1354</Words>
  <Characters>7718</Characters>
  <Application>Microsoft Office Word</Application>
  <DocSecurity>0</DocSecurity>
  <Lines>64</Lines>
  <Paragraphs>18</Paragraphs>
  <ScaleCrop>false</ScaleCrop>
  <Company/>
  <LinksUpToDate>false</LinksUpToDate>
  <CharactersWithSpaces>9054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cp:lastModifiedBy>ilha khan</cp:lastModifiedBy>
  <cp:revision>2</cp:revision>
  <dcterms:created xsi:type="dcterms:W3CDTF">2025-10-09T19:09:00Z</dcterms:created>
  <dcterms:modified xsi:type="dcterms:W3CDTF">2025-10-09T19:09:00Z</dcterms:modified>
</cp:coreProperties>
</file>