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1D8F7" w14:textId="2490C8D8" w:rsidR="00525236" w:rsidRPr="004B0CA5" w:rsidRDefault="00525236" w:rsidP="004B0CA5">
      <w:pPr>
        <w:jc w:val="both"/>
        <w:rPr>
          <w:rFonts w:ascii="Times New Roman" w:hAnsi="Times New Roman" w:cs="Times New Roman"/>
        </w:rPr>
      </w:pPr>
      <w:r w:rsidRPr="004B0CA5">
        <w:rPr>
          <w:rFonts w:ascii="Times New Roman" w:hAnsi="Times New Roman" w:cs="Times New Roman"/>
        </w:rPr>
        <w:t>Rachel Owen-1801974</w:t>
      </w:r>
    </w:p>
    <w:p w14:paraId="6175BD51" w14:textId="1DCEB0D6" w:rsidR="00525236" w:rsidRPr="004B0CA5" w:rsidRDefault="00525236" w:rsidP="004B0CA5">
      <w:pPr>
        <w:jc w:val="both"/>
        <w:rPr>
          <w:rFonts w:ascii="Times New Roman" w:hAnsi="Times New Roman" w:cs="Times New Roman"/>
          <w:u w:val="single"/>
        </w:rPr>
      </w:pPr>
      <w:r w:rsidRPr="004B0CA5">
        <w:rPr>
          <w:rFonts w:ascii="Times New Roman" w:hAnsi="Times New Roman" w:cs="Times New Roman"/>
          <w:u w:val="single"/>
        </w:rPr>
        <w:t xml:space="preserve">To what extent does Donne’s </w:t>
      </w:r>
      <w:r w:rsidRPr="004B0CA5">
        <w:rPr>
          <w:rFonts w:ascii="Times New Roman" w:hAnsi="Times New Roman" w:cs="Times New Roman"/>
          <w:i/>
          <w:iCs/>
          <w:u w:val="single"/>
        </w:rPr>
        <w:t>Devotions upon Emergent Occasions</w:t>
      </w:r>
      <w:r w:rsidRPr="004B0CA5">
        <w:rPr>
          <w:rFonts w:ascii="Times New Roman" w:hAnsi="Times New Roman" w:cs="Times New Roman"/>
          <w:u w:val="single"/>
        </w:rPr>
        <w:t xml:space="preserve"> conform either to the notion that disease is ‘the </w:t>
      </w:r>
      <w:proofErr w:type="spellStart"/>
      <w:r w:rsidRPr="004B0CA5">
        <w:rPr>
          <w:rFonts w:ascii="Times New Roman" w:hAnsi="Times New Roman" w:cs="Times New Roman"/>
          <w:u w:val="single"/>
        </w:rPr>
        <w:t>wil</w:t>
      </w:r>
      <w:proofErr w:type="spellEnd"/>
      <w:r w:rsidRPr="004B0CA5">
        <w:rPr>
          <w:rFonts w:ascii="Times New Roman" w:hAnsi="Times New Roman" w:cs="Times New Roman"/>
          <w:u w:val="single"/>
        </w:rPr>
        <w:t xml:space="preserve"> of God rightfully punishing wicked </w:t>
      </w:r>
      <w:proofErr w:type="spellStart"/>
      <w:r w:rsidRPr="004B0CA5">
        <w:rPr>
          <w:rFonts w:ascii="Times New Roman" w:hAnsi="Times New Roman" w:cs="Times New Roman"/>
          <w:u w:val="single"/>
        </w:rPr>
        <w:t>menne</w:t>
      </w:r>
      <w:proofErr w:type="spellEnd"/>
      <w:r w:rsidRPr="004B0CA5">
        <w:rPr>
          <w:rFonts w:ascii="Times New Roman" w:hAnsi="Times New Roman" w:cs="Times New Roman"/>
          <w:u w:val="single"/>
        </w:rPr>
        <w:t xml:space="preserve">’ (Thomas </w:t>
      </w:r>
      <w:proofErr w:type="spellStart"/>
      <w:r w:rsidRPr="004B0CA5">
        <w:rPr>
          <w:rFonts w:ascii="Times New Roman" w:hAnsi="Times New Roman" w:cs="Times New Roman"/>
          <w:u w:val="single"/>
        </w:rPr>
        <w:t>Phaire</w:t>
      </w:r>
      <w:proofErr w:type="spellEnd"/>
      <w:r w:rsidRPr="004B0CA5">
        <w:rPr>
          <w:rFonts w:ascii="Times New Roman" w:hAnsi="Times New Roman" w:cs="Times New Roman"/>
          <w:u w:val="single"/>
        </w:rPr>
        <w:t xml:space="preserve">, </w:t>
      </w:r>
      <w:r w:rsidRPr="004B0CA5">
        <w:rPr>
          <w:rFonts w:ascii="Times New Roman" w:hAnsi="Times New Roman" w:cs="Times New Roman"/>
          <w:i/>
          <w:iCs/>
          <w:u w:val="single"/>
        </w:rPr>
        <w:t>The Regiment of Life</w:t>
      </w:r>
      <w:r w:rsidRPr="004B0CA5">
        <w:rPr>
          <w:rFonts w:ascii="Times New Roman" w:hAnsi="Times New Roman" w:cs="Times New Roman"/>
          <w:u w:val="single"/>
        </w:rPr>
        <w:t xml:space="preserve"> (1533)) or that ‘</w:t>
      </w:r>
      <w:r w:rsidRPr="004B0CA5">
        <w:rPr>
          <w:rFonts w:ascii="Times New Roman" w:hAnsi="Times New Roman" w:cs="Times New Roman"/>
          <w:i/>
          <w:iCs/>
          <w:u w:val="single"/>
        </w:rPr>
        <w:t>affliction is a treasure</w:t>
      </w:r>
      <w:r w:rsidRPr="004B0CA5">
        <w:rPr>
          <w:rFonts w:ascii="Times New Roman" w:hAnsi="Times New Roman" w:cs="Times New Roman"/>
          <w:u w:val="single"/>
        </w:rPr>
        <w:t>’ by which we are ‘</w:t>
      </w:r>
      <w:r w:rsidRPr="0090030D">
        <w:rPr>
          <w:rFonts w:ascii="Times New Roman" w:hAnsi="Times New Roman" w:cs="Times New Roman"/>
          <w:i/>
          <w:iCs/>
          <w:u w:val="single"/>
        </w:rPr>
        <w:t>made fit for</w:t>
      </w:r>
      <w:r w:rsidRPr="004B0CA5">
        <w:rPr>
          <w:rFonts w:ascii="Times New Roman" w:hAnsi="Times New Roman" w:cs="Times New Roman"/>
          <w:u w:val="single"/>
        </w:rPr>
        <w:t xml:space="preserve"> </w:t>
      </w:r>
      <w:r w:rsidRPr="004B0CA5">
        <w:rPr>
          <w:rFonts w:ascii="Times New Roman" w:hAnsi="Times New Roman" w:cs="Times New Roman"/>
          <w:i/>
          <w:iCs/>
          <w:u w:val="single"/>
        </w:rPr>
        <w:t>God</w:t>
      </w:r>
      <w:r w:rsidRPr="004B0CA5">
        <w:rPr>
          <w:rFonts w:ascii="Times New Roman" w:hAnsi="Times New Roman" w:cs="Times New Roman"/>
          <w:u w:val="single"/>
        </w:rPr>
        <w:t xml:space="preserve">’ (Meditation XVII)? </w:t>
      </w:r>
    </w:p>
    <w:p w14:paraId="00993C63" w14:textId="77777777" w:rsidR="00EF0A58" w:rsidRDefault="00EF0A58" w:rsidP="004B0CA5">
      <w:pPr>
        <w:jc w:val="both"/>
        <w:rPr>
          <w:rFonts w:ascii="Times New Roman" w:hAnsi="Times New Roman" w:cs="Times New Roman"/>
          <w:u w:val="single"/>
        </w:rPr>
      </w:pPr>
    </w:p>
    <w:p w14:paraId="2A1BD7DF" w14:textId="7914873E" w:rsidR="001F1909" w:rsidRPr="00662797" w:rsidRDefault="001F1909" w:rsidP="004B0CA5">
      <w:pPr>
        <w:jc w:val="both"/>
        <w:rPr>
          <w:rFonts w:ascii="Times New Roman" w:hAnsi="Times New Roman" w:cs="Times New Roman"/>
        </w:rPr>
      </w:pPr>
      <w:r w:rsidRPr="001F1909">
        <w:rPr>
          <w:rFonts w:ascii="Times New Roman" w:hAnsi="Times New Roman" w:cs="Times New Roman"/>
          <w:i/>
          <w:iCs/>
        </w:rPr>
        <w:t>Devotions</w:t>
      </w:r>
      <w:r w:rsidR="00EF0A58">
        <w:rPr>
          <w:rFonts w:ascii="Times New Roman" w:hAnsi="Times New Roman" w:cs="Times New Roman"/>
          <w:i/>
          <w:iCs/>
        </w:rPr>
        <w:t xml:space="preserve"> upon Emergent Occasions</w:t>
      </w:r>
      <w:r>
        <w:rPr>
          <w:rFonts w:ascii="Times New Roman" w:hAnsi="Times New Roman" w:cs="Times New Roman"/>
        </w:rPr>
        <w:t xml:space="preserve"> is a 17</w:t>
      </w:r>
      <w:r w:rsidRPr="001F1909">
        <w:rPr>
          <w:rFonts w:ascii="Times New Roman" w:hAnsi="Times New Roman" w:cs="Times New Roman"/>
          <w:vertAlign w:val="superscript"/>
        </w:rPr>
        <w:t>th</w:t>
      </w:r>
      <w:r>
        <w:rPr>
          <w:rFonts w:ascii="Times New Roman" w:hAnsi="Times New Roman" w:cs="Times New Roman"/>
        </w:rPr>
        <w:t xml:space="preserve"> century piece of devotional writing, written as the author</w:t>
      </w:r>
      <w:r w:rsidR="00EF0A58">
        <w:rPr>
          <w:rFonts w:ascii="Times New Roman" w:hAnsi="Times New Roman" w:cs="Times New Roman"/>
        </w:rPr>
        <w:t xml:space="preserve"> John Donne</w:t>
      </w:r>
      <w:r>
        <w:rPr>
          <w:rFonts w:ascii="Times New Roman" w:hAnsi="Times New Roman" w:cs="Times New Roman"/>
        </w:rPr>
        <w:t>, experienced sickness in the form of possibly the plague or typhus. The piece serves as a spiritual contemplation of encountering illness in the context of his religious faith as a Roman Catholic</w:t>
      </w:r>
      <w:r w:rsidR="00EF0A58">
        <w:rPr>
          <w:rFonts w:ascii="Times New Roman" w:hAnsi="Times New Roman" w:cs="Times New Roman"/>
        </w:rPr>
        <w:t>, while using his skills a metaphysical writer and romantic poet</w:t>
      </w:r>
      <w:r>
        <w:rPr>
          <w:rFonts w:ascii="Times New Roman" w:hAnsi="Times New Roman" w:cs="Times New Roman"/>
        </w:rPr>
        <w:t>.</w:t>
      </w:r>
      <w:r>
        <w:rPr>
          <w:rStyle w:val="FootnoteReference"/>
          <w:rFonts w:ascii="Times New Roman" w:hAnsi="Times New Roman" w:cs="Times New Roman"/>
        </w:rPr>
        <w:footnoteReference w:id="1"/>
      </w:r>
      <w:r w:rsidR="004771D2">
        <w:rPr>
          <w:rFonts w:ascii="Times New Roman" w:hAnsi="Times New Roman" w:cs="Times New Roman"/>
        </w:rPr>
        <w:t xml:space="preserve"> Predominantly Roman Catholic countries relied on physicians, surgeons, apothecaries and dispensers of homemade remedies for relief from sickness in addition to divine aetiology of the saints.</w:t>
      </w:r>
      <w:r w:rsidR="00A4714F">
        <w:rPr>
          <w:rStyle w:val="FootnoteReference"/>
          <w:rFonts w:ascii="Times New Roman" w:hAnsi="Times New Roman" w:cs="Times New Roman"/>
        </w:rPr>
        <w:footnoteReference w:id="2"/>
      </w:r>
      <w:r w:rsidR="004771D2">
        <w:rPr>
          <w:rFonts w:ascii="Times New Roman" w:hAnsi="Times New Roman" w:cs="Times New Roman"/>
        </w:rPr>
        <w:t xml:space="preserve"> It was a common belief that sickness resulted from an imbalance of the four humours that make up our soul</w:t>
      </w:r>
      <w:r w:rsidR="00B913E0">
        <w:rPr>
          <w:rFonts w:ascii="Times New Roman" w:hAnsi="Times New Roman" w:cs="Times New Roman"/>
        </w:rPr>
        <w:t xml:space="preserve"> relating to the four elements of the Earth that live within us.</w:t>
      </w:r>
      <w:r w:rsidR="00DE6814">
        <w:rPr>
          <w:rStyle w:val="FootnoteReference"/>
          <w:rFonts w:ascii="Times New Roman" w:hAnsi="Times New Roman" w:cs="Times New Roman"/>
        </w:rPr>
        <w:footnoteReference w:id="3"/>
      </w:r>
      <w:r w:rsidR="004771D2">
        <w:rPr>
          <w:rFonts w:ascii="Times New Roman" w:hAnsi="Times New Roman" w:cs="Times New Roman"/>
        </w:rPr>
        <w:t xml:space="preserve"> </w:t>
      </w:r>
      <w:r w:rsidR="00B913E0">
        <w:rPr>
          <w:rFonts w:ascii="Times New Roman" w:hAnsi="Times New Roman" w:cs="Times New Roman"/>
        </w:rPr>
        <w:t>Or</w:t>
      </w:r>
      <w:r w:rsidR="00487610">
        <w:rPr>
          <w:rFonts w:ascii="Times New Roman" w:hAnsi="Times New Roman" w:cs="Times New Roman"/>
        </w:rPr>
        <w:t xml:space="preserve"> alternatively,</w:t>
      </w:r>
      <w:r w:rsidR="00B913E0">
        <w:rPr>
          <w:rFonts w:ascii="Times New Roman" w:hAnsi="Times New Roman" w:cs="Times New Roman"/>
        </w:rPr>
        <w:t xml:space="preserve"> a </w:t>
      </w:r>
      <w:r w:rsidR="004771D2">
        <w:rPr>
          <w:rFonts w:ascii="Times New Roman" w:hAnsi="Times New Roman" w:cs="Times New Roman"/>
        </w:rPr>
        <w:t xml:space="preserve">decadence of the vital spirit through overindulgence </w:t>
      </w:r>
      <w:r w:rsidR="00B913E0">
        <w:rPr>
          <w:rFonts w:ascii="Times New Roman" w:hAnsi="Times New Roman" w:cs="Times New Roman"/>
        </w:rPr>
        <w:t>of things classed as unnatural like: excessive appetite, emotion</w:t>
      </w:r>
      <w:r w:rsidR="002C5F3A">
        <w:rPr>
          <w:rFonts w:ascii="Times New Roman" w:hAnsi="Times New Roman" w:cs="Times New Roman"/>
        </w:rPr>
        <w:t>, rest, or sexual desires.</w:t>
      </w:r>
      <w:r w:rsidR="002C5F3A">
        <w:rPr>
          <w:rStyle w:val="FootnoteReference"/>
          <w:rFonts w:ascii="Times New Roman" w:hAnsi="Times New Roman" w:cs="Times New Roman"/>
        </w:rPr>
        <w:footnoteReference w:id="4"/>
      </w:r>
      <w:r w:rsidR="00A4714F">
        <w:rPr>
          <w:rFonts w:ascii="Times New Roman" w:hAnsi="Times New Roman" w:cs="Times New Roman"/>
        </w:rPr>
        <w:t xml:space="preserve"> </w:t>
      </w:r>
      <w:r w:rsidR="00662797">
        <w:rPr>
          <w:rFonts w:ascii="Times New Roman" w:hAnsi="Times New Roman" w:cs="Times New Roman"/>
        </w:rPr>
        <w:t xml:space="preserve">This notion could have been influenced by the earlier works of St Augustine in his </w:t>
      </w:r>
      <w:r w:rsidR="00662797" w:rsidRPr="00662797">
        <w:rPr>
          <w:rFonts w:ascii="Times New Roman" w:hAnsi="Times New Roman" w:cs="Times New Roman"/>
          <w:i/>
          <w:iCs/>
        </w:rPr>
        <w:t>Doctrine of Original Sin</w:t>
      </w:r>
      <w:r w:rsidR="00662797">
        <w:rPr>
          <w:rFonts w:ascii="Times New Roman" w:hAnsi="Times New Roman" w:cs="Times New Roman"/>
          <w:i/>
          <w:iCs/>
        </w:rPr>
        <w:t xml:space="preserve">, </w:t>
      </w:r>
      <w:r w:rsidR="00662797">
        <w:rPr>
          <w:rFonts w:ascii="Times New Roman" w:hAnsi="Times New Roman" w:cs="Times New Roman"/>
        </w:rPr>
        <w:t>which stated all humans are born with a longing for earthly materials</w:t>
      </w:r>
      <w:r w:rsidR="00F805B2">
        <w:rPr>
          <w:rFonts w:ascii="Times New Roman" w:hAnsi="Times New Roman" w:cs="Times New Roman"/>
        </w:rPr>
        <w:t>, otherwise referred to as concupiscence</w:t>
      </w:r>
      <w:r w:rsidR="00662797">
        <w:rPr>
          <w:rFonts w:ascii="Times New Roman" w:hAnsi="Times New Roman" w:cs="Times New Roman"/>
        </w:rPr>
        <w:t>. This concupiscence was inherited from Adam and Eve as we are all their descendants</w:t>
      </w:r>
      <w:r w:rsidR="00487610">
        <w:rPr>
          <w:rFonts w:ascii="Times New Roman" w:hAnsi="Times New Roman" w:cs="Times New Roman"/>
        </w:rPr>
        <w:t>,</w:t>
      </w:r>
      <w:r w:rsidR="00662797">
        <w:rPr>
          <w:rFonts w:ascii="Times New Roman" w:hAnsi="Times New Roman" w:cs="Times New Roman"/>
        </w:rPr>
        <w:t xml:space="preserve"> and since humanity is born from sexual intercourse</w:t>
      </w:r>
      <w:r w:rsidR="00F805B2">
        <w:rPr>
          <w:rFonts w:ascii="Times New Roman" w:hAnsi="Times New Roman" w:cs="Times New Roman"/>
        </w:rPr>
        <w:t>,</w:t>
      </w:r>
      <w:r w:rsidR="00662797">
        <w:rPr>
          <w:rFonts w:ascii="Times New Roman" w:hAnsi="Times New Roman" w:cs="Times New Roman"/>
        </w:rPr>
        <w:t xml:space="preserve"> which categorises as an earthly pleasure, </w:t>
      </w:r>
      <w:r w:rsidR="00F805B2">
        <w:rPr>
          <w:rFonts w:ascii="Times New Roman" w:hAnsi="Times New Roman" w:cs="Times New Roman"/>
        </w:rPr>
        <w:t xml:space="preserve">that sense of longing </w:t>
      </w:r>
      <w:r w:rsidR="00662797">
        <w:rPr>
          <w:rFonts w:ascii="Times New Roman" w:hAnsi="Times New Roman" w:cs="Times New Roman"/>
        </w:rPr>
        <w:t>i</w:t>
      </w:r>
      <w:r w:rsidR="00F805B2">
        <w:rPr>
          <w:rFonts w:ascii="Times New Roman" w:hAnsi="Times New Roman" w:cs="Times New Roman"/>
        </w:rPr>
        <w:t>s</w:t>
      </w:r>
      <w:r w:rsidR="00662797">
        <w:rPr>
          <w:rFonts w:ascii="Times New Roman" w:hAnsi="Times New Roman" w:cs="Times New Roman"/>
        </w:rPr>
        <w:t xml:space="preserve"> most definitely within our beings.</w:t>
      </w:r>
      <w:r w:rsidR="00F805B2">
        <w:rPr>
          <w:rFonts w:ascii="Times New Roman" w:hAnsi="Times New Roman" w:cs="Times New Roman"/>
        </w:rPr>
        <w:t xml:space="preserve"> The sense of longing is what drives individuals to sin, although according to Augustine, we are predestined to do so.</w:t>
      </w:r>
      <w:r w:rsidR="00F805B2">
        <w:rPr>
          <w:rStyle w:val="FootnoteReference"/>
          <w:rFonts w:ascii="Times New Roman" w:hAnsi="Times New Roman" w:cs="Times New Roman"/>
        </w:rPr>
        <w:footnoteReference w:id="5"/>
      </w:r>
      <w:r w:rsidR="00F805B2">
        <w:rPr>
          <w:rFonts w:ascii="Times New Roman" w:hAnsi="Times New Roman" w:cs="Times New Roman"/>
        </w:rPr>
        <w:t xml:space="preserve"> The overarching belief was that sickness came from the soul of the human</w:t>
      </w:r>
      <w:r w:rsidR="00487610">
        <w:rPr>
          <w:rFonts w:ascii="Times New Roman" w:hAnsi="Times New Roman" w:cs="Times New Roman"/>
        </w:rPr>
        <w:t xml:space="preserve"> being</w:t>
      </w:r>
      <w:r w:rsidR="00F805B2">
        <w:rPr>
          <w:rFonts w:ascii="Times New Roman" w:hAnsi="Times New Roman" w:cs="Times New Roman"/>
        </w:rPr>
        <w:t xml:space="preserve"> it was corrupting.</w:t>
      </w:r>
    </w:p>
    <w:p w14:paraId="664BC7CB" w14:textId="4FCDD0AA" w:rsidR="00EF0A58" w:rsidRPr="004B0CA5" w:rsidRDefault="00EF0A58" w:rsidP="00EF0A58">
      <w:pPr>
        <w:jc w:val="both"/>
        <w:rPr>
          <w:rFonts w:ascii="Times New Roman" w:hAnsi="Times New Roman" w:cs="Times New Roman"/>
        </w:rPr>
      </w:pPr>
      <w:r>
        <w:rPr>
          <w:rFonts w:ascii="Times New Roman" w:hAnsi="Times New Roman" w:cs="Times New Roman"/>
        </w:rPr>
        <w:t>It was</w:t>
      </w:r>
      <w:r>
        <w:rPr>
          <w:rFonts w:ascii="Times New Roman" w:hAnsi="Times New Roman" w:cs="Times New Roman"/>
        </w:rPr>
        <w:t xml:space="preserve"> Donne’s</w:t>
      </w:r>
      <w:r>
        <w:rPr>
          <w:rFonts w:ascii="Times New Roman" w:hAnsi="Times New Roman" w:cs="Times New Roman"/>
        </w:rPr>
        <w:t xml:space="preserve"> belief that ‘affliction is a treasure’ as it makes us ‘fit for God’, this notion would have been linked to his faith as a Roman Catholic</w:t>
      </w:r>
      <w:r w:rsidR="00194C69">
        <w:rPr>
          <w:rFonts w:ascii="Times New Roman" w:hAnsi="Times New Roman" w:cs="Times New Roman"/>
        </w:rPr>
        <w:t xml:space="preserve"> or he may have been influenced by the works of Thomas Aquinas</w:t>
      </w:r>
      <w:r>
        <w:rPr>
          <w:rFonts w:ascii="Times New Roman" w:hAnsi="Times New Roman" w:cs="Times New Roman"/>
        </w:rPr>
        <w:t>.</w:t>
      </w:r>
      <w:r>
        <w:rPr>
          <w:rStyle w:val="FootnoteReference"/>
          <w:rFonts w:ascii="Times New Roman" w:hAnsi="Times New Roman" w:cs="Times New Roman"/>
        </w:rPr>
        <w:footnoteReference w:id="6"/>
      </w:r>
      <w:r w:rsidR="00194C69">
        <w:rPr>
          <w:rFonts w:ascii="Times New Roman" w:hAnsi="Times New Roman" w:cs="Times New Roman"/>
        </w:rPr>
        <w:t xml:space="preserve"> Aquinas’ theory of Natural Law stated that  God’s eternal law or rationality could be accessed through humans and that was why they chose to live their lives with the purpose of re-establishing their relationship with God.</w:t>
      </w:r>
      <w:r w:rsidR="00194C69">
        <w:rPr>
          <w:rStyle w:val="FootnoteReference"/>
          <w:rFonts w:ascii="Times New Roman" w:hAnsi="Times New Roman" w:cs="Times New Roman"/>
        </w:rPr>
        <w:footnoteReference w:id="7"/>
      </w:r>
      <w:r>
        <w:rPr>
          <w:rFonts w:ascii="Times New Roman" w:hAnsi="Times New Roman" w:cs="Times New Roman"/>
        </w:rPr>
        <w:t xml:space="preserve"> Throughout </w:t>
      </w:r>
      <w:r w:rsidRPr="00E95E6E">
        <w:rPr>
          <w:rFonts w:ascii="Times New Roman" w:hAnsi="Times New Roman" w:cs="Times New Roman"/>
          <w:i/>
          <w:iCs/>
        </w:rPr>
        <w:t>Devotions</w:t>
      </w:r>
      <w:r>
        <w:rPr>
          <w:rFonts w:ascii="Times New Roman" w:hAnsi="Times New Roman" w:cs="Times New Roman"/>
          <w:i/>
          <w:iCs/>
        </w:rPr>
        <w:t xml:space="preserve">, </w:t>
      </w:r>
      <w:r>
        <w:rPr>
          <w:rFonts w:ascii="Times New Roman" w:hAnsi="Times New Roman" w:cs="Times New Roman"/>
        </w:rPr>
        <w:t xml:space="preserve">Donne documents his thought process on the </w:t>
      </w:r>
      <w:r>
        <w:rPr>
          <w:rFonts w:ascii="Times New Roman" w:hAnsi="Times New Roman" w:cs="Times New Roman"/>
        </w:rPr>
        <w:lastRenderedPageBreak/>
        <w:t>opportunity for salvation provided by the sickness he is enduring. The experience of sickness is by Donne’s definition, an opportunity for the soul to be ‘m</w:t>
      </w:r>
      <w:r w:rsidRPr="004B0CA5">
        <w:rPr>
          <w:rFonts w:ascii="Times New Roman" w:hAnsi="Times New Roman" w:cs="Times New Roman"/>
        </w:rPr>
        <w:t>atured and ripened</w:t>
      </w:r>
      <w:r>
        <w:rPr>
          <w:rFonts w:ascii="Times New Roman" w:hAnsi="Times New Roman" w:cs="Times New Roman"/>
        </w:rPr>
        <w:t>’, creating a bettered being that would be ‘fit for God’ when reunited after death.</w:t>
      </w:r>
      <w:r>
        <w:rPr>
          <w:rStyle w:val="FootnoteReference"/>
          <w:rFonts w:ascii="Times New Roman" w:hAnsi="Times New Roman" w:cs="Times New Roman"/>
        </w:rPr>
        <w:footnoteReference w:id="8"/>
      </w:r>
      <w:r>
        <w:rPr>
          <w:rFonts w:ascii="Times New Roman" w:hAnsi="Times New Roman" w:cs="Times New Roman"/>
        </w:rPr>
        <w:t xml:space="preserve"> There is a potential to establish a deeper and more interconnected relationship with God that may have been strayed from; as Donne’s admittance of his own sins in devotion fifteen specifies a ‘wilful abstaining from thy congregations’ would suggest.</w:t>
      </w:r>
      <w:r>
        <w:rPr>
          <w:rStyle w:val="FootnoteReference"/>
          <w:rFonts w:ascii="Times New Roman" w:hAnsi="Times New Roman" w:cs="Times New Roman"/>
        </w:rPr>
        <w:footnoteReference w:id="9"/>
      </w:r>
      <w:r>
        <w:rPr>
          <w:rFonts w:ascii="Times New Roman" w:hAnsi="Times New Roman" w:cs="Times New Roman"/>
        </w:rPr>
        <w:t xml:space="preserve"> The view of ‘affliction is a treasure’ can not only be applied to Donne’s own sickness encouraging self-reflection, but his encountering of the bells that signify the sickness or death of another. If the ‘consideration of another’s danger’ draws people into contemplation over their own mortality or whether they are living their lives in accordance with God, then sickness truly is a treasure that reaches all and makes them ‘fit for God’.</w:t>
      </w:r>
      <w:r>
        <w:rPr>
          <w:rStyle w:val="FootnoteReference"/>
          <w:rFonts w:ascii="Times New Roman" w:hAnsi="Times New Roman" w:cs="Times New Roman"/>
        </w:rPr>
        <w:footnoteReference w:id="10"/>
      </w:r>
      <w:r>
        <w:rPr>
          <w:rFonts w:ascii="Times New Roman" w:hAnsi="Times New Roman" w:cs="Times New Roman"/>
        </w:rPr>
        <w:t xml:space="preserve"> This classification of sickness as a ‘treasure’ can only be recognised by the individual experiencing it if they understand that in suffering, they are unlocking their opportunity for enlightenment. Even if the individual is aware like Donne, of why they have become sick, due to their sins; they still need to understand what the experience has to offer them. Sickness to Donne holds hope, as he recognises it as his time to repent and better his efforts to reform his relationship with God, should the illness he suffers claim his life.</w:t>
      </w:r>
      <w:r>
        <w:rPr>
          <w:rStyle w:val="FootnoteReference"/>
          <w:rFonts w:ascii="Times New Roman" w:hAnsi="Times New Roman" w:cs="Times New Roman"/>
        </w:rPr>
        <w:footnoteReference w:id="11"/>
      </w:r>
      <w:r>
        <w:rPr>
          <w:rFonts w:ascii="Times New Roman" w:hAnsi="Times New Roman" w:cs="Times New Roman"/>
        </w:rPr>
        <w:t xml:space="preserve"> Had he succumb to his illness, by Donne’s belief, he would have been made ‘fit for God’ and joined him in heaven after having repented his sins.</w:t>
      </w:r>
    </w:p>
    <w:p w14:paraId="043C9C6E" w14:textId="77777777" w:rsidR="00EF0A58" w:rsidRPr="004B0CA5" w:rsidRDefault="00EF0A58" w:rsidP="00EF0A58">
      <w:pPr>
        <w:jc w:val="both"/>
        <w:rPr>
          <w:rFonts w:ascii="Times New Roman" w:hAnsi="Times New Roman" w:cs="Times New Roman"/>
        </w:rPr>
      </w:pPr>
      <w:r>
        <w:rPr>
          <w:rFonts w:ascii="Times New Roman" w:hAnsi="Times New Roman" w:cs="Times New Roman"/>
        </w:rPr>
        <w:t>Donne encourages God to ‘l</w:t>
      </w:r>
      <w:r w:rsidRPr="004B0CA5">
        <w:rPr>
          <w:rFonts w:ascii="Times New Roman" w:hAnsi="Times New Roman" w:cs="Times New Roman"/>
        </w:rPr>
        <w:t>ay hold upon his sou</w:t>
      </w:r>
      <w:r>
        <w:rPr>
          <w:rFonts w:ascii="Times New Roman" w:hAnsi="Times New Roman" w:cs="Times New Roman"/>
        </w:rPr>
        <w:t>l’ until the person experiencing sickness has ‘thoroughly considered his account’, he begs for whatever little time will be granted for who the bell is ringing. This speaks to the fear that a person, be it him or another will pass before taking full advantage of the opportunity to repent before succumbing to their illness.</w:t>
      </w:r>
      <w:r>
        <w:rPr>
          <w:rStyle w:val="FootnoteReference"/>
          <w:rFonts w:ascii="Times New Roman" w:hAnsi="Times New Roman" w:cs="Times New Roman"/>
        </w:rPr>
        <w:footnoteReference w:id="12"/>
      </w:r>
      <w:r>
        <w:rPr>
          <w:rFonts w:ascii="Times New Roman" w:hAnsi="Times New Roman" w:cs="Times New Roman"/>
        </w:rPr>
        <w:t xml:space="preserve"> This shortness of time links to the contemplation of morality everyone must encounter when they hear the bell, and the importance of reflecting on the spiritual improvements they too could make without being whom the bell is ringing for. When Donne recovers from his sickness, he is warned against the possibility of relapse into ‘spiritual sickness’, suggesting he could squander the ‘infinite mercies’ bestowed upon him by God. He goes on further to state that his sickness was indeed a gift that brought him closer to God in repentance but his relapse has ‘cast me farther from thee’.</w:t>
      </w:r>
      <w:r>
        <w:rPr>
          <w:rStyle w:val="FootnoteReference"/>
          <w:rFonts w:ascii="Times New Roman" w:hAnsi="Times New Roman" w:cs="Times New Roman"/>
        </w:rPr>
        <w:footnoteReference w:id="13"/>
      </w:r>
      <w:r>
        <w:rPr>
          <w:rFonts w:ascii="Times New Roman" w:hAnsi="Times New Roman" w:cs="Times New Roman"/>
        </w:rPr>
        <w:t xml:space="preserve"> Donne’s final devotion suggests that sickness is indeed a ‘treasure’ that can bring beings closer to God, yet if this gift can be can cast aside for the return to sin through indulging earthly attachments, then it does not necessarily make beings ‘fit for God’. It is only when the individual who is sick respects suffering as a means for God to visit them and offer salvation that they can sever attachment to earthly pleasures and achieve enlightenment, making them ‘fit for God’.</w:t>
      </w:r>
      <w:r>
        <w:rPr>
          <w:rStyle w:val="FootnoteReference"/>
          <w:rFonts w:ascii="Times New Roman" w:hAnsi="Times New Roman" w:cs="Times New Roman"/>
        </w:rPr>
        <w:footnoteReference w:id="14"/>
      </w:r>
    </w:p>
    <w:p w14:paraId="2D4172A3" w14:textId="77777777" w:rsidR="00EF0A58" w:rsidRDefault="00EF0A58" w:rsidP="004B0CA5">
      <w:pPr>
        <w:jc w:val="both"/>
        <w:rPr>
          <w:rFonts w:ascii="Times New Roman" w:hAnsi="Times New Roman" w:cs="Times New Roman"/>
          <w:u w:val="single"/>
        </w:rPr>
      </w:pPr>
    </w:p>
    <w:p w14:paraId="27EC1795" w14:textId="594E665E" w:rsidR="009B38E0" w:rsidRDefault="008045C0" w:rsidP="004B0CA5">
      <w:pPr>
        <w:jc w:val="both"/>
        <w:rPr>
          <w:rFonts w:ascii="Times New Roman" w:hAnsi="Times New Roman" w:cs="Times New Roman"/>
        </w:rPr>
      </w:pPr>
      <w:r w:rsidRPr="00650E2B">
        <w:rPr>
          <w:rFonts w:ascii="Times New Roman" w:hAnsi="Times New Roman" w:cs="Times New Roman"/>
        </w:rPr>
        <w:t xml:space="preserve">Thomas </w:t>
      </w:r>
      <w:proofErr w:type="spellStart"/>
      <w:r w:rsidRPr="00650E2B">
        <w:rPr>
          <w:rFonts w:ascii="Times New Roman" w:hAnsi="Times New Roman" w:cs="Times New Roman"/>
        </w:rPr>
        <w:t>Phaire</w:t>
      </w:r>
      <w:proofErr w:type="spellEnd"/>
      <w:r w:rsidR="00650E2B">
        <w:rPr>
          <w:rFonts w:ascii="Times New Roman" w:hAnsi="Times New Roman" w:cs="Times New Roman"/>
        </w:rPr>
        <w:t xml:space="preserve"> was a lawyer, paediatrician and author in the 16</w:t>
      </w:r>
      <w:r w:rsidR="00650E2B" w:rsidRPr="00650E2B">
        <w:rPr>
          <w:rFonts w:ascii="Times New Roman" w:hAnsi="Times New Roman" w:cs="Times New Roman"/>
          <w:vertAlign w:val="superscript"/>
        </w:rPr>
        <w:t>th</w:t>
      </w:r>
      <w:r w:rsidR="00650E2B">
        <w:rPr>
          <w:rFonts w:ascii="Times New Roman" w:hAnsi="Times New Roman" w:cs="Times New Roman"/>
        </w:rPr>
        <w:t xml:space="preserve"> century. While his religious orientation is not specifically known, it can be assumed that he worshipped in the English Church due to his being </w:t>
      </w:r>
      <w:r w:rsidR="00650E2B">
        <w:rPr>
          <w:rFonts w:ascii="Times New Roman" w:hAnsi="Times New Roman" w:cs="Times New Roman"/>
        </w:rPr>
        <w:lastRenderedPageBreak/>
        <w:t>born in the East of England.</w:t>
      </w:r>
      <w:r w:rsidR="00650E2B">
        <w:rPr>
          <w:rStyle w:val="FootnoteReference"/>
          <w:rFonts w:ascii="Times New Roman" w:hAnsi="Times New Roman" w:cs="Times New Roman"/>
        </w:rPr>
        <w:footnoteReference w:id="15"/>
      </w:r>
      <w:r w:rsidR="00650E2B">
        <w:rPr>
          <w:rFonts w:ascii="Times New Roman" w:hAnsi="Times New Roman" w:cs="Times New Roman"/>
        </w:rPr>
        <w:t xml:space="preserve"> </w:t>
      </w:r>
      <w:proofErr w:type="spellStart"/>
      <w:r w:rsidR="00650E2B">
        <w:rPr>
          <w:rFonts w:ascii="Times New Roman" w:hAnsi="Times New Roman" w:cs="Times New Roman"/>
        </w:rPr>
        <w:t>Phaire</w:t>
      </w:r>
      <w:proofErr w:type="spellEnd"/>
      <w:r w:rsidR="00650E2B">
        <w:rPr>
          <w:rFonts w:ascii="Times New Roman" w:hAnsi="Times New Roman" w:cs="Times New Roman"/>
        </w:rPr>
        <w:t xml:space="preserve"> wrote in </w:t>
      </w:r>
      <w:r w:rsidR="00955BD1" w:rsidRPr="00955BD1">
        <w:rPr>
          <w:rFonts w:ascii="Times New Roman" w:hAnsi="Times New Roman" w:cs="Times New Roman"/>
          <w:i/>
          <w:iCs/>
        </w:rPr>
        <w:t>The Regiment of Life</w:t>
      </w:r>
      <w:r w:rsidR="00955BD1">
        <w:rPr>
          <w:rFonts w:ascii="Times New Roman" w:hAnsi="Times New Roman" w:cs="Times New Roman"/>
        </w:rPr>
        <w:t xml:space="preserve"> that disease and sickness is ‘the </w:t>
      </w:r>
      <w:proofErr w:type="spellStart"/>
      <w:r w:rsidR="00955BD1">
        <w:rPr>
          <w:rFonts w:ascii="Times New Roman" w:hAnsi="Times New Roman" w:cs="Times New Roman"/>
        </w:rPr>
        <w:t>wil</w:t>
      </w:r>
      <w:proofErr w:type="spellEnd"/>
      <w:r w:rsidR="00955BD1">
        <w:rPr>
          <w:rFonts w:ascii="Times New Roman" w:hAnsi="Times New Roman" w:cs="Times New Roman"/>
        </w:rPr>
        <w:t xml:space="preserve"> of God rightfully punishing wicked </w:t>
      </w:r>
      <w:proofErr w:type="spellStart"/>
      <w:r w:rsidR="00955BD1">
        <w:rPr>
          <w:rFonts w:ascii="Times New Roman" w:hAnsi="Times New Roman" w:cs="Times New Roman"/>
        </w:rPr>
        <w:t>menne</w:t>
      </w:r>
      <w:proofErr w:type="spellEnd"/>
      <w:r w:rsidR="00955BD1">
        <w:rPr>
          <w:rFonts w:ascii="Times New Roman" w:hAnsi="Times New Roman" w:cs="Times New Roman"/>
        </w:rPr>
        <w:t>’.</w:t>
      </w:r>
      <w:r w:rsidR="00955BD1">
        <w:rPr>
          <w:rStyle w:val="FootnoteReference"/>
          <w:rFonts w:ascii="Times New Roman" w:hAnsi="Times New Roman" w:cs="Times New Roman"/>
        </w:rPr>
        <w:footnoteReference w:id="16"/>
      </w:r>
      <w:r w:rsidR="00955BD1">
        <w:rPr>
          <w:rFonts w:ascii="Times New Roman" w:hAnsi="Times New Roman" w:cs="Times New Roman"/>
        </w:rPr>
        <w:t xml:space="preserve"> Donne’s</w:t>
      </w:r>
      <w:r w:rsidR="0073016D">
        <w:rPr>
          <w:rFonts w:ascii="Times New Roman" w:hAnsi="Times New Roman" w:cs="Times New Roman"/>
        </w:rPr>
        <w:t xml:space="preserve"> </w:t>
      </w:r>
      <w:r w:rsidR="00955BD1" w:rsidRPr="00955BD1">
        <w:rPr>
          <w:rFonts w:ascii="Times New Roman" w:hAnsi="Times New Roman" w:cs="Times New Roman"/>
          <w:i/>
          <w:iCs/>
        </w:rPr>
        <w:t xml:space="preserve">Devotions </w:t>
      </w:r>
      <w:r w:rsidR="00955BD1">
        <w:rPr>
          <w:rFonts w:ascii="Times New Roman" w:hAnsi="Times New Roman" w:cs="Times New Roman"/>
        </w:rPr>
        <w:t>conforms to this notion by first mentioning God’s initial design for human beings contai</w:t>
      </w:r>
      <w:r w:rsidR="00527391">
        <w:rPr>
          <w:rFonts w:ascii="Times New Roman" w:hAnsi="Times New Roman" w:cs="Times New Roman"/>
        </w:rPr>
        <w:t>ned</w:t>
      </w:r>
      <w:r w:rsidR="00955BD1">
        <w:rPr>
          <w:rFonts w:ascii="Times New Roman" w:hAnsi="Times New Roman" w:cs="Times New Roman"/>
        </w:rPr>
        <w:t xml:space="preserve"> immortality. Drawing from the concept of God creating human beings in his image, he plant</w:t>
      </w:r>
      <w:r w:rsidR="0073016D">
        <w:rPr>
          <w:rFonts w:ascii="Times New Roman" w:hAnsi="Times New Roman" w:cs="Times New Roman"/>
        </w:rPr>
        <w:t>ed</w:t>
      </w:r>
      <w:r w:rsidR="00955BD1">
        <w:rPr>
          <w:rFonts w:ascii="Times New Roman" w:hAnsi="Times New Roman" w:cs="Times New Roman"/>
        </w:rPr>
        <w:t xml:space="preserve"> ‘a beam of immortality in us</w:t>
      </w:r>
      <w:r w:rsidR="009448FA">
        <w:rPr>
          <w:rFonts w:ascii="Times New Roman" w:hAnsi="Times New Roman" w:cs="Times New Roman"/>
        </w:rPr>
        <w:t>’ which we then ‘blew it out by our first sin’.</w:t>
      </w:r>
      <w:r w:rsidR="009448FA">
        <w:rPr>
          <w:rStyle w:val="FootnoteReference"/>
          <w:rFonts w:ascii="Times New Roman" w:hAnsi="Times New Roman" w:cs="Times New Roman"/>
        </w:rPr>
        <w:footnoteReference w:id="17"/>
      </w:r>
      <w:r w:rsidR="009448FA">
        <w:rPr>
          <w:rFonts w:ascii="Times New Roman" w:hAnsi="Times New Roman" w:cs="Times New Roman"/>
        </w:rPr>
        <w:t xml:space="preserve"> It was after Adam and Eve committed the first sin </w:t>
      </w:r>
      <w:r w:rsidR="00527391">
        <w:rPr>
          <w:rFonts w:ascii="Times New Roman" w:hAnsi="Times New Roman" w:cs="Times New Roman"/>
        </w:rPr>
        <w:t xml:space="preserve">of eating fruit from the tree of knowledge </w:t>
      </w:r>
      <w:r w:rsidR="009448FA">
        <w:rPr>
          <w:rFonts w:ascii="Times New Roman" w:hAnsi="Times New Roman" w:cs="Times New Roman"/>
        </w:rPr>
        <w:t>that our immortality was taken awa</w:t>
      </w:r>
      <w:r w:rsidR="0073016D">
        <w:rPr>
          <w:rFonts w:ascii="Times New Roman" w:hAnsi="Times New Roman" w:cs="Times New Roman"/>
        </w:rPr>
        <w:t>y</w:t>
      </w:r>
      <w:r w:rsidR="009448FA">
        <w:rPr>
          <w:rFonts w:ascii="Times New Roman" w:hAnsi="Times New Roman" w:cs="Times New Roman"/>
        </w:rPr>
        <w:t xml:space="preserve"> and we were cursed ‘not only to die, but die upon the rack, die by the torment of sickness’.</w:t>
      </w:r>
      <w:r w:rsidR="009448FA">
        <w:rPr>
          <w:rStyle w:val="FootnoteReference"/>
          <w:rFonts w:ascii="Times New Roman" w:hAnsi="Times New Roman" w:cs="Times New Roman"/>
        </w:rPr>
        <w:footnoteReference w:id="18"/>
      </w:r>
      <w:r w:rsidR="0073016D">
        <w:rPr>
          <w:rFonts w:ascii="Times New Roman" w:hAnsi="Times New Roman" w:cs="Times New Roman"/>
        </w:rPr>
        <w:t xml:space="preserve"> </w:t>
      </w:r>
      <w:r w:rsidR="008D2AC4">
        <w:rPr>
          <w:rFonts w:ascii="Times New Roman" w:hAnsi="Times New Roman" w:cs="Times New Roman"/>
        </w:rPr>
        <w:t>This act was the first instance for s</w:t>
      </w:r>
      <w:r w:rsidR="0073016D">
        <w:rPr>
          <w:rFonts w:ascii="Times New Roman" w:hAnsi="Times New Roman" w:cs="Times New Roman"/>
        </w:rPr>
        <w:t>ickness as humanities punishment for sin</w:t>
      </w:r>
      <w:r w:rsidR="008D2AC4">
        <w:rPr>
          <w:rFonts w:ascii="Times New Roman" w:hAnsi="Times New Roman" w:cs="Times New Roman"/>
        </w:rPr>
        <w:t>.</w:t>
      </w:r>
      <w:r w:rsidR="0073016D">
        <w:rPr>
          <w:rFonts w:ascii="Times New Roman" w:hAnsi="Times New Roman" w:cs="Times New Roman"/>
        </w:rPr>
        <w:t xml:space="preserve"> Donne later admits to having a ‘heavy and innumerable multitude’ of sinful acts that he believes is the origins for his sickness</w:t>
      </w:r>
      <w:r w:rsidR="00527391">
        <w:rPr>
          <w:rFonts w:ascii="Times New Roman" w:hAnsi="Times New Roman" w:cs="Times New Roman"/>
        </w:rPr>
        <w:t xml:space="preserve">, further conforming to </w:t>
      </w:r>
      <w:proofErr w:type="spellStart"/>
      <w:r w:rsidR="00527391">
        <w:rPr>
          <w:rFonts w:ascii="Times New Roman" w:hAnsi="Times New Roman" w:cs="Times New Roman"/>
        </w:rPr>
        <w:t>Phaire’s</w:t>
      </w:r>
      <w:proofErr w:type="spellEnd"/>
      <w:r w:rsidR="00527391">
        <w:rPr>
          <w:rFonts w:ascii="Times New Roman" w:hAnsi="Times New Roman" w:cs="Times New Roman"/>
        </w:rPr>
        <w:t xml:space="preserve"> statement.</w:t>
      </w:r>
      <w:r w:rsidR="0073016D">
        <w:rPr>
          <w:rStyle w:val="FootnoteReference"/>
          <w:rFonts w:ascii="Times New Roman" w:hAnsi="Times New Roman" w:cs="Times New Roman"/>
        </w:rPr>
        <w:footnoteReference w:id="19"/>
      </w:r>
      <w:r w:rsidR="00DF0C0F">
        <w:rPr>
          <w:rFonts w:ascii="Times New Roman" w:hAnsi="Times New Roman" w:cs="Times New Roman"/>
        </w:rPr>
        <w:t xml:space="preserve"> </w:t>
      </w:r>
      <w:r w:rsidR="00D9067D">
        <w:rPr>
          <w:rFonts w:ascii="Times New Roman" w:hAnsi="Times New Roman" w:cs="Times New Roman"/>
        </w:rPr>
        <w:t>In Donne’s eighteenth devotion he quarrels with the opinion that philosophers find it difficult to charge the soul with the ‘guiltiness of original sin’</w:t>
      </w:r>
      <w:r w:rsidR="00157400">
        <w:rPr>
          <w:rFonts w:ascii="Times New Roman" w:hAnsi="Times New Roman" w:cs="Times New Roman"/>
        </w:rPr>
        <w:t>.</w:t>
      </w:r>
      <w:r w:rsidR="00D9067D">
        <w:rPr>
          <w:rFonts w:ascii="Times New Roman" w:hAnsi="Times New Roman" w:cs="Times New Roman"/>
        </w:rPr>
        <w:t xml:space="preserve"> </w:t>
      </w:r>
      <w:r w:rsidR="00157400">
        <w:rPr>
          <w:rFonts w:ascii="Times New Roman" w:hAnsi="Times New Roman" w:cs="Times New Roman"/>
        </w:rPr>
        <w:t>A</w:t>
      </w:r>
      <w:r w:rsidR="00D9067D">
        <w:rPr>
          <w:rFonts w:ascii="Times New Roman" w:hAnsi="Times New Roman" w:cs="Times New Roman"/>
        </w:rPr>
        <w:t>s</w:t>
      </w:r>
      <w:r w:rsidR="00002893">
        <w:rPr>
          <w:rFonts w:ascii="Times New Roman" w:hAnsi="Times New Roman" w:cs="Times New Roman"/>
        </w:rPr>
        <w:t xml:space="preserve"> the soul</w:t>
      </w:r>
      <w:r w:rsidR="00D9067D">
        <w:rPr>
          <w:rFonts w:ascii="Times New Roman" w:hAnsi="Times New Roman" w:cs="Times New Roman"/>
        </w:rPr>
        <w:t xml:space="preserve"> is a separate entity</w:t>
      </w:r>
      <w:r w:rsidR="00157400">
        <w:rPr>
          <w:rFonts w:ascii="Times New Roman" w:hAnsi="Times New Roman" w:cs="Times New Roman"/>
        </w:rPr>
        <w:t>, formed of the holy spirit,</w:t>
      </w:r>
      <w:r w:rsidR="00D9067D">
        <w:rPr>
          <w:rFonts w:ascii="Times New Roman" w:hAnsi="Times New Roman" w:cs="Times New Roman"/>
        </w:rPr>
        <w:t xml:space="preserve"> that must enter the body</w:t>
      </w:r>
      <w:r w:rsidR="00157400">
        <w:rPr>
          <w:rFonts w:ascii="Times New Roman" w:hAnsi="Times New Roman" w:cs="Times New Roman"/>
        </w:rPr>
        <w:t xml:space="preserve">, if the soul was already imbued with </w:t>
      </w:r>
      <w:r w:rsidR="00B97F19">
        <w:rPr>
          <w:rFonts w:ascii="Times New Roman" w:hAnsi="Times New Roman" w:cs="Times New Roman"/>
        </w:rPr>
        <w:t>sin,</w:t>
      </w:r>
      <w:r w:rsidR="00157400">
        <w:rPr>
          <w:rFonts w:ascii="Times New Roman" w:hAnsi="Times New Roman" w:cs="Times New Roman"/>
        </w:rPr>
        <w:t xml:space="preserve"> it would</w:t>
      </w:r>
      <w:r w:rsidR="00D9067D">
        <w:rPr>
          <w:rFonts w:ascii="Times New Roman" w:hAnsi="Times New Roman" w:cs="Times New Roman"/>
        </w:rPr>
        <w:t xml:space="preserve"> therefore be predestined for sickness. He does not wish to believe this of </w:t>
      </w:r>
      <w:r w:rsidR="00002893">
        <w:rPr>
          <w:rFonts w:ascii="Times New Roman" w:hAnsi="Times New Roman" w:cs="Times New Roman"/>
        </w:rPr>
        <w:t>a God he perceives as</w:t>
      </w:r>
      <w:r w:rsidR="00D9067D">
        <w:rPr>
          <w:rFonts w:ascii="Times New Roman" w:hAnsi="Times New Roman" w:cs="Times New Roman"/>
        </w:rPr>
        <w:t xml:space="preserve"> </w:t>
      </w:r>
      <w:r w:rsidR="00002893">
        <w:rPr>
          <w:rFonts w:ascii="Times New Roman" w:hAnsi="Times New Roman" w:cs="Times New Roman"/>
        </w:rPr>
        <w:t xml:space="preserve">omnibenevolent, </w:t>
      </w:r>
      <w:r w:rsidR="00D9067D">
        <w:rPr>
          <w:rFonts w:ascii="Times New Roman" w:hAnsi="Times New Roman" w:cs="Times New Roman"/>
        </w:rPr>
        <w:t>and</w:t>
      </w:r>
      <w:r w:rsidR="00002893">
        <w:rPr>
          <w:rFonts w:ascii="Times New Roman" w:hAnsi="Times New Roman" w:cs="Times New Roman"/>
        </w:rPr>
        <w:t xml:space="preserve"> so</w:t>
      </w:r>
      <w:r w:rsidR="00D9067D">
        <w:rPr>
          <w:rFonts w:ascii="Times New Roman" w:hAnsi="Times New Roman" w:cs="Times New Roman"/>
        </w:rPr>
        <w:t xml:space="preserve"> reverts back to the opinion that his sickness has stemmed from his own sin not the inherited</w:t>
      </w:r>
      <w:r w:rsidR="00002893">
        <w:rPr>
          <w:rFonts w:ascii="Times New Roman" w:hAnsi="Times New Roman" w:cs="Times New Roman"/>
        </w:rPr>
        <w:t xml:space="preserve"> flaw</w:t>
      </w:r>
      <w:r w:rsidR="00D9067D">
        <w:rPr>
          <w:rFonts w:ascii="Times New Roman" w:hAnsi="Times New Roman" w:cs="Times New Roman"/>
        </w:rPr>
        <w:t xml:space="preserve"> as children of Adam and Eve.</w:t>
      </w:r>
      <w:r w:rsidR="00002893">
        <w:rPr>
          <w:rStyle w:val="FootnoteReference"/>
          <w:rFonts w:ascii="Times New Roman" w:hAnsi="Times New Roman" w:cs="Times New Roman"/>
        </w:rPr>
        <w:footnoteReference w:id="20"/>
      </w:r>
      <w:r w:rsidR="00D9067D">
        <w:rPr>
          <w:rFonts w:ascii="Times New Roman" w:hAnsi="Times New Roman" w:cs="Times New Roman"/>
        </w:rPr>
        <w:t xml:space="preserve"> </w:t>
      </w:r>
      <w:r w:rsidR="00002893">
        <w:rPr>
          <w:rFonts w:ascii="Times New Roman" w:hAnsi="Times New Roman" w:cs="Times New Roman"/>
        </w:rPr>
        <w:t xml:space="preserve">Although, if the soul were charged with original sin through inheritance as Augustine suggests then </w:t>
      </w:r>
      <w:proofErr w:type="spellStart"/>
      <w:r w:rsidR="00002893">
        <w:rPr>
          <w:rFonts w:ascii="Times New Roman" w:hAnsi="Times New Roman" w:cs="Times New Roman"/>
        </w:rPr>
        <w:t>Phaire’s</w:t>
      </w:r>
      <w:proofErr w:type="spellEnd"/>
      <w:r w:rsidR="00002893">
        <w:rPr>
          <w:rFonts w:ascii="Times New Roman" w:hAnsi="Times New Roman" w:cs="Times New Roman"/>
        </w:rPr>
        <w:t xml:space="preserve"> interpretation still stands to reason. All of humanity would</w:t>
      </w:r>
      <w:r w:rsidR="00574D9F">
        <w:rPr>
          <w:rFonts w:ascii="Times New Roman" w:hAnsi="Times New Roman" w:cs="Times New Roman"/>
        </w:rPr>
        <w:t xml:space="preserve"> indeed</w:t>
      </w:r>
      <w:r w:rsidR="00002893">
        <w:rPr>
          <w:rFonts w:ascii="Times New Roman" w:hAnsi="Times New Roman" w:cs="Times New Roman"/>
        </w:rPr>
        <w:t xml:space="preserve"> be being rightfully punished for wickedness</w:t>
      </w:r>
      <w:r w:rsidR="00574D9F">
        <w:rPr>
          <w:rFonts w:ascii="Times New Roman" w:hAnsi="Times New Roman" w:cs="Times New Roman"/>
        </w:rPr>
        <w:t>,</w:t>
      </w:r>
      <w:r w:rsidR="00002893">
        <w:rPr>
          <w:rFonts w:ascii="Times New Roman" w:hAnsi="Times New Roman" w:cs="Times New Roman"/>
        </w:rPr>
        <w:t xml:space="preserve"> regardless of whether they themselves committed the sins. </w:t>
      </w:r>
    </w:p>
    <w:p w14:paraId="39A5AC97" w14:textId="685AEA03" w:rsidR="008045C0" w:rsidRDefault="00002893" w:rsidP="004B0CA5">
      <w:pPr>
        <w:jc w:val="both"/>
        <w:rPr>
          <w:rFonts w:ascii="Times New Roman" w:hAnsi="Times New Roman" w:cs="Times New Roman"/>
        </w:rPr>
      </w:pPr>
      <w:r>
        <w:rPr>
          <w:rFonts w:ascii="Times New Roman" w:hAnsi="Times New Roman" w:cs="Times New Roman"/>
        </w:rPr>
        <w:t>Donne</w:t>
      </w:r>
      <w:r w:rsidR="001035FD">
        <w:rPr>
          <w:rFonts w:ascii="Times New Roman" w:hAnsi="Times New Roman" w:cs="Times New Roman"/>
        </w:rPr>
        <w:t xml:space="preserve"> enters into the stage of acceptance of this condition and the reality that he will die from the sickness he suffers as a result of the sins he has committed, ‘death is the wages of sin it is due to me; as death is the end of sickness’.</w:t>
      </w:r>
      <w:r w:rsidR="001035FD">
        <w:rPr>
          <w:rStyle w:val="FootnoteReference"/>
          <w:rFonts w:ascii="Times New Roman" w:hAnsi="Times New Roman" w:cs="Times New Roman"/>
        </w:rPr>
        <w:footnoteReference w:id="21"/>
      </w:r>
      <w:r w:rsidR="001035FD">
        <w:rPr>
          <w:rFonts w:ascii="Times New Roman" w:hAnsi="Times New Roman" w:cs="Times New Roman"/>
        </w:rPr>
        <w:t xml:space="preserve"> Donne believes himself to be in such a state of spiritual coldness that he is ‘afraid to die’ </w:t>
      </w:r>
      <w:r w:rsidR="00574D9F">
        <w:rPr>
          <w:rFonts w:ascii="Times New Roman" w:hAnsi="Times New Roman" w:cs="Times New Roman"/>
        </w:rPr>
        <w:t xml:space="preserve">for fear of the punishment he will face in </w:t>
      </w:r>
      <w:r w:rsidR="004D547C">
        <w:rPr>
          <w:rFonts w:ascii="Times New Roman" w:hAnsi="Times New Roman" w:cs="Times New Roman"/>
        </w:rPr>
        <w:t xml:space="preserve">hell </w:t>
      </w:r>
      <w:r w:rsidR="001035FD">
        <w:rPr>
          <w:rFonts w:ascii="Times New Roman" w:hAnsi="Times New Roman" w:cs="Times New Roman"/>
        </w:rPr>
        <w:t xml:space="preserve">yet ‘cannot be afraid to come’ to a God that may yet grant him mercy by his </w:t>
      </w:r>
      <w:r w:rsidR="0075536F">
        <w:rPr>
          <w:rFonts w:ascii="Times New Roman" w:hAnsi="Times New Roman" w:cs="Times New Roman"/>
        </w:rPr>
        <w:t>grace.</w:t>
      </w:r>
      <w:r w:rsidR="0075536F">
        <w:rPr>
          <w:rStyle w:val="FootnoteReference"/>
          <w:rFonts w:ascii="Times New Roman" w:hAnsi="Times New Roman" w:cs="Times New Roman"/>
        </w:rPr>
        <w:footnoteReference w:id="22"/>
      </w:r>
      <w:r w:rsidR="0075536F">
        <w:rPr>
          <w:rFonts w:ascii="Times New Roman" w:hAnsi="Times New Roman" w:cs="Times New Roman"/>
        </w:rPr>
        <w:t xml:space="preserve"> </w:t>
      </w:r>
      <w:r w:rsidR="008D6E77">
        <w:rPr>
          <w:rFonts w:ascii="Times New Roman" w:hAnsi="Times New Roman" w:cs="Times New Roman"/>
        </w:rPr>
        <w:t>Donne could have again been influenced by the works of  Augustine as he was of the opinion that through God’s eternal love and mercy, he could release certain people from the sickness of sin. God would not choose through a persons repeated prayer or individual devotion but merely at random.</w:t>
      </w:r>
      <w:r w:rsidR="008D6E77">
        <w:rPr>
          <w:rStyle w:val="FootnoteReference"/>
          <w:rFonts w:ascii="Times New Roman" w:hAnsi="Times New Roman" w:cs="Times New Roman"/>
        </w:rPr>
        <w:footnoteReference w:id="23"/>
      </w:r>
      <w:r w:rsidR="004D547C">
        <w:rPr>
          <w:rFonts w:ascii="Times New Roman" w:hAnsi="Times New Roman" w:cs="Times New Roman"/>
        </w:rPr>
        <w:t xml:space="preserve"> The concept of God’s mercy is again mentioned in the final devotion as Donne’s condition improves and he is warned against relapse. It is implied that his sickness gave him opportunity to ‘weigh God and the devil in a balance’ and </w:t>
      </w:r>
      <w:r w:rsidR="00980587">
        <w:rPr>
          <w:rFonts w:ascii="Times New Roman" w:hAnsi="Times New Roman" w:cs="Times New Roman"/>
        </w:rPr>
        <w:t xml:space="preserve">he must </w:t>
      </w:r>
      <w:r w:rsidR="004D547C">
        <w:rPr>
          <w:rFonts w:ascii="Times New Roman" w:hAnsi="Times New Roman" w:cs="Times New Roman"/>
        </w:rPr>
        <w:t>decide whether he wishes to ‘prefer sin before grace’ or take the blessing that was provided by God as a prospect for spiritual growth and salvation.</w:t>
      </w:r>
      <w:r w:rsidR="004D547C">
        <w:rPr>
          <w:rStyle w:val="FootnoteReference"/>
          <w:rFonts w:ascii="Times New Roman" w:hAnsi="Times New Roman" w:cs="Times New Roman"/>
        </w:rPr>
        <w:footnoteReference w:id="24"/>
      </w:r>
      <w:r w:rsidR="00980587">
        <w:rPr>
          <w:rFonts w:ascii="Times New Roman" w:hAnsi="Times New Roman" w:cs="Times New Roman"/>
        </w:rPr>
        <w:t xml:space="preserve"> However, the Catholic ideologies held by both A</w:t>
      </w:r>
      <w:r w:rsidR="00487610">
        <w:rPr>
          <w:rFonts w:ascii="Times New Roman" w:hAnsi="Times New Roman" w:cs="Times New Roman"/>
        </w:rPr>
        <w:t>ugustine and Donne suggest even if Donne did relapse, there is still the possibility of forgiveness by God’s grace. This notion sets the foundation for multiple encounters with sickness as the ‘</w:t>
      </w:r>
      <w:proofErr w:type="spellStart"/>
      <w:r w:rsidR="00487610">
        <w:rPr>
          <w:rFonts w:ascii="Times New Roman" w:hAnsi="Times New Roman" w:cs="Times New Roman"/>
        </w:rPr>
        <w:t>wil</w:t>
      </w:r>
      <w:proofErr w:type="spellEnd"/>
      <w:r w:rsidR="00487610">
        <w:rPr>
          <w:rFonts w:ascii="Times New Roman" w:hAnsi="Times New Roman" w:cs="Times New Roman"/>
        </w:rPr>
        <w:t xml:space="preserve"> of God rightfully punishing the wicked’ in Donne’s lifetime.</w:t>
      </w:r>
      <w:r w:rsidR="00487610">
        <w:rPr>
          <w:rStyle w:val="FootnoteReference"/>
          <w:rFonts w:ascii="Times New Roman" w:hAnsi="Times New Roman" w:cs="Times New Roman"/>
        </w:rPr>
        <w:footnoteReference w:id="25"/>
      </w:r>
    </w:p>
    <w:p w14:paraId="02D0645D" w14:textId="3BAB73E7" w:rsidR="000778E3" w:rsidRPr="00817BD1" w:rsidRDefault="000778E3" w:rsidP="004B0CA5">
      <w:pPr>
        <w:jc w:val="both"/>
        <w:rPr>
          <w:rFonts w:ascii="Times New Roman" w:hAnsi="Times New Roman" w:cs="Times New Roman"/>
        </w:rPr>
      </w:pPr>
      <w:r>
        <w:rPr>
          <w:rFonts w:ascii="Times New Roman" w:hAnsi="Times New Roman" w:cs="Times New Roman"/>
        </w:rPr>
        <w:lastRenderedPageBreak/>
        <w:t xml:space="preserve">Overall, Donne’s </w:t>
      </w:r>
      <w:r w:rsidRPr="000778E3">
        <w:rPr>
          <w:rFonts w:ascii="Times New Roman" w:hAnsi="Times New Roman" w:cs="Times New Roman"/>
          <w:i/>
          <w:iCs/>
        </w:rPr>
        <w:t>Devotions</w:t>
      </w:r>
      <w:r>
        <w:rPr>
          <w:rFonts w:ascii="Times New Roman" w:hAnsi="Times New Roman" w:cs="Times New Roman"/>
          <w:i/>
          <w:iCs/>
        </w:rPr>
        <w:t xml:space="preserve"> </w:t>
      </w:r>
      <w:r>
        <w:rPr>
          <w:rFonts w:ascii="Times New Roman" w:hAnsi="Times New Roman" w:cs="Times New Roman"/>
        </w:rPr>
        <w:t xml:space="preserve">does conform to the notions of ‘affliction is a treasure’ that makes us ‘fit for God’, it is a repeated theme throughout that suggests that sickness is the means by which you have opportunity to repent for any sins before death. The </w:t>
      </w:r>
      <w:r w:rsidR="00817BD1">
        <w:rPr>
          <w:rFonts w:ascii="Times New Roman" w:hAnsi="Times New Roman" w:cs="Times New Roman"/>
        </w:rPr>
        <w:t>‘</w:t>
      </w:r>
      <w:r>
        <w:rPr>
          <w:rFonts w:ascii="Times New Roman" w:hAnsi="Times New Roman" w:cs="Times New Roman"/>
        </w:rPr>
        <w:t>treasure</w:t>
      </w:r>
      <w:r w:rsidR="00817BD1">
        <w:rPr>
          <w:rFonts w:ascii="Times New Roman" w:hAnsi="Times New Roman" w:cs="Times New Roman"/>
        </w:rPr>
        <w:t>’</w:t>
      </w:r>
      <w:r>
        <w:rPr>
          <w:rFonts w:ascii="Times New Roman" w:hAnsi="Times New Roman" w:cs="Times New Roman"/>
        </w:rPr>
        <w:t xml:space="preserve"> ideology can be located in the opportunity to be spiritually healed by repentance in</w:t>
      </w:r>
      <w:r w:rsidR="00817BD1">
        <w:rPr>
          <w:rFonts w:ascii="Times New Roman" w:hAnsi="Times New Roman" w:cs="Times New Roman"/>
        </w:rPr>
        <w:t xml:space="preserve"> suffering of</w:t>
      </w:r>
      <w:r>
        <w:rPr>
          <w:rFonts w:ascii="Times New Roman" w:hAnsi="Times New Roman" w:cs="Times New Roman"/>
        </w:rPr>
        <w:t xml:space="preserve"> sickness rather than a swift death that would leave a sinful soul damned. Sickness is a treasure that can be experienced by all through the contracting or contemplation of it that evokes reflection of a </w:t>
      </w:r>
      <w:r w:rsidR="00817BD1">
        <w:rPr>
          <w:rFonts w:ascii="Times New Roman" w:hAnsi="Times New Roman" w:cs="Times New Roman"/>
        </w:rPr>
        <w:t>person’s</w:t>
      </w:r>
      <w:r>
        <w:rPr>
          <w:rFonts w:ascii="Times New Roman" w:hAnsi="Times New Roman" w:cs="Times New Roman"/>
        </w:rPr>
        <w:t xml:space="preserve"> spiritual wellness.</w:t>
      </w:r>
      <w:r w:rsidR="00817BD1">
        <w:rPr>
          <w:rFonts w:ascii="Times New Roman" w:hAnsi="Times New Roman" w:cs="Times New Roman"/>
        </w:rPr>
        <w:t xml:space="preserve"> However, the concept of recovery only to be inclined </w:t>
      </w:r>
      <w:r w:rsidR="002328A7">
        <w:rPr>
          <w:rFonts w:ascii="Times New Roman" w:hAnsi="Times New Roman" w:cs="Times New Roman"/>
        </w:rPr>
        <w:t>relapse in</w:t>
      </w:r>
      <w:r w:rsidR="00817BD1">
        <w:rPr>
          <w:rFonts w:ascii="Times New Roman" w:hAnsi="Times New Roman" w:cs="Times New Roman"/>
        </w:rPr>
        <w:t>to sin again suggest</w:t>
      </w:r>
      <w:r w:rsidR="002328A7">
        <w:rPr>
          <w:rFonts w:ascii="Times New Roman" w:hAnsi="Times New Roman" w:cs="Times New Roman"/>
        </w:rPr>
        <w:t xml:space="preserve"> beings are not always moulded into characters ‘fit for God’.</w:t>
      </w:r>
      <w:r>
        <w:rPr>
          <w:rFonts w:ascii="Times New Roman" w:hAnsi="Times New Roman" w:cs="Times New Roman"/>
        </w:rPr>
        <w:t xml:space="preserve"> </w:t>
      </w:r>
      <w:proofErr w:type="spellStart"/>
      <w:r w:rsidR="00817BD1">
        <w:rPr>
          <w:rFonts w:ascii="Times New Roman" w:hAnsi="Times New Roman" w:cs="Times New Roman"/>
        </w:rPr>
        <w:t>Phaire’s</w:t>
      </w:r>
      <w:proofErr w:type="spellEnd"/>
      <w:r w:rsidR="00817BD1">
        <w:rPr>
          <w:rFonts w:ascii="Times New Roman" w:hAnsi="Times New Roman" w:cs="Times New Roman"/>
        </w:rPr>
        <w:t xml:space="preserve"> ideology of sickness being a punishment for the wicked is also conformed to through the admittance of Donne’s sins and his personal belief that they are what caused his illness. </w:t>
      </w:r>
      <w:proofErr w:type="spellStart"/>
      <w:r w:rsidR="00817BD1">
        <w:rPr>
          <w:rFonts w:ascii="Times New Roman" w:hAnsi="Times New Roman" w:cs="Times New Roman"/>
        </w:rPr>
        <w:t>Phaire’s</w:t>
      </w:r>
      <w:proofErr w:type="spellEnd"/>
      <w:r w:rsidR="00817BD1">
        <w:rPr>
          <w:rFonts w:ascii="Times New Roman" w:hAnsi="Times New Roman" w:cs="Times New Roman"/>
        </w:rPr>
        <w:t xml:space="preserve"> interpretation is furthered proved correct by the reference of original sin being the ultimate wicked we are all punished for</w:t>
      </w:r>
      <w:r w:rsidR="002328A7">
        <w:rPr>
          <w:rFonts w:ascii="Times New Roman" w:hAnsi="Times New Roman" w:cs="Times New Roman"/>
        </w:rPr>
        <w:t>. The original sin was the first ‘wicked’ that was mankind was punished for and what evidently made sickness possible through the revoking of our immortality by God. However, a contradiction arises in relation to mankind</w:t>
      </w:r>
      <w:r w:rsidR="00817BD1">
        <w:rPr>
          <w:rFonts w:ascii="Times New Roman" w:hAnsi="Times New Roman" w:cs="Times New Roman"/>
        </w:rPr>
        <w:t xml:space="preserve"> inherit</w:t>
      </w:r>
      <w:r w:rsidR="002328A7">
        <w:rPr>
          <w:rFonts w:ascii="Times New Roman" w:hAnsi="Times New Roman" w:cs="Times New Roman"/>
        </w:rPr>
        <w:t>ing</w:t>
      </w:r>
      <w:r w:rsidR="00817BD1">
        <w:rPr>
          <w:rFonts w:ascii="Times New Roman" w:hAnsi="Times New Roman" w:cs="Times New Roman"/>
        </w:rPr>
        <w:t xml:space="preserve"> the catalyst for sin, concupiscence from Adam and Eve</w:t>
      </w:r>
      <w:r w:rsidR="002328A7">
        <w:rPr>
          <w:rFonts w:ascii="Times New Roman" w:hAnsi="Times New Roman" w:cs="Times New Roman"/>
        </w:rPr>
        <w:t>, as that would suggest that God is punishing mankind for</w:t>
      </w:r>
      <w:r w:rsidR="00B40634">
        <w:rPr>
          <w:rFonts w:ascii="Times New Roman" w:hAnsi="Times New Roman" w:cs="Times New Roman"/>
        </w:rPr>
        <w:t xml:space="preserve"> a</w:t>
      </w:r>
      <w:r w:rsidR="002328A7">
        <w:rPr>
          <w:rFonts w:ascii="Times New Roman" w:hAnsi="Times New Roman" w:cs="Times New Roman"/>
        </w:rPr>
        <w:t xml:space="preserve"> wicked</w:t>
      </w:r>
      <w:r w:rsidR="00B40634">
        <w:rPr>
          <w:rFonts w:ascii="Times New Roman" w:hAnsi="Times New Roman" w:cs="Times New Roman"/>
        </w:rPr>
        <w:t xml:space="preserve"> </w:t>
      </w:r>
      <w:proofErr w:type="gramStart"/>
      <w:r w:rsidR="00B40634">
        <w:rPr>
          <w:rFonts w:ascii="Times New Roman" w:hAnsi="Times New Roman" w:cs="Times New Roman"/>
        </w:rPr>
        <w:t>act</w:t>
      </w:r>
      <w:proofErr w:type="gramEnd"/>
      <w:r w:rsidR="002328A7">
        <w:rPr>
          <w:rFonts w:ascii="Times New Roman" w:hAnsi="Times New Roman" w:cs="Times New Roman"/>
        </w:rPr>
        <w:t xml:space="preserve"> they have not themselves committed.</w:t>
      </w:r>
    </w:p>
    <w:p w14:paraId="101B25B5" w14:textId="5D9625B8" w:rsidR="008045C0" w:rsidRPr="004B0CA5" w:rsidRDefault="008045C0" w:rsidP="004B0CA5">
      <w:pPr>
        <w:jc w:val="both"/>
        <w:rPr>
          <w:rFonts w:ascii="Times New Roman" w:hAnsi="Times New Roman" w:cs="Times New Roman"/>
        </w:rPr>
      </w:pPr>
    </w:p>
    <w:p w14:paraId="6431F85B" w14:textId="4D6E03A4" w:rsidR="00093FB5" w:rsidRDefault="004B0CA5" w:rsidP="004B0CA5">
      <w:pPr>
        <w:jc w:val="both"/>
        <w:rPr>
          <w:rFonts w:ascii="Times New Roman" w:hAnsi="Times New Roman" w:cs="Times New Roman"/>
          <w:u w:val="single"/>
        </w:rPr>
      </w:pPr>
      <w:r w:rsidRPr="004B0CA5">
        <w:rPr>
          <w:rFonts w:ascii="Times New Roman" w:hAnsi="Times New Roman" w:cs="Times New Roman"/>
          <w:u w:val="single"/>
        </w:rPr>
        <w:t xml:space="preserve">Bibliography </w:t>
      </w:r>
    </w:p>
    <w:p w14:paraId="74AF6FA1" w14:textId="77777777" w:rsidR="007D11FC" w:rsidRPr="009448FA" w:rsidRDefault="007D11FC" w:rsidP="009448FA">
      <w:pPr>
        <w:pStyle w:val="NormalWeb"/>
        <w:spacing w:before="0" w:beforeAutospacing="0" w:after="240" w:afterAutospacing="0" w:line="360" w:lineRule="auto"/>
        <w:ind w:left="720" w:hanging="720"/>
        <w:rPr>
          <w:sz w:val="22"/>
          <w:szCs w:val="22"/>
        </w:rPr>
      </w:pPr>
      <w:r w:rsidRPr="009448FA">
        <w:rPr>
          <w:sz w:val="22"/>
          <w:szCs w:val="22"/>
        </w:rPr>
        <w:t xml:space="preserve">Donne, John. (1959) </w:t>
      </w:r>
      <w:r w:rsidRPr="009448FA">
        <w:rPr>
          <w:i/>
          <w:iCs/>
          <w:sz w:val="22"/>
          <w:szCs w:val="22"/>
        </w:rPr>
        <w:t>Devotions upon Emergent Occasions: Together with Death’s Duel</w:t>
      </w:r>
      <w:r w:rsidRPr="009448FA">
        <w:rPr>
          <w:sz w:val="22"/>
          <w:szCs w:val="22"/>
        </w:rPr>
        <w:t>, University of Michigan: Ann Arbor Paperback. Available at: &lt;https://www.gutenberg.org/files/23772/23772-h/23772-h.htm#Page_102&gt; [Accessed 17 May 2021]</w:t>
      </w:r>
    </w:p>
    <w:p w14:paraId="095A5785" w14:textId="40FFC4C5" w:rsidR="007D11FC" w:rsidRDefault="007D11FC" w:rsidP="00F805B2">
      <w:pPr>
        <w:pStyle w:val="NormalWeb"/>
        <w:spacing w:before="0" w:beforeAutospacing="0" w:after="240" w:afterAutospacing="0" w:line="360" w:lineRule="auto"/>
        <w:ind w:left="720" w:hanging="720"/>
        <w:rPr>
          <w:sz w:val="22"/>
          <w:szCs w:val="22"/>
        </w:rPr>
      </w:pPr>
      <w:r w:rsidRPr="007D11FC">
        <w:rPr>
          <w:sz w:val="22"/>
          <w:szCs w:val="22"/>
        </w:rPr>
        <w:t>Goldberg,</w:t>
      </w:r>
      <w:r w:rsidRPr="007D11FC">
        <w:rPr>
          <w:sz w:val="22"/>
          <w:szCs w:val="22"/>
        </w:rPr>
        <w:t xml:space="preserve"> J.</w:t>
      </w:r>
      <w:r w:rsidRPr="007D11FC">
        <w:rPr>
          <w:sz w:val="22"/>
          <w:szCs w:val="22"/>
        </w:rPr>
        <w:t xml:space="preserve"> ‘The Understanding of Sickness in Donne’s Devotions’, </w:t>
      </w:r>
      <w:r w:rsidRPr="007D11FC">
        <w:rPr>
          <w:i/>
          <w:iCs/>
          <w:sz w:val="22"/>
          <w:szCs w:val="22"/>
        </w:rPr>
        <w:t>Renaissance Quarterly</w:t>
      </w:r>
      <w:r w:rsidRPr="007D11FC">
        <w:rPr>
          <w:sz w:val="22"/>
          <w:szCs w:val="22"/>
        </w:rPr>
        <w:t xml:space="preserve">, 24(4) (1971) 507–17. Available at:  </w:t>
      </w:r>
      <w:hyperlink r:id="rId7" w:history="1">
        <w:r w:rsidRPr="007D11FC">
          <w:rPr>
            <w:rStyle w:val="Hyperlink"/>
            <w:color w:val="auto"/>
            <w:sz w:val="22"/>
            <w:szCs w:val="22"/>
            <w:u w:val="none"/>
          </w:rPr>
          <w:t>The Understanding of Sickness in Donne's Devotions on JSTOR</w:t>
        </w:r>
      </w:hyperlink>
      <w:r w:rsidRPr="007D11FC">
        <w:rPr>
          <w:sz w:val="22"/>
          <w:szCs w:val="22"/>
        </w:rPr>
        <w:t xml:space="preserve"> [Accessed 17 May 2021]</w:t>
      </w:r>
    </w:p>
    <w:p w14:paraId="2F2C7E47" w14:textId="26D0E0A0" w:rsidR="00251FD3" w:rsidRPr="00251FD3" w:rsidRDefault="00251FD3" w:rsidP="00F805B2">
      <w:pPr>
        <w:pStyle w:val="NormalWeb"/>
        <w:spacing w:before="0" w:beforeAutospacing="0" w:after="240" w:afterAutospacing="0" w:line="360" w:lineRule="auto"/>
        <w:ind w:left="720" w:hanging="720"/>
      </w:pPr>
      <w:r w:rsidRPr="00251FD3">
        <w:rPr>
          <w:sz w:val="22"/>
          <w:szCs w:val="22"/>
        </w:rPr>
        <w:t>Andersen,</w:t>
      </w:r>
      <w:r>
        <w:rPr>
          <w:sz w:val="22"/>
          <w:szCs w:val="22"/>
        </w:rPr>
        <w:t xml:space="preserve"> S.</w:t>
      </w:r>
      <w:r w:rsidRPr="00251FD3">
        <w:rPr>
          <w:sz w:val="22"/>
          <w:szCs w:val="22"/>
        </w:rPr>
        <w:t xml:space="preserve"> ‘Theological Ethics, Moral Philosophy, and Natural Law’ </w:t>
      </w:r>
      <w:r w:rsidRPr="00251FD3">
        <w:rPr>
          <w:i/>
          <w:iCs/>
          <w:sz w:val="22"/>
          <w:szCs w:val="22"/>
        </w:rPr>
        <w:t>Ethical Theory and Moral Practice</w:t>
      </w:r>
      <w:r w:rsidRPr="00251FD3">
        <w:rPr>
          <w:sz w:val="22"/>
          <w:szCs w:val="22"/>
        </w:rPr>
        <w:t xml:space="preserve">, 4(4) (2001) 349–64. Available at: </w:t>
      </w:r>
      <w:hyperlink r:id="rId8" w:history="1">
        <w:r w:rsidRPr="00251FD3">
          <w:rPr>
            <w:rStyle w:val="Hyperlink"/>
            <w:sz w:val="22"/>
            <w:szCs w:val="22"/>
          </w:rPr>
          <w:t>h</w:t>
        </w:r>
        <w:r w:rsidRPr="00251FD3">
          <w:rPr>
            <w:rStyle w:val="Hyperlink"/>
            <w:spacing w:val="-5"/>
            <w:sz w:val="22"/>
            <w:szCs w:val="22"/>
            <w:shd w:val="clear" w:color="auto" w:fill="FFFFFF"/>
          </w:rPr>
          <w:t>ttps://ezproxy.uwtsd.ac.uk/login?url=https://www.jstor.org/stable/43246126</w:t>
        </w:r>
      </w:hyperlink>
      <w:r w:rsidRPr="00251FD3">
        <w:rPr>
          <w:spacing w:val="-5"/>
          <w:sz w:val="22"/>
          <w:szCs w:val="22"/>
          <w:shd w:val="clear" w:color="auto" w:fill="FFFFFF"/>
        </w:rPr>
        <w:t xml:space="preserve"> [Accessed 17 May 2021]</w:t>
      </w:r>
    </w:p>
    <w:p w14:paraId="69DC4FAC" w14:textId="77777777" w:rsidR="007D11FC" w:rsidRPr="00A4714F" w:rsidRDefault="007D11FC" w:rsidP="004B0CA5">
      <w:pPr>
        <w:jc w:val="both"/>
        <w:rPr>
          <w:rFonts w:ascii="Times New Roman" w:hAnsi="Times New Roman" w:cs="Times New Roman"/>
          <w:u w:val="single"/>
        </w:rPr>
      </w:pPr>
      <w:proofErr w:type="spellStart"/>
      <w:r w:rsidRPr="00A4714F">
        <w:rPr>
          <w:rFonts w:ascii="Times New Roman" w:hAnsi="Times New Roman" w:cs="Times New Roman"/>
        </w:rPr>
        <w:t>Gunderman</w:t>
      </w:r>
      <w:proofErr w:type="spellEnd"/>
      <w:r w:rsidRPr="00A4714F">
        <w:rPr>
          <w:rFonts w:ascii="Times New Roman" w:hAnsi="Times New Roman" w:cs="Times New Roman"/>
        </w:rPr>
        <w:t xml:space="preserve">, R. B. &amp; Brown, B. P. (2008) </w:t>
      </w:r>
      <w:r w:rsidRPr="00A4714F">
        <w:rPr>
          <w:rFonts w:ascii="Times New Roman" w:hAnsi="Times New Roman" w:cs="Times New Roman"/>
          <w:i/>
          <w:iCs/>
        </w:rPr>
        <w:t>Affliction Is a Treasure, and Scarce Any Man Hath Enough of It.</w:t>
      </w:r>
      <w:r w:rsidRPr="00A4714F">
        <w:rPr>
          <w:rFonts w:ascii="Times New Roman" w:hAnsi="Times New Roman" w:cs="Times New Roman"/>
        </w:rPr>
        <w:t xml:space="preserve"> Available at: &lt;https://alphaomegaalpha.org/pharos/PDFs/2008/2/Gunderman-Brown.pdf&gt; [Accessed 17 May 2021]</w:t>
      </w:r>
    </w:p>
    <w:p w14:paraId="43E968D4" w14:textId="77777777" w:rsidR="007D11FC" w:rsidRPr="00A4714F" w:rsidRDefault="007D11FC" w:rsidP="004B0CA5">
      <w:pPr>
        <w:jc w:val="both"/>
        <w:rPr>
          <w:rFonts w:ascii="Times New Roman" w:hAnsi="Times New Roman" w:cs="Times New Roman"/>
        </w:rPr>
      </w:pPr>
      <w:r w:rsidRPr="00A4714F">
        <w:rPr>
          <w:rFonts w:ascii="Times New Roman" w:hAnsi="Times New Roman" w:cs="Times New Roman"/>
        </w:rPr>
        <w:t xml:space="preserve">Kocher, P. H. (1969) </w:t>
      </w:r>
      <w:r w:rsidRPr="00A4714F">
        <w:rPr>
          <w:rFonts w:ascii="Times New Roman" w:hAnsi="Times New Roman" w:cs="Times New Roman"/>
          <w:i/>
        </w:rPr>
        <w:t>Science and Religion in Elizabethan England</w:t>
      </w:r>
      <w:r w:rsidRPr="00A4714F">
        <w:rPr>
          <w:rFonts w:ascii="Times New Roman" w:hAnsi="Times New Roman" w:cs="Times New Roman"/>
        </w:rPr>
        <w:t>, New York: Octagon, 1969; first published Henry E. Huntingdon Library &amp; Art Gallery, 1953.</w:t>
      </w:r>
    </w:p>
    <w:p w14:paraId="6C6763B5" w14:textId="77777777" w:rsidR="007D11FC" w:rsidRPr="007D11FC" w:rsidRDefault="007D11FC" w:rsidP="00F805B2">
      <w:pPr>
        <w:pStyle w:val="NormalWeb"/>
        <w:spacing w:before="0" w:beforeAutospacing="0" w:after="240" w:afterAutospacing="0" w:line="360" w:lineRule="auto"/>
        <w:ind w:left="720" w:hanging="720"/>
        <w:rPr>
          <w:sz w:val="22"/>
          <w:szCs w:val="22"/>
        </w:rPr>
      </w:pPr>
      <w:r w:rsidRPr="00F805B2">
        <w:rPr>
          <w:sz w:val="22"/>
          <w:szCs w:val="22"/>
        </w:rPr>
        <w:t xml:space="preserve">Nye, A. (2015) </w:t>
      </w:r>
      <w:r w:rsidRPr="00F805B2">
        <w:rPr>
          <w:i/>
          <w:iCs/>
          <w:sz w:val="22"/>
          <w:szCs w:val="22"/>
        </w:rPr>
        <w:t>Socrates and Diotim</w:t>
      </w:r>
      <w:r>
        <w:rPr>
          <w:i/>
          <w:iCs/>
          <w:sz w:val="22"/>
          <w:szCs w:val="22"/>
        </w:rPr>
        <w:t>a</w:t>
      </w:r>
      <w:r w:rsidRPr="00F805B2">
        <w:rPr>
          <w:i/>
          <w:iCs/>
          <w:sz w:val="22"/>
          <w:szCs w:val="22"/>
        </w:rPr>
        <w:t>: Sexuality, Religion, and the Nature of Divinity</w:t>
      </w:r>
      <w:r w:rsidRPr="00F805B2">
        <w:rPr>
          <w:sz w:val="22"/>
          <w:szCs w:val="22"/>
        </w:rPr>
        <w:t xml:space="preserve">, New York: </w:t>
      </w:r>
      <w:r w:rsidRPr="007D11FC">
        <w:rPr>
          <w:sz w:val="22"/>
          <w:szCs w:val="22"/>
        </w:rPr>
        <w:t>Palgrave Macmillan.</w:t>
      </w:r>
    </w:p>
    <w:p w14:paraId="5568F6A9" w14:textId="77777777" w:rsidR="007D11FC" w:rsidRPr="00A4714F" w:rsidRDefault="007D11FC" w:rsidP="004B0CA5">
      <w:pPr>
        <w:jc w:val="both"/>
        <w:rPr>
          <w:rFonts w:ascii="Times New Roman" w:hAnsi="Times New Roman" w:cs="Times New Roman"/>
        </w:rPr>
      </w:pPr>
      <w:proofErr w:type="spellStart"/>
      <w:r w:rsidRPr="00A4714F">
        <w:rPr>
          <w:rFonts w:ascii="Times New Roman" w:hAnsi="Times New Roman" w:cs="Times New Roman"/>
        </w:rPr>
        <w:t>Paré</w:t>
      </w:r>
      <w:proofErr w:type="spellEnd"/>
      <w:r w:rsidRPr="00A4714F">
        <w:rPr>
          <w:rFonts w:ascii="Times New Roman" w:hAnsi="Times New Roman" w:cs="Times New Roman"/>
        </w:rPr>
        <w:t xml:space="preserve">, A. (1678) </w:t>
      </w:r>
      <w:r w:rsidRPr="00A4714F">
        <w:rPr>
          <w:rFonts w:ascii="Times New Roman" w:hAnsi="Times New Roman" w:cs="Times New Roman"/>
          <w:i/>
          <w:iCs/>
        </w:rPr>
        <w:t xml:space="preserve">The Works of that famous chirurgeon Ambrose </w:t>
      </w:r>
      <w:proofErr w:type="spellStart"/>
      <w:r w:rsidRPr="00A4714F">
        <w:rPr>
          <w:rFonts w:ascii="Times New Roman" w:hAnsi="Times New Roman" w:cs="Times New Roman"/>
          <w:i/>
          <w:iCs/>
        </w:rPr>
        <w:t>Parey</w:t>
      </w:r>
      <w:proofErr w:type="spellEnd"/>
      <w:r w:rsidRPr="00A4714F">
        <w:rPr>
          <w:rFonts w:ascii="Times New Roman" w:hAnsi="Times New Roman" w:cs="Times New Roman"/>
        </w:rPr>
        <w:t xml:space="preserve">, trans. Johnson, T. London: Printed by Mary Clark for John Clark, 1678, Bk XXII ‘Of the Plague’. </w:t>
      </w:r>
    </w:p>
    <w:p w14:paraId="36CB9E6B" w14:textId="77777777" w:rsidR="007D11FC" w:rsidRPr="00F805B2" w:rsidRDefault="007D11FC" w:rsidP="004B0CA5">
      <w:pPr>
        <w:jc w:val="both"/>
        <w:rPr>
          <w:rFonts w:ascii="Times New Roman" w:hAnsi="Times New Roman" w:cs="Times New Roman"/>
          <w:spacing w:val="-3"/>
        </w:rPr>
      </w:pPr>
      <w:proofErr w:type="spellStart"/>
      <w:r w:rsidRPr="00A4714F">
        <w:rPr>
          <w:rFonts w:ascii="Times New Roman" w:hAnsi="Times New Roman" w:cs="Times New Roman"/>
          <w:spacing w:val="-3"/>
        </w:rPr>
        <w:lastRenderedPageBreak/>
        <w:t>Phaire</w:t>
      </w:r>
      <w:proofErr w:type="spellEnd"/>
      <w:r w:rsidRPr="00A4714F">
        <w:rPr>
          <w:rFonts w:ascii="Times New Roman" w:hAnsi="Times New Roman" w:cs="Times New Roman"/>
          <w:spacing w:val="-3"/>
        </w:rPr>
        <w:t xml:space="preserve">, T. (1553) </w:t>
      </w:r>
      <w:r w:rsidRPr="00A4714F">
        <w:rPr>
          <w:rFonts w:ascii="Times New Roman" w:hAnsi="Times New Roman" w:cs="Times New Roman"/>
          <w:i/>
          <w:iCs/>
          <w:spacing w:val="-3"/>
        </w:rPr>
        <w:t>The Regiment of Life, whereunto is added a treatise of the Pestilence,</w:t>
      </w:r>
      <w:r w:rsidRPr="00A4714F">
        <w:rPr>
          <w:rFonts w:ascii="Times New Roman" w:hAnsi="Times New Roman" w:cs="Times New Roman"/>
          <w:spacing w:val="-3"/>
        </w:rPr>
        <w:t xml:space="preserve"> London: I. </w:t>
      </w:r>
      <w:proofErr w:type="spellStart"/>
      <w:r w:rsidRPr="00A4714F">
        <w:rPr>
          <w:rFonts w:ascii="Times New Roman" w:hAnsi="Times New Roman" w:cs="Times New Roman"/>
          <w:spacing w:val="-3"/>
        </w:rPr>
        <w:t>Kyngston</w:t>
      </w:r>
      <w:proofErr w:type="spellEnd"/>
      <w:r w:rsidRPr="00A4714F">
        <w:rPr>
          <w:rFonts w:ascii="Times New Roman" w:hAnsi="Times New Roman" w:cs="Times New Roman"/>
          <w:spacing w:val="-3"/>
        </w:rPr>
        <w:t xml:space="preserve"> and H. Sutton. Transcribed and intr. Neale, A.V. and Wallis, H.R.E, London: British Paediatric Association, </w:t>
      </w:r>
      <w:r w:rsidRPr="00F805B2">
        <w:rPr>
          <w:rFonts w:ascii="Times New Roman" w:hAnsi="Times New Roman" w:cs="Times New Roman"/>
          <w:spacing w:val="-3"/>
        </w:rPr>
        <w:t>1993.</w:t>
      </w:r>
    </w:p>
    <w:p w14:paraId="3C892D5D" w14:textId="77777777" w:rsidR="007D11FC" w:rsidRPr="00F805B2" w:rsidRDefault="007D11FC" w:rsidP="00650E2B">
      <w:pPr>
        <w:pStyle w:val="NormalWeb"/>
        <w:spacing w:before="0" w:beforeAutospacing="0" w:after="240" w:afterAutospacing="0" w:line="360" w:lineRule="auto"/>
        <w:ind w:left="720" w:hanging="720"/>
        <w:rPr>
          <w:sz w:val="22"/>
          <w:szCs w:val="22"/>
        </w:rPr>
      </w:pPr>
      <w:r w:rsidRPr="00F805B2">
        <w:rPr>
          <w:sz w:val="22"/>
          <w:szCs w:val="22"/>
        </w:rPr>
        <w:t xml:space="preserve">Thomas, P. (1982) </w:t>
      </w:r>
      <w:r w:rsidRPr="00F805B2">
        <w:rPr>
          <w:i/>
          <w:iCs/>
          <w:sz w:val="22"/>
          <w:szCs w:val="22"/>
        </w:rPr>
        <w:t>THE MATERIA MEDICA of THOMAS PHAIRE (1510-1560),</w:t>
      </w:r>
      <w:r w:rsidRPr="00F805B2">
        <w:rPr>
          <w:sz w:val="22"/>
          <w:szCs w:val="22"/>
        </w:rPr>
        <w:t xml:space="preserve"> Cambridge: Oxford University Press</w:t>
      </w:r>
    </w:p>
    <w:p w14:paraId="5E9B185F" w14:textId="77777777" w:rsidR="009448FA" w:rsidRPr="00650E2B" w:rsidRDefault="009448FA" w:rsidP="00650E2B">
      <w:pPr>
        <w:pStyle w:val="NormalWeb"/>
        <w:spacing w:before="0" w:beforeAutospacing="0" w:after="240" w:afterAutospacing="0" w:line="360" w:lineRule="auto"/>
        <w:ind w:left="720" w:hanging="720"/>
        <w:rPr>
          <w:sz w:val="22"/>
          <w:szCs w:val="22"/>
        </w:rPr>
      </w:pPr>
    </w:p>
    <w:p w14:paraId="0A7832DB" w14:textId="77777777" w:rsidR="00650E2B" w:rsidRPr="00A4714F" w:rsidRDefault="00650E2B" w:rsidP="004B0CA5">
      <w:pPr>
        <w:jc w:val="both"/>
        <w:rPr>
          <w:rFonts w:ascii="Times New Roman" w:hAnsi="Times New Roman" w:cs="Times New Roman"/>
          <w:spacing w:val="-3"/>
        </w:rPr>
      </w:pPr>
    </w:p>
    <w:sectPr w:rsidR="00650E2B" w:rsidRPr="00A471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98E3F" w14:textId="77777777" w:rsidR="001F1909" w:rsidRDefault="001F1909" w:rsidP="001F1909">
      <w:pPr>
        <w:spacing w:after="0" w:line="240" w:lineRule="auto"/>
      </w:pPr>
      <w:r>
        <w:separator/>
      </w:r>
    </w:p>
  </w:endnote>
  <w:endnote w:type="continuationSeparator" w:id="0">
    <w:p w14:paraId="209DA8C4" w14:textId="77777777" w:rsidR="001F1909" w:rsidRDefault="001F1909" w:rsidP="001F1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9F57E" w14:textId="77777777" w:rsidR="001F1909" w:rsidRDefault="001F1909" w:rsidP="001F1909">
      <w:pPr>
        <w:spacing w:after="0" w:line="240" w:lineRule="auto"/>
      </w:pPr>
      <w:r>
        <w:separator/>
      </w:r>
    </w:p>
  </w:footnote>
  <w:footnote w:type="continuationSeparator" w:id="0">
    <w:p w14:paraId="791C05A6" w14:textId="77777777" w:rsidR="001F1909" w:rsidRDefault="001F1909" w:rsidP="001F1909">
      <w:pPr>
        <w:spacing w:after="0" w:line="240" w:lineRule="auto"/>
      </w:pPr>
      <w:r>
        <w:continuationSeparator/>
      </w:r>
    </w:p>
  </w:footnote>
  <w:footnote w:id="1">
    <w:p w14:paraId="0CA361AC" w14:textId="182B1C81" w:rsidR="001F1909" w:rsidRPr="00B97F19" w:rsidRDefault="001F1909" w:rsidP="00DE6814">
      <w:pPr>
        <w:pStyle w:val="NormalWeb"/>
        <w:spacing w:before="0" w:beforeAutospacing="0" w:after="240" w:afterAutospacing="0" w:line="360" w:lineRule="auto"/>
        <w:ind w:left="720" w:hanging="720"/>
        <w:rPr>
          <w:sz w:val="20"/>
          <w:szCs w:val="20"/>
        </w:rPr>
      </w:pPr>
      <w:r>
        <w:rPr>
          <w:rStyle w:val="FootnoteReference"/>
        </w:rPr>
        <w:footnoteRef/>
      </w:r>
      <w:r>
        <w:t xml:space="preserve"> </w:t>
      </w:r>
      <w:r w:rsidR="00F91439" w:rsidRPr="00B97F19">
        <w:rPr>
          <w:sz w:val="20"/>
          <w:szCs w:val="20"/>
        </w:rPr>
        <w:t xml:space="preserve">R. B. </w:t>
      </w:r>
      <w:proofErr w:type="spellStart"/>
      <w:r w:rsidR="00F91439" w:rsidRPr="00B97F19">
        <w:rPr>
          <w:sz w:val="20"/>
          <w:szCs w:val="20"/>
        </w:rPr>
        <w:t>Gunderman</w:t>
      </w:r>
      <w:proofErr w:type="spellEnd"/>
      <w:r w:rsidR="00F91439" w:rsidRPr="00B97F19">
        <w:rPr>
          <w:sz w:val="20"/>
          <w:szCs w:val="20"/>
        </w:rPr>
        <w:t xml:space="preserve"> &amp; B. P. Brown, </w:t>
      </w:r>
      <w:r w:rsidR="00F91439" w:rsidRPr="00B97F19">
        <w:rPr>
          <w:i/>
          <w:iCs/>
          <w:sz w:val="20"/>
          <w:szCs w:val="20"/>
        </w:rPr>
        <w:t xml:space="preserve">Affliction Is a Treasure, and Scarce Any Man Hath Enough of It, </w:t>
      </w:r>
      <w:r w:rsidR="00F91439" w:rsidRPr="00B97F19">
        <w:rPr>
          <w:sz w:val="20"/>
          <w:szCs w:val="20"/>
        </w:rPr>
        <w:t xml:space="preserve">2008, p. 5. Available at: &lt;https://alphaomegaalpha.org/pharos/PDFs/2008/2/Gunderman-Brown.pdf&gt; [Accessed 17 May 2021] </w:t>
      </w:r>
    </w:p>
  </w:footnote>
  <w:footnote w:id="2">
    <w:p w14:paraId="0D11CFEF" w14:textId="36F669CE" w:rsidR="00A4714F" w:rsidRPr="00B97F19" w:rsidRDefault="00A4714F" w:rsidP="00955BD1">
      <w:pPr>
        <w:jc w:val="both"/>
        <w:rPr>
          <w:rFonts w:ascii="Times New Roman" w:hAnsi="Times New Roman" w:cs="Times New Roman"/>
          <w:spacing w:val="-3"/>
          <w:sz w:val="20"/>
          <w:szCs w:val="20"/>
        </w:rPr>
      </w:pPr>
      <w:r w:rsidRPr="00B97F19">
        <w:rPr>
          <w:rStyle w:val="FootnoteReference"/>
          <w:rFonts w:ascii="Times New Roman" w:hAnsi="Times New Roman" w:cs="Times New Roman"/>
          <w:sz w:val="20"/>
          <w:szCs w:val="20"/>
        </w:rPr>
        <w:footnoteRef/>
      </w:r>
      <w:r w:rsidRPr="00B97F19">
        <w:rPr>
          <w:rFonts w:ascii="Times New Roman" w:hAnsi="Times New Roman" w:cs="Times New Roman"/>
          <w:sz w:val="20"/>
          <w:szCs w:val="20"/>
        </w:rPr>
        <w:t xml:space="preserve"> </w:t>
      </w:r>
      <w:r w:rsidR="005875DE" w:rsidRPr="00B97F19">
        <w:rPr>
          <w:rFonts w:ascii="Times New Roman" w:hAnsi="Times New Roman" w:cs="Times New Roman"/>
          <w:spacing w:val="-3"/>
          <w:sz w:val="20"/>
          <w:szCs w:val="20"/>
        </w:rPr>
        <w:t xml:space="preserve">T. </w:t>
      </w:r>
      <w:proofErr w:type="spellStart"/>
      <w:r w:rsidR="005875DE" w:rsidRPr="00B97F19">
        <w:rPr>
          <w:rFonts w:ascii="Times New Roman" w:hAnsi="Times New Roman" w:cs="Times New Roman"/>
          <w:spacing w:val="-3"/>
          <w:sz w:val="20"/>
          <w:szCs w:val="20"/>
        </w:rPr>
        <w:t>Phaire</w:t>
      </w:r>
      <w:proofErr w:type="spellEnd"/>
      <w:r w:rsidR="005875DE" w:rsidRPr="00B97F19">
        <w:rPr>
          <w:rFonts w:ascii="Times New Roman" w:hAnsi="Times New Roman" w:cs="Times New Roman"/>
          <w:spacing w:val="-3"/>
          <w:sz w:val="20"/>
          <w:szCs w:val="20"/>
        </w:rPr>
        <w:t xml:space="preserve">, </w:t>
      </w:r>
      <w:r w:rsidR="005875DE" w:rsidRPr="00B97F19">
        <w:rPr>
          <w:rFonts w:ascii="Times New Roman" w:hAnsi="Times New Roman" w:cs="Times New Roman"/>
          <w:i/>
          <w:iCs/>
          <w:spacing w:val="-3"/>
          <w:sz w:val="20"/>
          <w:szCs w:val="20"/>
        </w:rPr>
        <w:t>The Regiment of Life, whereunto is added a treatise of the Pestilence</w:t>
      </w:r>
      <w:r w:rsidR="005875DE" w:rsidRPr="00B97F19">
        <w:rPr>
          <w:rFonts w:ascii="Times New Roman" w:hAnsi="Times New Roman" w:cs="Times New Roman"/>
          <w:spacing w:val="-3"/>
          <w:sz w:val="20"/>
          <w:szCs w:val="20"/>
        </w:rPr>
        <w:t xml:space="preserve"> (London: I. </w:t>
      </w:r>
      <w:proofErr w:type="spellStart"/>
      <w:r w:rsidR="005875DE" w:rsidRPr="00B97F19">
        <w:rPr>
          <w:rFonts w:ascii="Times New Roman" w:hAnsi="Times New Roman" w:cs="Times New Roman"/>
          <w:spacing w:val="-3"/>
          <w:sz w:val="20"/>
          <w:szCs w:val="20"/>
        </w:rPr>
        <w:t>Kyngston</w:t>
      </w:r>
      <w:proofErr w:type="spellEnd"/>
      <w:r w:rsidR="005875DE" w:rsidRPr="00B97F19">
        <w:rPr>
          <w:rFonts w:ascii="Times New Roman" w:hAnsi="Times New Roman" w:cs="Times New Roman"/>
          <w:spacing w:val="-3"/>
          <w:sz w:val="20"/>
          <w:szCs w:val="20"/>
        </w:rPr>
        <w:t xml:space="preserve"> and H. Sutton, 1553), transcribed and intr. Neale, A.V. and Wallis, H.R.E. (London: British Paediatric Association, 1993), p. 165-1</w:t>
      </w:r>
      <w:r w:rsidR="00955BD1" w:rsidRPr="00B97F19">
        <w:rPr>
          <w:rFonts w:ascii="Times New Roman" w:hAnsi="Times New Roman" w:cs="Times New Roman"/>
          <w:spacing w:val="-3"/>
          <w:sz w:val="20"/>
          <w:szCs w:val="20"/>
        </w:rPr>
        <w:t>86</w:t>
      </w:r>
    </w:p>
  </w:footnote>
  <w:footnote w:id="3">
    <w:p w14:paraId="493A733B" w14:textId="1860004F" w:rsidR="00DE6814" w:rsidRPr="00B97F19" w:rsidRDefault="00DE6814">
      <w:pPr>
        <w:pStyle w:val="FootnoteText"/>
        <w:rPr>
          <w:rFonts w:ascii="Times New Roman" w:hAnsi="Times New Roman" w:cs="Times New Roman"/>
        </w:rPr>
      </w:pPr>
      <w:r w:rsidRPr="00B97F19">
        <w:rPr>
          <w:rStyle w:val="FootnoteReference"/>
          <w:rFonts w:ascii="Times New Roman" w:hAnsi="Times New Roman" w:cs="Times New Roman"/>
        </w:rPr>
        <w:footnoteRef/>
      </w:r>
      <w:r w:rsidRPr="00B97F19">
        <w:rPr>
          <w:rFonts w:ascii="Times New Roman" w:hAnsi="Times New Roman" w:cs="Times New Roman"/>
        </w:rPr>
        <w:t xml:space="preserve"> P. H. Kocher, </w:t>
      </w:r>
      <w:r w:rsidRPr="00B97F19">
        <w:rPr>
          <w:rFonts w:ascii="Times New Roman" w:hAnsi="Times New Roman" w:cs="Times New Roman"/>
          <w:i/>
        </w:rPr>
        <w:t>Science and Religion in Elizabethan England</w:t>
      </w:r>
      <w:r w:rsidRPr="00B97F19">
        <w:rPr>
          <w:rFonts w:ascii="Times New Roman" w:hAnsi="Times New Roman" w:cs="Times New Roman"/>
        </w:rPr>
        <w:t xml:space="preserve"> (New York: Octagon, 1969; first published Henry E. Huntingdon Library &amp; Art Gallery, 1953), p. 227.</w:t>
      </w:r>
    </w:p>
  </w:footnote>
  <w:footnote w:id="4">
    <w:p w14:paraId="6E7F51CE" w14:textId="52E97D9C" w:rsidR="002C5F3A" w:rsidRPr="00B97F19" w:rsidRDefault="002C5F3A">
      <w:pPr>
        <w:pStyle w:val="FootnoteText"/>
        <w:rPr>
          <w:rFonts w:ascii="Times New Roman" w:hAnsi="Times New Roman" w:cs="Times New Roman"/>
        </w:rPr>
      </w:pPr>
      <w:r w:rsidRPr="00B97F19">
        <w:rPr>
          <w:rStyle w:val="FootnoteReference"/>
          <w:rFonts w:ascii="Times New Roman" w:hAnsi="Times New Roman" w:cs="Times New Roman"/>
        </w:rPr>
        <w:footnoteRef/>
      </w:r>
      <w:r w:rsidRPr="00B97F19">
        <w:rPr>
          <w:rFonts w:ascii="Times New Roman" w:hAnsi="Times New Roman" w:cs="Times New Roman"/>
        </w:rPr>
        <w:t xml:space="preserve"> A. </w:t>
      </w:r>
      <w:proofErr w:type="spellStart"/>
      <w:r w:rsidRPr="00B97F19">
        <w:rPr>
          <w:rFonts w:ascii="Times New Roman" w:hAnsi="Times New Roman" w:cs="Times New Roman"/>
        </w:rPr>
        <w:t>Paré</w:t>
      </w:r>
      <w:proofErr w:type="spellEnd"/>
      <w:r w:rsidRPr="00B97F19">
        <w:rPr>
          <w:rFonts w:ascii="Times New Roman" w:hAnsi="Times New Roman" w:cs="Times New Roman"/>
        </w:rPr>
        <w:t xml:space="preserve">, </w:t>
      </w:r>
      <w:r w:rsidRPr="00B97F19">
        <w:rPr>
          <w:rFonts w:ascii="Times New Roman" w:hAnsi="Times New Roman" w:cs="Times New Roman"/>
          <w:i/>
          <w:iCs/>
        </w:rPr>
        <w:t xml:space="preserve">The Works of that famous chirurgeon Ambrose </w:t>
      </w:r>
      <w:proofErr w:type="spellStart"/>
      <w:r w:rsidRPr="00B97F19">
        <w:rPr>
          <w:rFonts w:ascii="Times New Roman" w:hAnsi="Times New Roman" w:cs="Times New Roman"/>
          <w:i/>
          <w:iCs/>
        </w:rPr>
        <w:t>Parey</w:t>
      </w:r>
      <w:proofErr w:type="spellEnd"/>
      <w:r w:rsidRPr="00B97F19">
        <w:rPr>
          <w:rFonts w:ascii="Times New Roman" w:hAnsi="Times New Roman" w:cs="Times New Roman"/>
        </w:rPr>
        <w:t>, trans. Johnson, T. (London: Printed by Mary Clark for John Clark, 1678), Bk XXII ‘Of the Plague’, p.492-497</w:t>
      </w:r>
    </w:p>
  </w:footnote>
  <w:footnote w:id="5">
    <w:p w14:paraId="72816E57" w14:textId="7F59BAB7" w:rsidR="00F805B2" w:rsidRPr="00B97F19" w:rsidRDefault="00F805B2" w:rsidP="00F805B2">
      <w:pPr>
        <w:pStyle w:val="NormalWeb"/>
        <w:spacing w:before="0" w:beforeAutospacing="0" w:after="240" w:afterAutospacing="0" w:line="360" w:lineRule="auto"/>
        <w:ind w:left="720" w:hanging="720"/>
        <w:rPr>
          <w:sz w:val="20"/>
          <w:szCs w:val="20"/>
        </w:rPr>
      </w:pPr>
      <w:r w:rsidRPr="00B97F19">
        <w:rPr>
          <w:rStyle w:val="FootnoteReference"/>
          <w:sz w:val="20"/>
          <w:szCs w:val="20"/>
        </w:rPr>
        <w:footnoteRef/>
      </w:r>
      <w:r w:rsidRPr="00B97F19">
        <w:rPr>
          <w:sz w:val="20"/>
          <w:szCs w:val="20"/>
        </w:rPr>
        <w:t xml:space="preserve"> A. Nye, </w:t>
      </w:r>
      <w:r w:rsidRPr="00B97F19">
        <w:rPr>
          <w:i/>
          <w:iCs/>
          <w:sz w:val="20"/>
          <w:szCs w:val="20"/>
        </w:rPr>
        <w:t>Socrates and Diotima: Sexuality, Religion, and the Nature of Divinity</w:t>
      </w:r>
      <w:r w:rsidRPr="00B97F19">
        <w:rPr>
          <w:sz w:val="20"/>
          <w:szCs w:val="20"/>
        </w:rPr>
        <w:t xml:space="preserve"> (New York: Palgrave Macmillan, 2015), p. 116–30</w:t>
      </w:r>
    </w:p>
  </w:footnote>
  <w:footnote w:id="6">
    <w:p w14:paraId="2449C7BC" w14:textId="77777777" w:rsidR="00EF0A58" w:rsidRDefault="00EF0A58" w:rsidP="00EF0A58">
      <w:pPr>
        <w:pStyle w:val="FootnoteText"/>
      </w:pPr>
      <w:r>
        <w:rPr>
          <w:rStyle w:val="FootnoteReference"/>
        </w:rPr>
        <w:footnoteRef/>
      </w:r>
      <w:r>
        <w:t xml:space="preserve"> </w:t>
      </w:r>
      <w:proofErr w:type="spellStart"/>
      <w:r w:rsidRPr="00E95E6E">
        <w:rPr>
          <w:rFonts w:ascii="Times New Roman" w:hAnsi="Times New Roman" w:cs="Times New Roman"/>
        </w:rPr>
        <w:t>Gunderman</w:t>
      </w:r>
      <w:proofErr w:type="spellEnd"/>
      <w:r w:rsidRPr="00E95E6E">
        <w:rPr>
          <w:rFonts w:ascii="Times New Roman" w:hAnsi="Times New Roman" w:cs="Times New Roman"/>
        </w:rPr>
        <w:t xml:space="preserve"> &amp; Brown, </w:t>
      </w:r>
      <w:r w:rsidRPr="00E95E6E">
        <w:rPr>
          <w:rFonts w:ascii="Times New Roman" w:hAnsi="Times New Roman" w:cs="Times New Roman"/>
          <w:i/>
          <w:iCs/>
        </w:rPr>
        <w:t>Affliction Is a Treasure</w:t>
      </w:r>
      <w:r w:rsidRPr="00E95E6E">
        <w:rPr>
          <w:rFonts w:ascii="Times New Roman" w:hAnsi="Times New Roman" w:cs="Times New Roman"/>
        </w:rPr>
        <w:t>, p.5</w:t>
      </w:r>
      <w:r>
        <w:t xml:space="preserve"> </w:t>
      </w:r>
    </w:p>
  </w:footnote>
  <w:footnote w:id="7">
    <w:p w14:paraId="50D9ABCA" w14:textId="71579B95" w:rsidR="00194C69" w:rsidRPr="00194C69" w:rsidRDefault="00194C69" w:rsidP="00194C69">
      <w:pPr>
        <w:pStyle w:val="NormalWeb"/>
        <w:spacing w:before="0" w:beforeAutospacing="0" w:after="240" w:afterAutospacing="0" w:line="360" w:lineRule="auto"/>
        <w:ind w:left="720" w:hanging="720"/>
        <w:rPr>
          <w:sz w:val="20"/>
          <w:szCs w:val="20"/>
        </w:rPr>
      </w:pPr>
      <w:r>
        <w:rPr>
          <w:rStyle w:val="FootnoteReference"/>
        </w:rPr>
        <w:footnoteRef/>
      </w:r>
      <w:r>
        <w:t xml:space="preserve"> </w:t>
      </w:r>
      <w:r w:rsidRPr="00194C69">
        <w:rPr>
          <w:sz w:val="20"/>
          <w:szCs w:val="20"/>
        </w:rPr>
        <w:t xml:space="preserve">S. </w:t>
      </w:r>
      <w:r w:rsidRPr="00194C69">
        <w:rPr>
          <w:sz w:val="20"/>
          <w:szCs w:val="20"/>
        </w:rPr>
        <w:t xml:space="preserve">Andersen, </w:t>
      </w:r>
      <w:r>
        <w:rPr>
          <w:sz w:val="20"/>
          <w:szCs w:val="20"/>
        </w:rPr>
        <w:t>‘</w:t>
      </w:r>
      <w:r w:rsidRPr="00194C69">
        <w:rPr>
          <w:sz w:val="20"/>
          <w:szCs w:val="20"/>
        </w:rPr>
        <w:t>Theological Ethics, Moral Philosophy, and Natural Law</w:t>
      </w:r>
      <w:r>
        <w:rPr>
          <w:sz w:val="20"/>
          <w:szCs w:val="20"/>
        </w:rPr>
        <w:t xml:space="preserve">’ </w:t>
      </w:r>
      <w:r w:rsidRPr="00194C69">
        <w:rPr>
          <w:i/>
          <w:iCs/>
          <w:sz w:val="20"/>
          <w:szCs w:val="20"/>
        </w:rPr>
        <w:t>Ethical Theory and Moral Practice</w:t>
      </w:r>
      <w:r w:rsidRPr="00194C69">
        <w:rPr>
          <w:sz w:val="20"/>
          <w:szCs w:val="20"/>
        </w:rPr>
        <w:t>, 4</w:t>
      </w:r>
      <w:r>
        <w:rPr>
          <w:sz w:val="20"/>
          <w:szCs w:val="20"/>
        </w:rPr>
        <w:t>(</w:t>
      </w:r>
      <w:r w:rsidRPr="00194C69">
        <w:rPr>
          <w:sz w:val="20"/>
          <w:szCs w:val="20"/>
        </w:rPr>
        <w:t>4</w:t>
      </w:r>
      <w:r>
        <w:rPr>
          <w:sz w:val="20"/>
          <w:szCs w:val="20"/>
        </w:rPr>
        <w:t>) (2001)</w:t>
      </w:r>
      <w:r w:rsidRPr="00194C69">
        <w:rPr>
          <w:sz w:val="20"/>
          <w:szCs w:val="20"/>
        </w:rPr>
        <w:t xml:space="preserve"> 349–64</w:t>
      </w:r>
      <w:r>
        <w:rPr>
          <w:sz w:val="20"/>
          <w:szCs w:val="20"/>
        </w:rPr>
        <w:t xml:space="preserve">. Available at: </w:t>
      </w:r>
      <w:hyperlink r:id="rId1" w:history="1">
        <w:r w:rsidRPr="008F7519">
          <w:rPr>
            <w:rStyle w:val="Hyperlink"/>
            <w:sz w:val="20"/>
            <w:szCs w:val="20"/>
          </w:rPr>
          <w:t>h</w:t>
        </w:r>
        <w:r w:rsidRPr="008F7519">
          <w:rPr>
            <w:rStyle w:val="Hyperlink"/>
            <w:spacing w:val="-5"/>
            <w:sz w:val="20"/>
            <w:szCs w:val="20"/>
            <w:shd w:val="clear" w:color="auto" w:fill="FFFFFF"/>
          </w:rPr>
          <w:t>ttps://ezproxy.uwtsd.ac.uk/login?url=https://www.jstor.org/stable/43246126</w:t>
        </w:r>
      </w:hyperlink>
      <w:r>
        <w:rPr>
          <w:spacing w:val="-5"/>
          <w:sz w:val="20"/>
          <w:szCs w:val="20"/>
          <w:shd w:val="clear" w:color="auto" w:fill="FFFFFF"/>
        </w:rPr>
        <w:t xml:space="preserve"> [Accessed 17 May 2021]</w:t>
      </w:r>
    </w:p>
    <w:p w14:paraId="25CAF236" w14:textId="49A03455" w:rsidR="00194C69" w:rsidRDefault="00194C69">
      <w:pPr>
        <w:pStyle w:val="FootnoteText"/>
      </w:pPr>
    </w:p>
  </w:footnote>
  <w:footnote w:id="8">
    <w:p w14:paraId="3D802B5F" w14:textId="77777777" w:rsidR="00EF0A58" w:rsidRDefault="00EF0A58" w:rsidP="00EF0A58">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109</w:t>
      </w:r>
    </w:p>
  </w:footnote>
  <w:footnote w:id="9">
    <w:p w14:paraId="790CBE90" w14:textId="77777777" w:rsidR="00EF0A58" w:rsidRDefault="00EF0A58" w:rsidP="00EF0A58">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101</w:t>
      </w:r>
    </w:p>
  </w:footnote>
  <w:footnote w:id="10">
    <w:p w14:paraId="78F79F75" w14:textId="77777777" w:rsidR="00EF0A58" w:rsidRDefault="00EF0A58" w:rsidP="00EF0A58">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109</w:t>
      </w:r>
    </w:p>
  </w:footnote>
  <w:footnote w:id="11">
    <w:p w14:paraId="4EAD432A" w14:textId="77777777" w:rsidR="00EF0A58" w:rsidRDefault="00EF0A58" w:rsidP="00EF0A58">
      <w:pPr>
        <w:pStyle w:val="FootnoteText"/>
      </w:pPr>
      <w:r>
        <w:rPr>
          <w:rStyle w:val="FootnoteReference"/>
        </w:rPr>
        <w:footnoteRef/>
      </w:r>
      <w:r>
        <w:t xml:space="preserve"> </w:t>
      </w:r>
      <w:proofErr w:type="spellStart"/>
      <w:r w:rsidRPr="00E95E6E">
        <w:rPr>
          <w:rFonts w:ascii="Times New Roman" w:hAnsi="Times New Roman" w:cs="Times New Roman"/>
        </w:rPr>
        <w:t>Gunderman</w:t>
      </w:r>
      <w:proofErr w:type="spellEnd"/>
      <w:r w:rsidRPr="00E95E6E">
        <w:rPr>
          <w:rFonts w:ascii="Times New Roman" w:hAnsi="Times New Roman" w:cs="Times New Roman"/>
        </w:rPr>
        <w:t xml:space="preserve"> &amp; Brown, </w:t>
      </w:r>
      <w:r w:rsidRPr="00E95E6E">
        <w:rPr>
          <w:rFonts w:ascii="Times New Roman" w:hAnsi="Times New Roman" w:cs="Times New Roman"/>
          <w:i/>
          <w:iCs/>
        </w:rPr>
        <w:t>Affliction Is a Treasure</w:t>
      </w:r>
      <w:r w:rsidRPr="00E95E6E">
        <w:rPr>
          <w:rFonts w:ascii="Times New Roman" w:hAnsi="Times New Roman" w:cs="Times New Roman"/>
        </w:rPr>
        <w:t>, p.</w:t>
      </w:r>
      <w:r>
        <w:rPr>
          <w:rFonts w:ascii="Times New Roman" w:hAnsi="Times New Roman" w:cs="Times New Roman"/>
        </w:rPr>
        <w:t xml:space="preserve"> 9-11</w:t>
      </w:r>
    </w:p>
  </w:footnote>
  <w:footnote w:id="12">
    <w:p w14:paraId="67F67F3E" w14:textId="77777777" w:rsidR="00EF0A58" w:rsidRDefault="00EF0A58" w:rsidP="00EF0A58">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113</w:t>
      </w:r>
    </w:p>
  </w:footnote>
  <w:footnote w:id="13">
    <w:p w14:paraId="767C5752" w14:textId="77777777" w:rsidR="00EF0A58" w:rsidRDefault="00EF0A58" w:rsidP="00EF0A58">
      <w:pPr>
        <w:pStyle w:val="FootnoteText"/>
      </w:pPr>
      <w:r>
        <w:rPr>
          <w:rStyle w:val="FootnoteReference"/>
        </w:rPr>
        <w:footnoteRef/>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155-157</w:t>
      </w:r>
    </w:p>
  </w:footnote>
  <w:footnote w:id="14">
    <w:p w14:paraId="1B2ED0EA" w14:textId="77777777" w:rsidR="00EF0A58" w:rsidRPr="007677F6" w:rsidRDefault="00EF0A58" w:rsidP="00EF0A58">
      <w:pPr>
        <w:pStyle w:val="NormalWeb"/>
        <w:spacing w:before="0" w:beforeAutospacing="0" w:after="240" w:afterAutospacing="0" w:line="360" w:lineRule="auto"/>
        <w:ind w:left="720" w:hanging="720"/>
      </w:pPr>
      <w:r>
        <w:rPr>
          <w:rStyle w:val="FootnoteReference"/>
        </w:rPr>
        <w:footnoteRef/>
      </w:r>
      <w:r>
        <w:t xml:space="preserve"> </w:t>
      </w:r>
      <w:r w:rsidRPr="007677F6">
        <w:rPr>
          <w:sz w:val="20"/>
          <w:szCs w:val="20"/>
        </w:rPr>
        <w:t xml:space="preserve">J. Goldberg, ‘The Understanding of Sickness in Donne’s Devotions’, </w:t>
      </w:r>
      <w:r w:rsidRPr="007677F6">
        <w:rPr>
          <w:i/>
          <w:iCs/>
          <w:sz w:val="20"/>
          <w:szCs w:val="20"/>
        </w:rPr>
        <w:t>Renaissance Quarterly</w:t>
      </w:r>
      <w:r w:rsidRPr="007677F6">
        <w:rPr>
          <w:sz w:val="20"/>
          <w:szCs w:val="20"/>
        </w:rPr>
        <w:t xml:space="preserve">, 24(4) (1971) 507–17 (p.508-515). Available at:  </w:t>
      </w:r>
      <w:hyperlink r:id="rId2" w:history="1">
        <w:r w:rsidRPr="007677F6">
          <w:rPr>
            <w:rStyle w:val="Hyperlink"/>
            <w:color w:val="auto"/>
            <w:sz w:val="20"/>
            <w:szCs w:val="20"/>
            <w:u w:val="none"/>
          </w:rPr>
          <w:t>The Understanding of Sickness in Donne's Devotions on JSTOR</w:t>
        </w:r>
      </w:hyperlink>
      <w:r w:rsidRPr="007677F6">
        <w:rPr>
          <w:sz w:val="20"/>
          <w:szCs w:val="20"/>
        </w:rPr>
        <w:t xml:space="preserve"> [Accessed 17 May 2021]</w:t>
      </w:r>
    </w:p>
    <w:p w14:paraId="6E1158AD" w14:textId="77777777" w:rsidR="00EF0A58" w:rsidRDefault="00EF0A58" w:rsidP="00EF0A58">
      <w:pPr>
        <w:pStyle w:val="FootnoteText"/>
      </w:pPr>
    </w:p>
  </w:footnote>
  <w:footnote w:id="15">
    <w:p w14:paraId="1DFEFB82" w14:textId="570E5504" w:rsidR="00650E2B" w:rsidRPr="00B97F19" w:rsidRDefault="00650E2B" w:rsidP="00955BD1">
      <w:pPr>
        <w:pStyle w:val="NormalWeb"/>
        <w:spacing w:before="0" w:beforeAutospacing="0" w:after="240" w:afterAutospacing="0" w:line="360" w:lineRule="auto"/>
        <w:ind w:left="720" w:hanging="720"/>
        <w:rPr>
          <w:sz w:val="20"/>
          <w:szCs w:val="20"/>
        </w:rPr>
      </w:pPr>
      <w:r w:rsidRPr="00B97F19">
        <w:rPr>
          <w:rStyle w:val="FootnoteReference"/>
          <w:sz w:val="20"/>
          <w:szCs w:val="20"/>
        </w:rPr>
        <w:footnoteRef/>
      </w:r>
      <w:r w:rsidRPr="00B97F19">
        <w:rPr>
          <w:sz w:val="20"/>
          <w:szCs w:val="20"/>
        </w:rPr>
        <w:t xml:space="preserve"> P. Thomas, </w:t>
      </w:r>
      <w:r w:rsidRPr="00B97F19">
        <w:rPr>
          <w:i/>
          <w:iCs/>
          <w:sz w:val="20"/>
          <w:szCs w:val="20"/>
        </w:rPr>
        <w:t>THE MATERIA MEDICA of THOMAS PHAIRE (1510-1560)</w:t>
      </w:r>
      <w:r w:rsidRPr="00B97F19">
        <w:rPr>
          <w:sz w:val="20"/>
          <w:szCs w:val="20"/>
        </w:rPr>
        <w:t xml:space="preserve"> (Cambridge: Oxford University Press, 1982), p. 297–301 </w:t>
      </w:r>
    </w:p>
  </w:footnote>
  <w:footnote w:id="16">
    <w:p w14:paraId="329B1B8B" w14:textId="6477E0F9" w:rsidR="00955BD1" w:rsidRDefault="00955BD1">
      <w:pPr>
        <w:pStyle w:val="FootnoteText"/>
      </w:pPr>
      <w:r w:rsidRPr="00B97F19">
        <w:rPr>
          <w:rStyle w:val="FootnoteReference"/>
          <w:rFonts w:ascii="Times New Roman" w:hAnsi="Times New Roman" w:cs="Times New Roman"/>
        </w:rPr>
        <w:footnoteRef/>
      </w:r>
      <w:r w:rsidRPr="00B97F19">
        <w:rPr>
          <w:rFonts w:ascii="Times New Roman" w:hAnsi="Times New Roman" w:cs="Times New Roman"/>
        </w:rPr>
        <w:t xml:space="preserve"> </w:t>
      </w:r>
      <w:proofErr w:type="spellStart"/>
      <w:r w:rsidRPr="00B97F19">
        <w:rPr>
          <w:rFonts w:ascii="Times New Roman" w:hAnsi="Times New Roman" w:cs="Times New Roman"/>
        </w:rPr>
        <w:t>Phaire</w:t>
      </w:r>
      <w:proofErr w:type="spellEnd"/>
      <w:r w:rsidRPr="00B97F19">
        <w:rPr>
          <w:rFonts w:ascii="Times New Roman" w:hAnsi="Times New Roman" w:cs="Times New Roman"/>
        </w:rPr>
        <w:t xml:space="preserve">, </w:t>
      </w:r>
      <w:r w:rsidRPr="00B97F19">
        <w:rPr>
          <w:rFonts w:ascii="Times New Roman" w:hAnsi="Times New Roman" w:cs="Times New Roman"/>
          <w:i/>
          <w:iCs/>
        </w:rPr>
        <w:t>The Regiment of Life</w:t>
      </w:r>
      <w:r w:rsidRPr="00B97F19">
        <w:rPr>
          <w:rFonts w:ascii="Times New Roman" w:hAnsi="Times New Roman" w:cs="Times New Roman"/>
        </w:rPr>
        <w:t>, p. 165-186</w:t>
      </w:r>
    </w:p>
  </w:footnote>
  <w:footnote w:id="17">
    <w:p w14:paraId="22F77ED2" w14:textId="1FBC9AE0" w:rsidR="009448FA" w:rsidRPr="009448FA" w:rsidRDefault="009448FA" w:rsidP="003B1468">
      <w:pPr>
        <w:pStyle w:val="NormalWeb"/>
        <w:spacing w:before="0" w:beforeAutospacing="0" w:after="240" w:afterAutospacing="0" w:line="360" w:lineRule="auto"/>
        <w:ind w:left="720" w:hanging="720"/>
        <w:jc w:val="both"/>
        <w:rPr>
          <w:sz w:val="20"/>
          <w:szCs w:val="20"/>
        </w:rPr>
      </w:pPr>
      <w:r>
        <w:rPr>
          <w:rStyle w:val="FootnoteReference"/>
        </w:rPr>
        <w:footnoteRef/>
      </w:r>
      <w:r>
        <w:t xml:space="preserve"> </w:t>
      </w:r>
      <w:r w:rsidRPr="009448FA">
        <w:rPr>
          <w:sz w:val="20"/>
          <w:szCs w:val="20"/>
        </w:rPr>
        <w:t xml:space="preserve">J. Donne, </w:t>
      </w:r>
      <w:r w:rsidRPr="009448FA">
        <w:rPr>
          <w:i/>
          <w:iCs/>
          <w:sz w:val="20"/>
          <w:szCs w:val="20"/>
        </w:rPr>
        <w:t>Devotions upon Emergent Occasions: Together with Death’s Duel</w:t>
      </w:r>
      <w:r w:rsidRPr="009448FA">
        <w:rPr>
          <w:sz w:val="20"/>
          <w:szCs w:val="20"/>
        </w:rPr>
        <w:t xml:space="preserve"> (University of Michigan: Ann Arbor Paperback, 1959), p. </w:t>
      </w:r>
      <w:r>
        <w:rPr>
          <w:sz w:val="20"/>
          <w:szCs w:val="20"/>
        </w:rPr>
        <w:t>8</w:t>
      </w:r>
      <w:r w:rsidRPr="009448FA">
        <w:rPr>
          <w:sz w:val="20"/>
          <w:szCs w:val="20"/>
        </w:rPr>
        <w:t xml:space="preserve">. </w:t>
      </w:r>
      <w:r w:rsidR="00B97F19" w:rsidRPr="009448FA">
        <w:rPr>
          <w:sz w:val="20"/>
          <w:szCs w:val="20"/>
        </w:rPr>
        <w:t>Available</w:t>
      </w:r>
      <w:r w:rsidRPr="009448FA">
        <w:rPr>
          <w:sz w:val="20"/>
          <w:szCs w:val="20"/>
        </w:rPr>
        <w:t xml:space="preserve"> at: &lt;https://www.gutenberg.org/files/23772/23772-h/23772-h.htm#Page_102&gt; [Accessed 17 May 2021]</w:t>
      </w:r>
    </w:p>
  </w:footnote>
  <w:footnote w:id="18">
    <w:p w14:paraId="0162F8EC" w14:textId="57849D7E" w:rsidR="009448FA" w:rsidRDefault="009448FA">
      <w:pPr>
        <w:pStyle w:val="FootnoteText"/>
      </w:pPr>
      <w:r>
        <w:rPr>
          <w:rStyle w:val="FootnoteReference"/>
        </w:rPr>
        <w:footnoteRef/>
      </w:r>
      <w:r>
        <w:t xml:space="preserve"> </w:t>
      </w:r>
      <w:r w:rsidRPr="009448FA">
        <w:rPr>
          <w:rFonts w:ascii="Times New Roman" w:hAnsi="Times New Roman" w:cs="Times New Roman"/>
        </w:rPr>
        <w:t>Donne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p. 8</w:t>
      </w:r>
    </w:p>
  </w:footnote>
  <w:footnote w:id="19">
    <w:p w14:paraId="028C8482" w14:textId="2C4B2E4F" w:rsidR="0073016D" w:rsidRDefault="0073016D">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101</w:t>
      </w:r>
    </w:p>
  </w:footnote>
  <w:footnote w:id="20">
    <w:p w14:paraId="7E9B12A9" w14:textId="6CBFB5E3" w:rsidR="00002893" w:rsidRDefault="00002893">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115</w:t>
      </w:r>
    </w:p>
  </w:footnote>
  <w:footnote w:id="21">
    <w:p w14:paraId="6277248C" w14:textId="77560C41" w:rsidR="001035FD" w:rsidRDefault="001035FD">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112</w:t>
      </w:r>
    </w:p>
  </w:footnote>
  <w:footnote w:id="22">
    <w:p w14:paraId="21BA6A93" w14:textId="1DF4D26E" w:rsidR="0075536F" w:rsidRDefault="0075536F">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112</w:t>
      </w:r>
    </w:p>
  </w:footnote>
  <w:footnote w:id="23">
    <w:p w14:paraId="28C93DDA" w14:textId="7B5B7072" w:rsidR="008D6E77" w:rsidRDefault="008D6E77">
      <w:pPr>
        <w:pStyle w:val="FootnoteText"/>
      </w:pPr>
      <w:r>
        <w:rPr>
          <w:rStyle w:val="FootnoteReference"/>
        </w:rPr>
        <w:footnoteRef/>
      </w:r>
      <w:r>
        <w:t xml:space="preserve"> </w:t>
      </w:r>
      <w:r w:rsidRPr="008D6E77">
        <w:rPr>
          <w:rFonts w:ascii="Times New Roman" w:hAnsi="Times New Roman" w:cs="Times New Roman"/>
        </w:rPr>
        <w:t xml:space="preserve">Nye, </w:t>
      </w:r>
      <w:r w:rsidRPr="008D6E77">
        <w:rPr>
          <w:rFonts w:ascii="Times New Roman" w:hAnsi="Times New Roman" w:cs="Times New Roman"/>
          <w:i/>
          <w:iCs/>
        </w:rPr>
        <w:t>Socrates and Diotima</w:t>
      </w:r>
      <w:r w:rsidRPr="008D6E77">
        <w:rPr>
          <w:rFonts w:ascii="Times New Roman" w:hAnsi="Times New Roman" w:cs="Times New Roman"/>
        </w:rPr>
        <w:t>, p. 116–30</w:t>
      </w:r>
    </w:p>
  </w:footnote>
  <w:footnote w:id="24">
    <w:p w14:paraId="73705212" w14:textId="30A90F35" w:rsidR="004D547C" w:rsidRDefault="004D547C">
      <w:pPr>
        <w:pStyle w:val="FootnoteText"/>
      </w:pPr>
      <w:r>
        <w:rPr>
          <w:rStyle w:val="FootnoteReference"/>
        </w:rPr>
        <w:footnoteRef/>
      </w:r>
      <w:r>
        <w:t xml:space="preserve"> </w:t>
      </w:r>
      <w:r w:rsidRPr="009448FA">
        <w:rPr>
          <w:rFonts w:ascii="Times New Roman" w:hAnsi="Times New Roman" w:cs="Times New Roman"/>
        </w:rPr>
        <w:t>D</w:t>
      </w:r>
      <w:r>
        <w:rPr>
          <w:rFonts w:ascii="Times New Roman" w:hAnsi="Times New Roman" w:cs="Times New Roman"/>
        </w:rPr>
        <w:t>o</w:t>
      </w:r>
      <w:r w:rsidRPr="009448FA">
        <w:rPr>
          <w:rFonts w:ascii="Times New Roman" w:hAnsi="Times New Roman" w:cs="Times New Roman"/>
        </w:rPr>
        <w:t>nne</w:t>
      </w:r>
      <w:r>
        <w:rPr>
          <w:rFonts w:ascii="Times New Roman" w:hAnsi="Times New Roman" w:cs="Times New Roman"/>
        </w:rPr>
        <w:t>,</w:t>
      </w:r>
      <w:r w:rsidRPr="009448FA">
        <w:rPr>
          <w:rFonts w:ascii="Times New Roman" w:hAnsi="Times New Roman" w:cs="Times New Roman"/>
        </w:rPr>
        <w:t xml:space="preserve"> </w:t>
      </w:r>
      <w:r w:rsidRPr="009448FA">
        <w:rPr>
          <w:rFonts w:ascii="Times New Roman" w:hAnsi="Times New Roman" w:cs="Times New Roman"/>
          <w:i/>
          <w:iCs/>
        </w:rPr>
        <w:t>Devotions</w:t>
      </w:r>
      <w:r w:rsidRPr="009448FA">
        <w:rPr>
          <w:rFonts w:ascii="Times New Roman" w:hAnsi="Times New Roman" w:cs="Times New Roman"/>
        </w:rPr>
        <w:t xml:space="preserve">, p. </w:t>
      </w:r>
      <w:r>
        <w:rPr>
          <w:rFonts w:ascii="Times New Roman" w:hAnsi="Times New Roman" w:cs="Times New Roman"/>
        </w:rPr>
        <w:t>157</w:t>
      </w:r>
    </w:p>
  </w:footnote>
  <w:footnote w:id="25">
    <w:p w14:paraId="0CF6F2F1" w14:textId="2F476FDD" w:rsidR="00487610" w:rsidRDefault="00487610">
      <w:pPr>
        <w:pStyle w:val="FootnoteText"/>
      </w:pPr>
      <w:r>
        <w:rPr>
          <w:rStyle w:val="FootnoteReference"/>
        </w:rPr>
        <w:footnoteRef/>
      </w:r>
      <w:r>
        <w:t xml:space="preserve"> </w:t>
      </w:r>
      <w:proofErr w:type="spellStart"/>
      <w:r w:rsidRPr="00955BD1">
        <w:rPr>
          <w:rFonts w:ascii="Times New Roman" w:hAnsi="Times New Roman" w:cs="Times New Roman"/>
        </w:rPr>
        <w:t>Phaire</w:t>
      </w:r>
      <w:proofErr w:type="spellEnd"/>
      <w:r w:rsidRPr="00955BD1">
        <w:rPr>
          <w:rFonts w:ascii="Times New Roman" w:hAnsi="Times New Roman" w:cs="Times New Roman"/>
        </w:rPr>
        <w:t xml:space="preserve">, </w:t>
      </w:r>
      <w:r w:rsidRPr="00955BD1">
        <w:rPr>
          <w:rFonts w:ascii="Times New Roman" w:hAnsi="Times New Roman" w:cs="Times New Roman"/>
          <w:i/>
          <w:iCs/>
        </w:rPr>
        <w:t>The Regiment of Life</w:t>
      </w:r>
      <w:r w:rsidRPr="00955BD1">
        <w:rPr>
          <w:rFonts w:ascii="Times New Roman" w:hAnsi="Times New Roman" w:cs="Times New Roman"/>
        </w:rPr>
        <w:t>, p. 165-186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C2F"/>
    <w:rsid w:val="000018D8"/>
    <w:rsid w:val="00002893"/>
    <w:rsid w:val="000778E3"/>
    <w:rsid w:val="00093FB5"/>
    <w:rsid w:val="00100C59"/>
    <w:rsid w:val="001035FD"/>
    <w:rsid w:val="00106C78"/>
    <w:rsid w:val="00157400"/>
    <w:rsid w:val="00194C69"/>
    <w:rsid w:val="001F1909"/>
    <w:rsid w:val="002328A7"/>
    <w:rsid w:val="00237452"/>
    <w:rsid w:val="00240D3E"/>
    <w:rsid w:val="00251FD3"/>
    <w:rsid w:val="002839AB"/>
    <w:rsid w:val="002C5F3A"/>
    <w:rsid w:val="00311EFD"/>
    <w:rsid w:val="003371E9"/>
    <w:rsid w:val="00352991"/>
    <w:rsid w:val="003B1468"/>
    <w:rsid w:val="003F309A"/>
    <w:rsid w:val="004771D2"/>
    <w:rsid w:val="00487610"/>
    <w:rsid w:val="004B0CA5"/>
    <w:rsid w:val="004D547C"/>
    <w:rsid w:val="00525236"/>
    <w:rsid w:val="00527391"/>
    <w:rsid w:val="005367D7"/>
    <w:rsid w:val="00574D9F"/>
    <w:rsid w:val="005875DE"/>
    <w:rsid w:val="005C7804"/>
    <w:rsid w:val="00650E2B"/>
    <w:rsid w:val="00662797"/>
    <w:rsid w:val="00711B75"/>
    <w:rsid w:val="0073016D"/>
    <w:rsid w:val="0075536F"/>
    <w:rsid w:val="007677F6"/>
    <w:rsid w:val="007D11FC"/>
    <w:rsid w:val="008045C0"/>
    <w:rsid w:val="00817BD1"/>
    <w:rsid w:val="00875992"/>
    <w:rsid w:val="008C38BC"/>
    <w:rsid w:val="008D2AC4"/>
    <w:rsid w:val="008D6E77"/>
    <w:rsid w:val="0090030D"/>
    <w:rsid w:val="009448FA"/>
    <w:rsid w:val="00955BD1"/>
    <w:rsid w:val="00980587"/>
    <w:rsid w:val="009B0229"/>
    <w:rsid w:val="009B38E0"/>
    <w:rsid w:val="009C7FA1"/>
    <w:rsid w:val="00A4714F"/>
    <w:rsid w:val="00AC0C1A"/>
    <w:rsid w:val="00B40634"/>
    <w:rsid w:val="00B83C2F"/>
    <w:rsid w:val="00B913E0"/>
    <w:rsid w:val="00B97F19"/>
    <w:rsid w:val="00C43570"/>
    <w:rsid w:val="00D9067D"/>
    <w:rsid w:val="00DE6814"/>
    <w:rsid w:val="00DF0C0F"/>
    <w:rsid w:val="00E400CF"/>
    <w:rsid w:val="00E40F7E"/>
    <w:rsid w:val="00E4206D"/>
    <w:rsid w:val="00E95E6E"/>
    <w:rsid w:val="00EF0A58"/>
    <w:rsid w:val="00EF7580"/>
    <w:rsid w:val="00F1754C"/>
    <w:rsid w:val="00F21464"/>
    <w:rsid w:val="00F24658"/>
    <w:rsid w:val="00F27181"/>
    <w:rsid w:val="00F4770D"/>
    <w:rsid w:val="00F805B2"/>
    <w:rsid w:val="00F91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E80F"/>
  <w15:chartTrackingRefBased/>
  <w15:docId w15:val="{49B13766-6660-4381-A909-04159A096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F19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1909"/>
    <w:rPr>
      <w:sz w:val="20"/>
      <w:szCs w:val="20"/>
    </w:rPr>
  </w:style>
  <w:style w:type="character" w:styleId="FootnoteReference">
    <w:name w:val="footnote reference"/>
    <w:basedOn w:val="DefaultParagraphFont"/>
    <w:uiPriority w:val="99"/>
    <w:semiHidden/>
    <w:unhideWhenUsed/>
    <w:rsid w:val="001F1909"/>
    <w:rPr>
      <w:vertAlign w:val="superscript"/>
    </w:rPr>
  </w:style>
  <w:style w:type="paragraph" w:styleId="NormalWeb">
    <w:name w:val="Normal (Web)"/>
    <w:basedOn w:val="Normal"/>
    <w:uiPriority w:val="99"/>
    <w:unhideWhenUsed/>
    <w:rsid w:val="00F914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677F6"/>
    <w:rPr>
      <w:color w:val="0000FF"/>
      <w:u w:val="single"/>
    </w:rPr>
  </w:style>
  <w:style w:type="character" w:styleId="CommentReference">
    <w:name w:val="annotation reference"/>
    <w:basedOn w:val="DefaultParagraphFont"/>
    <w:uiPriority w:val="99"/>
    <w:semiHidden/>
    <w:unhideWhenUsed/>
    <w:rsid w:val="003371E9"/>
    <w:rPr>
      <w:sz w:val="16"/>
      <w:szCs w:val="16"/>
    </w:rPr>
  </w:style>
  <w:style w:type="paragraph" w:styleId="CommentText">
    <w:name w:val="annotation text"/>
    <w:basedOn w:val="Normal"/>
    <w:link w:val="CommentTextChar"/>
    <w:uiPriority w:val="99"/>
    <w:semiHidden/>
    <w:unhideWhenUsed/>
    <w:rsid w:val="003371E9"/>
    <w:pPr>
      <w:spacing w:line="240" w:lineRule="auto"/>
    </w:pPr>
    <w:rPr>
      <w:sz w:val="20"/>
      <w:szCs w:val="20"/>
    </w:rPr>
  </w:style>
  <w:style w:type="character" w:customStyle="1" w:styleId="CommentTextChar">
    <w:name w:val="Comment Text Char"/>
    <w:basedOn w:val="DefaultParagraphFont"/>
    <w:link w:val="CommentText"/>
    <w:uiPriority w:val="99"/>
    <w:semiHidden/>
    <w:rsid w:val="003371E9"/>
    <w:rPr>
      <w:sz w:val="20"/>
      <w:szCs w:val="20"/>
    </w:rPr>
  </w:style>
  <w:style w:type="paragraph" w:styleId="CommentSubject">
    <w:name w:val="annotation subject"/>
    <w:basedOn w:val="CommentText"/>
    <w:next w:val="CommentText"/>
    <w:link w:val="CommentSubjectChar"/>
    <w:uiPriority w:val="99"/>
    <w:semiHidden/>
    <w:unhideWhenUsed/>
    <w:rsid w:val="003371E9"/>
    <w:rPr>
      <w:b/>
      <w:bCs/>
    </w:rPr>
  </w:style>
  <w:style w:type="character" w:customStyle="1" w:styleId="CommentSubjectChar">
    <w:name w:val="Comment Subject Char"/>
    <w:basedOn w:val="CommentTextChar"/>
    <w:link w:val="CommentSubject"/>
    <w:uiPriority w:val="99"/>
    <w:semiHidden/>
    <w:rsid w:val="003371E9"/>
    <w:rPr>
      <w:b/>
      <w:bCs/>
      <w:sz w:val="20"/>
      <w:szCs w:val="20"/>
    </w:rPr>
  </w:style>
  <w:style w:type="character" w:styleId="UnresolvedMention">
    <w:name w:val="Unresolved Mention"/>
    <w:basedOn w:val="DefaultParagraphFont"/>
    <w:uiPriority w:val="99"/>
    <w:semiHidden/>
    <w:unhideWhenUsed/>
    <w:rsid w:val="00194C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60707">
      <w:bodyDiv w:val="1"/>
      <w:marLeft w:val="0"/>
      <w:marRight w:val="0"/>
      <w:marTop w:val="0"/>
      <w:marBottom w:val="0"/>
      <w:divBdr>
        <w:top w:val="none" w:sz="0" w:space="0" w:color="auto"/>
        <w:left w:val="none" w:sz="0" w:space="0" w:color="auto"/>
        <w:bottom w:val="none" w:sz="0" w:space="0" w:color="auto"/>
        <w:right w:val="none" w:sz="0" w:space="0" w:color="auto"/>
      </w:divBdr>
      <w:divsChild>
        <w:div w:id="676619922">
          <w:marLeft w:val="0"/>
          <w:marRight w:val="0"/>
          <w:marTop w:val="0"/>
          <w:marBottom w:val="0"/>
          <w:divBdr>
            <w:top w:val="none" w:sz="0" w:space="0" w:color="auto"/>
            <w:left w:val="none" w:sz="0" w:space="0" w:color="auto"/>
            <w:bottom w:val="none" w:sz="0" w:space="0" w:color="auto"/>
            <w:right w:val="none" w:sz="0" w:space="0" w:color="auto"/>
          </w:divBdr>
        </w:div>
      </w:divsChild>
    </w:div>
    <w:div w:id="107706534">
      <w:bodyDiv w:val="1"/>
      <w:marLeft w:val="0"/>
      <w:marRight w:val="0"/>
      <w:marTop w:val="0"/>
      <w:marBottom w:val="0"/>
      <w:divBdr>
        <w:top w:val="none" w:sz="0" w:space="0" w:color="auto"/>
        <w:left w:val="none" w:sz="0" w:space="0" w:color="auto"/>
        <w:bottom w:val="none" w:sz="0" w:space="0" w:color="auto"/>
        <w:right w:val="none" w:sz="0" w:space="0" w:color="auto"/>
      </w:divBdr>
      <w:divsChild>
        <w:div w:id="1018316802">
          <w:marLeft w:val="0"/>
          <w:marRight w:val="0"/>
          <w:marTop w:val="0"/>
          <w:marBottom w:val="0"/>
          <w:divBdr>
            <w:top w:val="none" w:sz="0" w:space="0" w:color="auto"/>
            <w:left w:val="none" w:sz="0" w:space="0" w:color="auto"/>
            <w:bottom w:val="none" w:sz="0" w:space="0" w:color="auto"/>
            <w:right w:val="none" w:sz="0" w:space="0" w:color="auto"/>
          </w:divBdr>
        </w:div>
      </w:divsChild>
    </w:div>
    <w:div w:id="114905904">
      <w:bodyDiv w:val="1"/>
      <w:marLeft w:val="0"/>
      <w:marRight w:val="0"/>
      <w:marTop w:val="0"/>
      <w:marBottom w:val="0"/>
      <w:divBdr>
        <w:top w:val="none" w:sz="0" w:space="0" w:color="auto"/>
        <w:left w:val="none" w:sz="0" w:space="0" w:color="auto"/>
        <w:bottom w:val="none" w:sz="0" w:space="0" w:color="auto"/>
        <w:right w:val="none" w:sz="0" w:space="0" w:color="auto"/>
      </w:divBdr>
      <w:divsChild>
        <w:div w:id="716900503">
          <w:marLeft w:val="0"/>
          <w:marRight w:val="0"/>
          <w:marTop w:val="0"/>
          <w:marBottom w:val="0"/>
          <w:divBdr>
            <w:top w:val="none" w:sz="0" w:space="0" w:color="auto"/>
            <w:left w:val="none" w:sz="0" w:space="0" w:color="auto"/>
            <w:bottom w:val="none" w:sz="0" w:space="0" w:color="auto"/>
            <w:right w:val="none" w:sz="0" w:space="0" w:color="auto"/>
          </w:divBdr>
        </w:div>
      </w:divsChild>
    </w:div>
    <w:div w:id="172038305">
      <w:bodyDiv w:val="1"/>
      <w:marLeft w:val="0"/>
      <w:marRight w:val="0"/>
      <w:marTop w:val="0"/>
      <w:marBottom w:val="0"/>
      <w:divBdr>
        <w:top w:val="none" w:sz="0" w:space="0" w:color="auto"/>
        <w:left w:val="none" w:sz="0" w:space="0" w:color="auto"/>
        <w:bottom w:val="none" w:sz="0" w:space="0" w:color="auto"/>
        <w:right w:val="none" w:sz="0" w:space="0" w:color="auto"/>
      </w:divBdr>
      <w:divsChild>
        <w:div w:id="171385051">
          <w:marLeft w:val="0"/>
          <w:marRight w:val="0"/>
          <w:marTop w:val="0"/>
          <w:marBottom w:val="0"/>
          <w:divBdr>
            <w:top w:val="none" w:sz="0" w:space="0" w:color="auto"/>
            <w:left w:val="none" w:sz="0" w:space="0" w:color="auto"/>
            <w:bottom w:val="none" w:sz="0" w:space="0" w:color="auto"/>
            <w:right w:val="none" w:sz="0" w:space="0" w:color="auto"/>
          </w:divBdr>
        </w:div>
      </w:divsChild>
    </w:div>
    <w:div w:id="207424860">
      <w:bodyDiv w:val="1"/>
      <w:marLeft w:val="0"/>
      <w:marRight w:val="0"/>
      <w:marTop w:val="0"/>
      <w:marBottom w:val="0"/>
      <w:divBdr>
        <w:top w:val="none" w:sz="0" w:space="0" w:color="auto"/>
        <w:left w:val="none" w:sz="0" w:space="0" w:color="auto"/>
        <w:bottom w:val="none" w:sz="0" w:space="0" w:color="auto"/>
        <w:right w:val="none" w:sz="0" w:space="0" w:color="auto"/>
      </w:divBdr>
      <w:divsChild>
        <w:div w:id="1986621124">
          <w:marLeft w:val="0"/>
          <w:marRight w:val="0"/>
          <w:marTop w:val="0"/>
          <w:marBottom w:val="0"/>
          <w:divBdr>
            <w:top w:val="none" w:sz="0" w:space="0" w:color="auto"/>
            <w:left w:val="none" w:sz="0" w:space="0" w:color="auto"/>
            <w:bottom w:val="none" w:sz="0" w:space="0" w:color="auto"/>
            <w:right w:val="none" w:sz="0" w:space="0" w:color="auto"/>
          </w:divBdr>
        </w:div>
      </w:divsChild>
    </w:div>
    <w:div w:id="1084912637">
      <w:bodyDiv w:val="1"/>
      <w:marLeft w:val="0"/>
      <w:marRight w:val="0"/>
      <w:marTop w:val="0"/>
      <w:marBottom w:val="0"/>
      <w:divBdr>
        <w:top w:val="none" w:sz="0" w:space="0" w:color="auto"/>
        <w:left w:val="none" w:sz="0" w:space="0" w:color="auto"/>
        <w:bottom w:val="none" w:sz="0" w:space="0" w:color="auto"/>
        <w:right w:val="none" w:sz="0" w:space="0" w:color="auto"/>
      </w:divBdr>
      <w:divsChild>
        <w:div w:id="1621574092">
          <w:marLeft w:val="0"/>
          <w:marRight w:val="0"/>
          <w:marTop w:val="0"/>
          <w:marBottom w:val="0"/>
          <w:divBdr>
            <w:top w:val="none" w:sz="0" w:space="0" w:color="auto"/>
            <w:left w:val="none" w:sz="0" w:space="0" w:color="auto"/>
            <w:bottom w:val="none" w:sz="0" w:space="0" w:color="auto"/>
            <w:right w:val="none" w:sz="0" w:space="0" w:color="auto"/>
          </w:divBdr>
        </w:div>
      </w:divsChild>
    </w:div>
    <w:div w:id="1519464902">
      <w:bodyDiv w:val="1"/>
      <w:marLeft w:val="0"/>
      <w:marRight w:val="0"/>
      <w:marTop w:val="0"/>
      <w:marBottom w:val="0"/>
      <w:divBdr>
        <w:top w:val="none" w:sz="0" w:space="0" w:color="auto"/>
        <w:left w:val="none" w:sz="0" w:space="0" w:color="auto"/>
        <w:bottom w:val="none" w:sz="0" w:space="0" w:color="auto"/>
        <w:right w:val="none" w:sz="0" w:space="0" w:color="auto"/>
      </w:divBdr>
      <w:divsChild>
        <w:div w:id="1379352172">
          <w:marLeft w:val="0"/>
          <w:marRight w:val="0"/>
          <w:marTop w:val="0"/>
          <w:marBottom w:val="0"/>
          <w:divBdr>
            <w:top w:val="none" w:sz="0" w:space="0" w:color="auto"/>
            <w:left w:val="none" w:sz="0" w:space="0" w:color="auto"/>
            <w:bottom w:val="none" w:sz="0" w:space="0" w:color="auto"/>
            <w:right w:val="none" w:sz="0" w:space="0" w:color="auto"/>
          </w:divBdr>
        </w:div>
      </w:divsChild>
    </w:div>
    <w:div w:id="2028097861">
      <w:bodyDiv w:val="1"/>
      <w:marLeft w:val="0"/>
      <w:marRight w:val="0"/>
      <w:marTop w:val="0"/>
      <w:marBottom w:val="0"/>
      <w:divBdr>
        <w:top w:val="none" w:sz="0" w:space="0" w:color="auto"/>
        <w:left w:val="none" w:sz="0" w:space="0" w:color="auto"/>
        <w:bottom w:val="none" w:sz="0" w:space="0" w:color="auto"/>
        <w:right w:val="none" w:sz="0" w:space="0" w:color="auto"/>
      </w:divBdr>
      <w:divsChild>
        <w:div w:id="1347363735">
          <w:marLeft w:val="0"/>
          <w:marRight w:val="0"/>
          <w:marTop w:val="0"/>
          <w:marBottom w:val="0"/>
          <w:divBdr>
            <w:top w:val="none" w:sz="0" w:space="0" w:color="auto"/>
            <w:left w:val="none" w:sz="0" w:space="0" w:color="auto"/>
            <w:bottom w:val="none" w:sz="0" w:space="0" w:color="auto"/>
            <w:right w:val="none" w:sz="0" w:space="0" w:color="auto"/>
          </w:divBdr>
        </w:div>
      </w:divsChild>
    </w:div>
    <w:div w:id="2068070157">
      <w:bodyDiv w:val="1"/>
      <w:marLeft w:val="0"/>
      <w:marRight w:val="0"/>
      <w:marTop w:val="0"/>
      <w:marBottom w:val="0"/>
      <w:divBdr>
        <w:top w:val="none" w:sz="0" w:space="0" w:color="auto"/>
        <w:left w:val="none" w:sz="0" w:space="0" w:color="auto"/>
        <w:bottom w:val="none" w:sz="0" w:space="0" w:color="auto"/>
        <w:right w:val="none" w:sz="0" w:space="0" w:color="auto"/>
      </w:divBdr>
      <w:divsChild>
        <w:div w:id="173144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proxy.uwtsd.ac.uk/login?url=https://www.jstor.org/stable/43246126" TargetMode="External"/><Relationship Id="rId3" Type="http://schemas.openxmlformats.org/officeDocument/2006/relationships/settings" Target="settings.xml"/><Relationship Id="rId7" Type="http://schemas.openxmlformats.org/officeDocument/2006/relationships/hyperlink" Target="https://www.jstor.org/stable/2859378?seq=1&amp;cid=pdf-referen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jstor.org/stable/2859378?seq=1&amp;cid=pdf-reference" TargetMode="External"/><Relationship Id="rId1" Type="http://schemas.openxmlformats.org/officeDocument/2006/relationships/hyperlink" Target="https://ezproxy.uwtsd.ac.uk/login?url=https://www.jstor.org/stable/43246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EED86-DD6A-4F1F-B68A-1349DF756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5</Pages>
  <Words>1816</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80</cp:revision>
  <dcterms:created xsi:type="dcterms:W3CDTF">2021-05-15T11:17:00Z</dcterms:created>
  <dcterms:modified xsi:type="dcterms:W3CDTF">2021-05-19T20:00:00Z</dcterms:modified>
</cp:coreProperties>
</file>