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973F0" w14:textId="5374FB0A" w:rsidR="0047214C" w:rsidRDefault="00D77D77">
      <w:r>
        <w:rPr>
          <w:noProof/>
        </w:rPr>
        <w:drawing>
          <wp:inline distT="0" distB="0" distL="0" distR="0" wp14:anchorId="1011B836" wp14:editId="12D4BA06">
            <wp:extent cx="2482850" cy="996950"/>
            <wp:effectExtent l="0" t="0" r="0" b="0"/>
            <wp:docPr id="1650352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352516" name="Picture 1"/>
                    <pic:cNvPicPr>
                      <a:picLocks noChangeAspect="1"/>
                    </pic:cNvPicPr>
                  </pic:nvPicPr>
                  <pic:blipFill>
                    <a:blip r:embed="rId6"/>
                    <a:stretch>
                      <a:fillRect/>
                    </a:stretch>
                  </pic:blipFill>
                  <pic:spPr>
                    <a:xfrm>
                      <a:off x="0" y="0"/>
                      <a:ext cx="2482850" cy="996950"/>
                    </a:xfrm>
                    <a:prstGeom prst="rect">
                      <a:avLst/>
                    </a:prstGeom>
                  </pic:spPr>
                </pic:pic>
              </a:graphicData>
            </a:graphic>
          </wp:inline>
        </w:drawing>
      </w:r>
    </w:p>
    <w:p w14:paraId="38C1E67E" w14:textId="77777777" w:rsidR="00D77D77" w:rsidRDefault="00D77D77"/>
    <w:p w14:paraId="7C8A1CED" w14:textId="77777777" w:rsidR="00D77D77" w:rsidRDefault="00D77D77"/>
    <w:p w14:paraId="54664BE3" w14:textId="77777777" w:rsidR="00D77D77" w:rsidRDefault="00D77D77"/>
    <w:p w14:paraId="2DDFF53A" w14:textId="0C7AE91B" w:rsidR="00D77D77" w:rsidRDefault="00D77D77">
      <w:pPr>
        <w:rPr>
          <w:b/>
          <w:bCs/>
          <w:sz w:val="32"/>
          <w:szCs w:val="32"/>
        </w:rPr>
      </w:pPr>
      <w:r>
        <w:rPr>
          <w:sz w:val="32"/>
          <w:szCs w:val="32"/>
        </w:rPr>
        <w:t xml:space="preserve">                                       </w:t>
      </w:r>
      <w:r>
        <w:rPr>
          <w:b/>
          <w:bCs/>
          <w:sz w:val="32"/>
          <w:szCs w:val="32"/>
        </w:rPr>
        <w:t xml:space="preserve">ASSIGNMENT </w:t>
      </w:r>
      <w:r w:rsidR="00B10843">
        <w:rPr>
          <w:b/>
          <w:bCs/>
          <w:sz w:val="32"/>
          <w:szCs w:val="32"/>
        </w:rPr>
        <w:t>2</w:t>
      </w:r>
    </w:p>
    <w:p w14:paraId="65E4F1A1" w14:textId="77777777" w:rsidR="00D77D77" w:rsidRDefault="00D77D77">
      <w:pPr>
        <w:rPr>
          <w:b/>
          <w:bCs/>
          <w:sz w:val="32"/>
          <w:szCs w:val="32"/>
        </w:rPr>
      </w:pPr>
    </w:p>
    <w:p w14:paraId="4D46712D" w14:textId="548225B5" w:rsidR="00D77D77" w:rsidRDefault="00020653">
      <w:pPr>
        <w:rPr>
          <w:rFonts w:ascii="Arial" w:eastAsiaTheme="majorEastAsia" w:hAnsi="Arial" w:cs="Arial"/>
          <w:color w:val="000000" w:themeColor="text1"/>
          <w:kern w:val="24"/>
          <w:sz w:val="24"/>
          <w:szCs w:val="24"/>
        </w:rPr>
      </w:pPr>
      <w:r>
        <w:rPr>
          <w:rFonts w:ascii="Arial" w:eastAsiaTheme="majorEastAsia" w:hAnsi="Arial" w:cs="Arial"/>
          <w:b/>
          <w:bCs/>
          <w:color w:val="1F4E79" w:themeColor="accent1" w:themeShade="80"/>
          <w:kern w:val="24"/>
          <w:sz w:val="24"/>
          <w:szCs w:val="24"/>
        </w:rPr>
        <w:t xml:space="preserve">       </w:t>
      </w:r>
      <w:r w:rsidR="00D77D77" w:rsidRPr="00020653">
        <w:rPr>
          <w:rFonts w:ascii="Arial" w:eastAsiaTheme="majorEastAsia" w:hAnsi="Arial" w:cs="Arial"/>
          <w:b/>
          <w:bCs/>
          <w:color w:val="000000" w:themeColor="text1"/>
          <w:kern w:val="24"/>
          <w:sz w:val="24"/>
          <w:szCs w:val="24"/>
        </w:rPr>
        <w:t>Student Information</w:t>
      </w:r>
      <w:r w:rsidRPr="00020653">
        <w:rPr>
          <w:rFonts w:ascii="Arial" w:eastAsiaTheme="majorEastAsia" w:hAnsi="Arial" w:cs="Arial"/>
          <w:b/>
          <w:bCs/>
          <w:color w:val="000000" w:themeColor="text1"/>
          <w:kern w:val="24"/>
          <w:sz w:val="24"/>
          <w:szCs w:val="24"/>
        </w:rPr>
        <w:t>:</w:t>
      </w:r>
      <w:r w:rsidR="00D77D77" w:rsidRPr="00020653">
        <w:rPr>
          <w:rFonts w:ascii="Arial" w:eastAsiaTheme="majorEastAsia" w:hAnsi="Arial" w:cs="Arial"/>
          <w:b/>
          <w:bCs/>
          <w:color w:val="000000" w:themeColor="text1"/>
          <w:kern w:val="24"/>
          <w:sz w:val="24"/>
          <w:szCs w:val="24"/>
        </w:rPr>
        <w:br/>
      </w:r>
      <w:r w:rsidRPr="00020653">
        <w:rPr>
          <w:rFonts w:ascii="Arial" w:eastAsiaTheme="majorEastAsia" w:hAnsi="Arial" w:cs="Arial"/>
          <w:color w:val="1F4E79" w:themeColor="accent1" w:themeShade="80"/>
          <w:kern w:val="24"/>
          <w:sz w:val="24"/>
          <w:szCs w:val="24"/>
        </w:rPr>
        <w:t xml:space="preserve">       </w:t>
      </w:r>
      <w:r w:rsidR="00D77D77" w:rsidRPr="00020653">
        <w:rPr>
          <w:rFonts w:ascii="Arial" w:eastAsiaTheme="majorEastAsia" w:hAnsi="Arial" w:cs="Arial"/>
          <w:color w:val="000000" w:themeColor="text1"/>
          <w:kern w:val="24"/>
          <w:sz w:val="24"/>
          <w:szCs w:val="24"/>
        </w:rPr>
        <w:t>Name: Galya Georgieva</w:t>
      </w:r>
      <w:r w:rsidR="00D77D77" w:rsidRPr="00020653">
        <w:rPr>
          <w:rFonts w:ascii="Arial" w:eastAsiaTheme="majorEastAsia" w:hAnsi="Arial" w:cs="Arial"/>
          <w:color w:val="1F4E79" w:themeColor="accent1" w:themeShade="80"/>
          <w:kern w:val="24"/>
          <w:sz w:val="24"/>
          <w:szCs w:val="24"/>
        </w:rPr>
        <w:br/>
      </w:r>
      <w:r w:rsidRPr="00020653">
        <w:rPr>
          <w:rFonts w:ascii="Arial" w:eastAsiaTheme="majorEastAsia" w:hAnsi="Arial" w:cs="Arial"/>
          <w:color w:val="1F4E79" w:themeColor="accent1" w:themeShade="80"/>
          <w:kern w:val="24"/>
          <w:sz w:val="24"/>
          <w:szCs w:val="24"/>
        </w:rPr>
        <w:t xml:space="preserve">       </w:t>
      </w:r>
      <w:r w:rsidR="00D77D77" w:rsidRPr="00020653">
        <w:rPr>
          <w:rFonts w:ascii="Arial" w:eastAsiaTheme="majorEastAsia" w:hAnsi="Arial" w:cs="Arial"/>
          <w:color w:val="000000" w:themeColor="text1"/>
          <w:kern w:val="24"/>
          <w:sz w:val="24"/>
          <w:szCs w:val="24"/>
        </w:rPr>
        <w:t>Student number:2428902</w:t>
      </w:r>
      <w:r w:rsidR="00D77D77" w:rsidRPr="00020653">
        <w:rPr>
          <w:rFonts w:ascii="Arial" w:eastAsiaTheme="majorEastAsia" w:hAnsi="Arial" w:cs="Arial"/>
          <w:color w:val="1F4E79" w:themeColor="accent1" w:themeShade="80"/>
          <w:kern w:val="24"/>
          <w:sz w:val="24"/>
          <w:szCs w:val="24"/>
        </w:rPr>
        <w:br/>
      </w:r>
      <w:r w:rsidRPr="00020653">
        <w:rPr>
          <w:rFonts w:ascii="Arial" w:eastAsiaTheme="majorEastAsia" w:hAnsi="Arial" w:cs="Arial"/>
          <w:color w:val="000000" w:themeColor="text1"/>
          <w:kern w:val="24"/>
          <w:sz w:val="24"/>
          <w:szCs w:val="24"/>
        </w:rPr>
        <w:t xml:space="preserve">       </w:t>
      </w:r>
      <w:r w:rsidR="00D77D77" w:rsidRPr="00020653">
        <w:rPr>
          <w:rFonts w:ascii="Arial" w:eastAsiaTheme="majorEastAsia" w:hAnsi="Arial" w:cs="Arial"/>
          <w:color w:val="000000" w:themeColor="text1"/>
          <w:kern w:val="24"/>
          <w:sz w:val="24"/>
          <w:szCs w:val="24"/>
        </w:rPr>
        <w:t>Module Code:LCLM5002</w:t>
      </w:r>
      <w:r w:rsidR="00D77D77" w:rsidRPr="00020653">
        <w:rPr>
          <w:rFonts w:ascii="Arial" w:eastAsiaTheme="majorEastAsia" w:hAnsi="Arial" w:cs="Arial"/>
          <w:color w:val="000000" w:themeColor="text1"/>
          <w:kern w:val="24"/>
          <w:sz w:val="24"/>
          <w:szCs w:val="24"/>
        </w:rPr>
        <w:br/>
      </w:r>
      <w:r w:rsidRPr="00020653">
        <w:rPr>
          <w:rFonts w:ascii="Arial" w:eastAsiaTheme="majorEastAsia" w:hAnsi="Arial" w:cs="Arial"/>
          <w:color w:val="1F4E79" w:themeColor="accent1" w:themeShade="80"/>
          <w:kern w:val="24"/>
          <w:sz w:val="24"/>
          <w:szCs w:val="24"/>
        </w:rPr>
        <w:t xml:space="preserve">       </w:t>
      </w:r>
      <w:r w:rsidR="00D77D77" w:rsidRPr="00020653">
        <w:rPr>
          <w:rFonts w:ascii="Arial" w:eastAsiaTheme="majorEastAsia" w:hAnsi="Arial" w:cs="Arial"/>
          <w:color w:val="000000" w:themeColor="text1"/>
          <w:kern w:val="24"/>
          <w:sz w:val="24"/>
          <w:szCs w:val="24"/>
        </w:rPr>
        <w:t>Module Title: Develop</w:t>
      </w:r>
      <w:r w:rsidR="00A51075">
        <w:rPr>
          <w:rFonts w:ascii="Arial" w:eastAsiaTheme="majorEastAsia" w:hAnsi="Arial" w:cs="Arial"/>
          <w:color w:val="000000" w:themeColor="text1"/>
          <w:kern w:val="24"/>
          <w:sz w:val="24"/>
          <w:szCs w:val="24"/>
        </w:rPr>
        <w:t>ing</w:t>
      </w:r>
      <w:r w:rsidR="00D77D77" w:rsidRPr="00020653">
        <w:rPr>
          <w:rFonts w:ascii="Arial" w:eastAsiaTheme="majorEastAsia" w:hAnsi="Arial" w:cs="Arial"/>
          <w:color w:val="000000" w:themeColor="text1"/>
          <w:kern w:val="24"/>
          <w:sz w:val="24"/>
          <w:szCs w:val="24"/>
        </w:rPr>
        <w:t xml:space="preserve"> and Managing and Individuals and Team</w:t>
      </w:r>
      <w:r w:rsidR="00D77D77" w:rsidRPr="00020653">
        <w:rPr>
          <w:rFonts w:ascii="Arial" w:eastAsiaTheme="majorEastAsia" w:hAnsi="Arial" w:cs="Arial"/>
          <w:color w:val="1F4E79" w:themeColor="accent1" w:themeShade="80"/>
          <w:kern w:val="24"/>
          <w:sz w:val="24"/>
          <w:szCs w:val="24"/>
        </w:rPr>
        <w:br/>
      </w:r>
      <w:r w:rsidRPr="00020653">
        <w:rPr>
          <w:rFonts w:ascii="Arial" w:eastAsiaTheme="majorEastAsia" w:hAnsi="Arial" w:cs="Arial"/>
          <w:color w:val="000000" w:themeColor="text1"/>
          <w:kern w:val="24"/>
          <w:sz w:val="24"/>
          <w:szCs w:val="24"/>
        </w:rPr>
        <w:t xml:space="preserve">       </w:t>
      </w:r>
      <w:r w:rsidR="00D77D77" w:rsidRPr="00020653">
        <w:rPr>
          <w:rFonts w:ascii="Arial" w:eastAsiaTheme="majorEastAsia" w:hAnsi="Arial" w:cs="Arial"/>
          <w:color w:val="000000" w:themeColor="text1"/>
          <w:kern w:val="24"/>
          <w:sz w:val="24"/>
          <w:szCs w:val="24"/>
        </w:rPr>
        <w:t xml:space="preserve">Lecture: Amer </w:t>
      </w:r>
      <w:proofErr w:type="spellStart"/>
      <w:r w:rsidR="001E6AE9">
        <w:rPr>
          <w:rFonts w:ascii="Arial" w:eastAsiaTheme="majorEastAsia" w:hAnsi="Arial" w:cs="Arial"/>
          <w:color w:val="000000" w:themeColor="text1"/>
          <w:kern w:val="24"/>
          <w:sz w:val="24"/>
          <w:szCs w:val="24"/>
        </w:rPr>
        <w:t>Homayounfard</w:t>
      </w:r>
      <w:proofErr w:type="spellEnd"/>
      <w:r w:rsidR="00D77D77" w:rsidRPr="00020653">
        <w:rPr>
          <w:rFonts w:ascii="Arial" w:eastAsiaTheme="majorEastAsia" w:hAnsi="Arial" w:cs="Arial"/>
          <w:color w:val="1F4E79" w:themeColor="accent1" w:themeShade="80"/>
          <w:kern w:val="24"/>
          <w:sz w:val="24"/>
          <w:szCs w:val="24"/>
        </w:rPr>
        <w:br/>
      </w:r>
      <w:r w:rsidRPr="00020653">
        <w:rPr>
          <w:rFonts w:ascii="Arial" w:eastAsiaTheme="majorEastAsia" w:hAnsi="Arial" w:cs="Arial"/>
          <w:color w:val="1F4E79" w:themeColor="accent1" w:themeShade="80"/>
          <w:kern w:val="24"/>
          <w:sz w:val="24"/>
          <w:szCs w:val="24"/>
        </w:rPr>
        <w:t xml:space="preserve">       </w:t>
      </w:r>
      <w:r w:rsidR="00D77D77" w:rsidRPr="00020653">
        <w:rPr>
          <w:rFonts w:ascii="Arial" w:eastAsiaTheme="majorEastAsia" w:hAnsi="Arial" w:cs="Arial"/>
          <w:color w:val="000000" w:themeColor="text1"/>
          <w:kern w:val="24"/>
          <w:sz w:val="24"/>
          <w:szCs w:val="24"/>
        </w:rPr>
        <w:t xml:space="preserve">Submission Date: </w:t>
      </w:r>
      <w:r w:rsidR="00B5120B">
        <w:rPr>
          <w:rFonts w:ascii="Arial" w:eastAsiaTheme="majorEastAsia" w:hAnsi="Arial" w:cs="Arial"/>
          <w:color w:val="000000" w:themeColor="text1"/>
          <w:kern w:val="24"/>
          <w:sz w:val="24"/>
          <w:szCs w:val="24"/>
        </w:rPr>
        <w:t>30.04.2026</w:t>
      </w:r>
    </w:p>
    <w:p w14:paraId="5F801E70" w14:textId="77777777" w:rsidR="00777582" w:rsidRDefault="00777582">
      <w:pPr>
        <w:rPr>
          <w:rFonts w:ascii="Arial" w:eastAsiaTheme="majorEastAsia" w:hAnsi="Arial" w:cs="Arial"/>
          <w:color w:val="000000" w:themeColor="text1"/>
          <w:kern w:val="24"/>
          <w:sz w:val="24"/>
          <w:szCs w:val="24"/>
        </w:rPr>
      </w:pPr>
    </w:p>
    <w:p w14:paraId="5DC51764" w14:textId="7B8758C8" w:rsidR="00E47DA1" w:rsidRDefault="00E47DA1">
      <w:pPr>
        <w:rPr>
          <w:rFonts w:ascii="Arial" w:eastAsiaTheme="majorEastAsia" w:hAnsi="Arial" w:cs="Arial"/>
          <w:b/>
          <w:bCs/>
          <w:color w:val="000000" w:themeColor="text1"/>
          <w:kern w:val="24"/>
          <w:sz w:val="32"/>
          <w:szCs w:val="32"/>
        </w:rPr>
      </w:pPr>
      <w:r w:rsidRPr="00E47DA1">
        <w:rPr>
          <w:rFonts w:ascii="Arial" w:eastAsiaTheme="majorEastAsia" w:hAnsi="Arial" w:cs="Arial"/>
          <w:b/>
          <w:bCs/>
          <w:color w:val="000000" w:themeColor="text1"/>
          <w:kern w:val="24"/>
          <w:sz w:val="24"/>
          <w:szCs w:val="24"/>
        </w:rPr>
        <w:t xml:space="preserve">                                    </w:t>
      </w:r>
      <w:r w:rsidRPr="00E47DA1">
        <w:rPr>
          <w:rFonts w:ascii="Arial" w:eastAsiaTheme="majorEastAsia" w:hAnsi="Arial" w:cs="Arial"/>
          <w:b/>
          <w:bCs/>
          <w:color w:val="000000" w:themeColor="text1"/>
          <w:kern w:val="24"/>
          <w:sz w:val="32"/>
          <w:szCs w:val="32"/>
        </w:rPr>
        <w:t>Table of Contents</w:t>
      </w:r>
    </w:p>
    <w:sdt>
      <w:sdtPr>
        <w:rPr>
          <w:rFonts w:asciiTheme="minorHAnsi" w:eastAsiaTheme="minorHAnsi" w:hAnsiTheme="minorHAnsi" w:cstheme="minorBidi"/>
          <w:color w:val="auto"/>
          <w:kern w:val="2"/>
          <w:sz w:val="22"/>
          <w:szCs w:val="22"/>
          <w:lang w:val="en-GB"/>
          <w14:ligatures w14:val="standardContextual"/>
        </w:rPr>
        <w:id w:val="-47998980"/>
        <w:docPartObj>
          <w:docPartGallery w:val="Table of Contents"/>
          <w:docPartUnique/>
        </w:docPartObj>
      </w:sdtPr>
      <w:sdtEndPr>
        <w:rPr>
          <w:b/>
          <w:bCs/>
          <w:noProof/>
        </w:rPr>
      </w:sdtEndPr>
      <w:sdtContent>
        <w:p w14:paraId="371FC21C" w14:textId="5924F531" w:rsidR="00D31D36" w:rsidRDefault="00D31D36">
          <w:pPr>
            <w:pStyle w:val="TOCHeading"/>
          </w:pPr>
          <w:r>
            <w:t>Contents</w:t>
          </w:r>
        </w:p>
        <w:p w14:paraId="73BCCAD7" w14:textId="0370CE9D" w:rsidR="00D31D36" w:rsidRDefault="00D31D36">
          <w:pPr>
            <w:pStyle w:val="TOC1"/>
            <w:tabs>
              <w:tab w:val="right" w:leader="dot" w:pos="9062"/>
            </w:tabs>
            <w:rPr>
              <w:rFonts w:eastAsiaTheme="minorEastAsia"/>
              <w:noProof/>
              <w:sz w:val="24"/>
              <w:szCs w:val="24"/>
              <w:lang w:eastAsia="en-GB"/>
            </w:rPr>
          </w:pPr>
          <w:r>
            <w:fldChar w:fldCharType="begin"/>
          </w:r>
          <w:r>
            <w:instrText xml:space="preserve"> TOC \o "1-3" \h \z \u </w:instrText>
          </w:r>
          <w:r>
            <w:fldChar w:fldCharType="separate"/>
          </w:r>
          <w:hyperlink w:anchor="_Toc228395445" w:history="1">
            <w:r w:rsidRPr="0019435C">
              <w:rPr>
                <w:rStyle w:val="Hyperlink"/>
                <w:noProof/>
              </w:rPr>
              <w:t>1.Introduction</w:t>
            </w:r>
            <w:r>
              <w:rPr>
                <w:noProof/>
                <w:webHidden/>
              </w:rPr>
              <w:tab/>
            </w:r>
            <w:r>
              <w:rPr>
                <w:noProof/>
                <w:webHidden/>
              </w:rPr>
              <w:fldChar w:fldCharType="begin"/>
            </w:r>
            <w:r>
              <w:rPr>
                <w:noProof/>
                <w:webHidden/>
              </w:rPr>
              <w:instrText xml:space="preserve"> PAGEREF _Toc228395445 \h </w:instrText>
            </w:r>
            <w:r>
              <w:rPr>
                <w:noProof/>
                <w:webHidden/>
              </w:rPr>
            </w:r>
            <w:r>
              <w:rPr>
                <w:noProof/>
                <w:webHidden/>
              </w:rPr>
              <w:fldChar w:fldCharType="separate"/>
            </w:r>
            <w:r>
              <w:rPr>
                <w:noProof/>
                <w:webHidden/>
              </w:rPr>
              <w:t>1</w:t>
            </w:r>
            <w:r>
              <w:rPr>
                <w:noProof/>
                <w:webHidden/>
              </w:rPr>
              <w:fldChar w:fldCharType="end"/>
            </w:r>
          </w:hyperlink>
        </w:p>
        <w:p w14:paraId="2CBE9BE2" w14:textId="05F4BE9C" w:rsidR="00D31D36" w:rsidRDefault="00D31D36">
          <w:pPr>
            <w:pStyle w:val="TOC1"/>
            <w:tabs>
              <w:tab w:val="right" w:leader="dot" w:pos="9062"/>
            </w:tabs>
            <w:rPr>
              <w:rFonts w:eastAsiaTheme="minorEastAsia"/>
              <w:noProof/>
              <w:sz w:val="24"/>
              <w:szCs w:val="24"/>
              <w:lang w:eastAsia="en-GB"/>
            </w:rPr>
          </w:pPr>
          <w:hyperlink w:anchor="_Toc228395446" w:history="1">
            <w:r w:rsidRPr="0019435C">
              <w:rPr>
                <w:rStyle w:val="Hyperlink"/>
                <w:noProof/>
              </w:rPr>
              <w:t>2. Company Overview</w:t>
            </w:r>
            <w:r>
              <w:rPr>
                <w:noProof/>
                <w:webHidden/>
              </w:rPr>
              <w:tab/>
            </w:r>
            <w:r>
              <w:rPr>
                <w:noProof/>
                <w:webHidden/>
              </w:rPr>
              <w:fldChar w:fldCharType="begin"/>
            </w:r>
            <w:r>
              <w:rPr>
                <w:noProof/>
                <w:webHidden/>
              </w:rPr>
              <w:instrText xml:space="preserve"> PAGEREF _Toc228395446 \h </w:instrText>
            </w:r>
            <w:r>
              <w:rPr>
                <w:noProof/>
                <w:webHidden/>
              </w:rPr>
            </w:r>
            <w:r>
              <w:rPr>
                <w:noProof/>
                <w:webHidden/>
              </w:rPr>
              <w:fldChar w:fldCharType="separate"/>
            </w:r>
            <w:r>
              <w:rPr>
                <w:noProof/>
                <w:webHidden/>
              </w:rPr>
              <w:t>2</w:t>
            </w:r>
            <w:r>
              <w:rPr>
                <w:noProof/>
                <w:webHidden/>
              </w:rPr>
              <w:fldChar w:fldCharType="end"/>
            </w:r>
          </w:hyperlink>
        </w:p>
        <w:p w14:paraId="276EF7A8" w14:textId="72472D75" w:rsidR="00D31D36" w:rsidRDefault="00D31D36">
          <w:pPr>
            <w:pStyle w:val="TOC1"/>
            <w:tabs>
              <w:tab w:val="right" w:leader="dot" w:pos="9062"/>
            </w:tabs>
            <w:rPr>
              <w:rFonts w:eastAsiaTheme="minorEastAsia"/>
              <w:noProof/>
              <w:sz w:val="24"/>
              <w:szCs w:val="24"/>
              <w:lang w:eastAsia="en-GB"/>
            </w:rPr>
          </w:pPr>
          <w:hyperlink w:anchor="_Toc228395447" w:history="1">
            <w:r w:rsidRPr="0019435C">
              <w:rPr>
                <w:rStyle w:val="Hyperlink"/>
                <w:noProof/>
              </w:rPr>
              <w:t>3. Factors Affecting Human Resource Management in Unilever</w:t>
            </w:r>
            <w:r>
              <w:rPr>
                <w:noProof/>
                <w:webHidden/>
              </w:rPr>
              <w:tab/>
            </w:r>
            <w:r>
              <w:rPr>
                <w:noProof/>
                <w:webHidden/>
              </w:rPr>
              <w:fldChar w:fldCharType="begin"/>
            </w:r>
            <w:r>
              <w:rPr>
                <w:noProof/>
                <w:webHidden/>
              </w:rPr>
              <w:instrText xml:space="preserve"> PAGEREF _Toc228395447 \h </w:instrText>
            </w:r>
            <w:r>
              <w:rPr>
                <w:noProof/>
                <w:webHidden/>
              </w:rPr>
            </w:r>
            <w:r>
              <w:rPr>
                <w:noProof/>
                <w:webHidden/>
              </w:rPr>
              <w:fldChar w:fldCharType="separate"/>
            </w:r>
            <w:r>
              <w:rPr>
                <w:noProof/>
                <w:webHidden/>
              </w:rPr>
              <w:t>3</w:t>
            </w:r>
            <w:r>
              <w:rPr>
                <w:noProof/>
                <w:webHidden/>
              </w:rPr>
              <w:fldChar w:fldCharType="end"/>
            </w:r>
          </w:hyperlink>
        </w:p>
        <w:p w14:paraId="671FB79A" w14:textId="52ADDAFD" w:rsidR="00D31D36" w:rsidRDefault="00D31D36">
          <w:pPr>
            <w:pStyle w:val="TOC1"/>
            <w:tabs>
              <w:tab w:val="right" w:leader="dot" w:pos="9062"/>
            </w:tabs>
            <w:rPr>
              <w:rFonts w:eastAsiaTheme="minorEastAsia"/>
              <w:noProof/>
              <w:sz w:val="24"/>
              <w:szCs w:val="24"/>
              <w:lang w:eastAsia="en-GB"/>
            </w:rPr>
          </w:pPr>
          <w:hyperlink w:anchor="_Toc228395448" w:history="1">
            <w:r w:rsidRPr="0019435C">
              <w:rPr>
                <w:rStyle w:val="Hyperlink"/>
                <w:noProof/>
              </w:rPr>
              <w:t>3.1 Technological Advancement</w:t>
            </w:r>
            <w:r>
              <w:rPr>
                <w:noProof/>
                <w:webHidden/>
              </w:rPr>
              <w:tab/>
            </w:r>
            <w:r>
              <w:rPr>
                <w:noProof/>
                <w:webHidden/>
              </w:rPr>
              <w:fldChar w:fldCharType="begin"/>
            </w:r>
            <w:r>
              <w:rPr>
                <w:noProof/>
                <w:webHidden/>
              </w:rPr>
              <w:instrText xml:space="preserve"> PAGEREF _Toc228395448 \h </w:instrText>
            </w:r>
            <w:r>
              <w:rPr>
                <w:noProof/>
                <w:webHidden/>
              </w:rPr>
            </w:r>
            <w:r>
              <w:rPr>
                <w:noProof/>
                <w:webHidden/>
              </w:rPr>
              <w:fldChar w:fldCharType="separate"/>
            </w:r>
            <w:r>
              <w:rPr>
                <w:noProof/>
                <w:webHidden/>
              </w:rPr>
              <w:t>3</w:t>
            </w:r>
            <w:r>
              <w:rPr>
                <w:noProof/>
                <w:webHidden/>
              </w:rPr>
              <w:fldChar w:fldCharType="end"/>
            </w:r>
          </w:hyperlink>
        </w:p>
        <w:p w14:paraId="46D38B67" w14:textId="70B3B046" w:rsidR="00D31D36" w:rsidRDefault="00D31D36">
          <w:pPr>
            <w:pStyle w:val="TOC1"/>
            <w:tabs>
              <w:tab w:val="right" w:leader="dot" w:pos="9062"/>
            </w:tabs>
            <w:rPr>
              <w:rFonts w:eastAsiaTheme="minorEastAsia"/>
              <w:noProof/>
              <w:sz w:val="24"/>
              <w:szCs w:val="24"/>
              <w:lang w:eastAsia="en-GB"/>
            </w:rPr>
          </w:pPr>
          <w:hyperlink w:anchor="_Toc228395449" w:history="1">
            <w:r w:rsidRPr="0019435C">
              <w:rPr>
                <w:rStyle w:val="Hyperlink"/>
                <w:noProof/>
              </w:rPr>
              <w:t>3.2 Talent Acquisition and Retention</w:t>
            </w:r>
            <w:r>
              <w:rPr>
                <w:noProof/>
                <w:webHidden/>
              </w:rPr>
              <w:tab/>
            </w:r>
            <w:r>
              <w:rPr>
                <w:noProof/>
                <w:webHidden/>
              </w:rPr>
              <w:fldChar w:fldCharType="begin"/>
            </w:r>
            <w:r>
              <w:rPr>
                <w:noProof/>
                <w:webHidden/>
              </w:rPr>
              <w:instrText xml:space="preserve"> PAGEREF _Toc228395449 \h </w:instrText>
            </w:r>
            <w:r>
              <w:rPr>
                <w:noProof/>
                <w:webHidden/>
              </w:rPr>
            </w:r>
            <w:r>
              <w:rPr>
                <w:noProof/>
                <w:webHidden/>
              </w:rPr>
              <w:fldChar w:fldCharType="separate"/>
            </w:r>
            <w:r>
              <w:rPr>
                <w:noProof/>
                <w:webHidden/>
              </w:rPr>
              <w:t>3</w:t>
            </w:r>
            <w:r>
              <w:rPr>
                <w:noProof/>
                <w:webHidden/>
              </w:rPr>
              <w:fldChar w:fldCharType="end"/>
            </w:r>
          </w:hyperlink>
        </w:p>
        <w:p w14:paraId="3C97BCF1" w14:textId="60C8A511" w:rsidR="00D31D36" w:rsidRDefault="00D31D36">
          <w:pPr>
            <w:pStyle w:val="TOC1"/>
            <w:tabs>
              <w:tab w:val="right" w:leader="dot" w:pos="9062"/>
            </w:tabs>
            <w:rPr>
              <w:rFonts w:eastAsiaTheme="minorEastAsia"/>
              <w:noProof/>
              <w:sz w:val="24"/>
              <w:szCs w:val="24"/>
              <w:lang w:eastAsia="en-GB"/>
            </w:rPr>
          </w:pPr>
          <w:hyperlink w:anchor="_Toc228395450" w:history="1">
            <w:r w:rsidRPr="0019435C">
              <w:rPr>
                <w:rStyle w:val="Hyperlink"/>
                <w:noProof/>
              </w:rPr>
              <w:t>3.3 Diversity, Equity and Inclusion (DEI)</w:t>
            </w:r>
            <w:r>
              <w:rPr>
                <w:noProof/>
                <w:webHidden/>
              </w:rPr>
              <w:tab/>
            </w:r>
            <w:r>
              <w:rPr>
                <w:noProof/>
                <w:webHidden/>
              </w:rPr>
              <w:fldChar w:fldCharType="begin"/>
            </w:r>
            <w:r>
              <w:rPr>
                <w:noProof/>
                <w:webHidden/>
              </w:rPr>
              <w:instrText xml:space="preserve"> PAGEREF _Toc228395450 \h </w:instrText>
            </w:r>
            <w:r>
              <w:rPr>
                <w:noProof/>
                <w:webHidden/>
              </w:rPr>
            </w:r>
            <w:r>
              <w:rPr>
                <w:noProof/>
                <w:webHidden/>
              </w:rPr>
              <w:fldChar w:fldCharType="separate"/>
            </w:r>
            <w:r>
              <w:rPr>
                <w:noProof/>
                <w:webHidden/>
              </w:rPr>
              <w:t>4</w:t>
            </w:r>
            <w:r>
              <w:rPr>
                <w:noProof/>
                <w:webHidden/>
              </w:rPr>
              <w:fldChar w:fldCharType="end"/>
            </w:r>
          </w:hyperlink>
        </w:p>
        <w:p w14:paraId="2438512E" w14:textId="7873A8F3" w:rsidR="00D31D36" w:rsidRDefault="00D31D36">
          <w:pPr>
            <w:pStyle w:val="TOC1"/>
            <w:tabs>
              <w:tab w:val="right" w:leader="dot" w:pos="9062"/>
            </w:tabs>
            <w:rPr>
              <w:rFonts w:eastAsiaTheme="minorEastAsia"/>
              <w:noProof/>
              <w:sz w:val="24"/>
              <w:szCs w:val="24"/>
              <w:lang w:eastAsia="en-GB"/>
            </w:rPr>
          </w:pPr>
          <w:hyperlink w:anchor="_Toc228395451" w:history="1">
            <w:r w:rsidRPr="0019435C">
              <w:rPr>
                <w:rStyle w:val="Hyperlink"/>
                <w:noProof/>
              </w:rPr>
              <w:t>4.Evaluation of Contemporary HR Practices in Unilever</w:t>
            </w:r>
            <w:r>
              <w:rPr>
                <w:noProof/>
                <w:webHidden/>
              </w:rPr>
              <w:tab/>
            </w:r>
            <w:r>
              <w:rPr>
                <w:noProof/>
                <w:webHidden/>
              </w:rPr>
              <w:fldChar w:fldCharType="begin"/>
            </w:r>
            <w:r>
              <w:rPr>
                <w:noProof/>
                <w:webHidden/>
              </w:rPr>
              <w:instrText xml:space="preserve"> PAGEREF _Toc228395451 \h </w:instrText>
            </w:r>
            <w:r>
              <w:rPr>
                <w:noProof/>
                <w:webHidden/>
              </w:rPr>
            </w:r>
            <w:r>
              <w:rPr>
                <w:noProof/>
                <w:webHidden/>
              </w:rPr>
              <w:fldChar w:fldCharType="separate"/>
            </w:r>
            <w:r>
              <w:rPr>
                <w:noProof/>
                <w:webHidden/>
              </w:rPr>
              <w:t>4</w:t>
            </w:r>
            <w:r>
              <w:rPr>
                <w:noProof/>
                <w:webHidden/>
              </w:rPr>
              <w:fldChar w:fldCharType="end"/>
            </w:r>
          </w:hyperlink>
        </w:p>
        <w:p w14:paraId="1F8F0D35" w14:textId="20AB3EBD" w:rsidR="00D31D36" w:rsidRDefault="00D31D36">
          <w:pPr>
            <w:pStyle w:val="TOC1"/>
            <w:tabs>
              <w:tab w:val="right" w:leader="dot" w:pos="9062"/>
            </w:tabs>
            <w:rPr>
              <w:rFonts w:eastAsiaTheme="minorEastAsia"/>
              <w:noProof/>
              <w:sz w:val="24"/>
              <w:szCs w:val="24"/>
              <w:lang w:eastAsia="en-GB"/>
            </w:rPr>
          </w:pPr>
          <w:hyperlink w:anchor="_Toc228395452" w:history="1">
            <w:r w:rsidRPr="0019435C">
              <w:rPr>
                <w:rStyle w:val="Hyperlink"/>
                <w:noProof/>
              </w:rPr>
              <w:t>4.1 HR Practices for Technological Advancement</w:t>
            </w:r>
            <w:r>
              <w:rPr>
                <w:noProof/>
                <w:webHidden/>
              </w:rPr>
              <w:tab/>
            </w:r>
            <w:r>
              <w:rPr>
                <w:noProof/>
                <w:webHidden/>
              </w:rPr>
              <w:fldChar w:fldCharType="begin"/>
            </w:r>
            <w:r>
              <w:rPr>
                <w:noProof/>
                <w:webHidden/>
              </w:rPr>
              <w:instrText xml:space="preserve"> PAGEREF _Toc228395452 \h </w:instrText>
            </w:r>
            <w:r>
              <w:rPr>
                <w:noProof/>
                <w:webHidden/>
              </w:rPr>
            </w:r>
            <w:r>
              <w:rPr>
                <w:noProof/>
                <w:webHidden/>
              </w:rPr>
              <w:fldChar w:fldCharType="separate"/>
            </w:r>
            <w:r>
              <w:rPr>
                <w:noProof/>
                <w:webHidden/>
              </w:rPr>
              <w:t>4</w:t>
            </w:r>
            <w:r>
              <w:rPr>
                <w:noProof/>
                <w:webHidden/>
              </w:rPr>
              <w:fldChar w:fldCharType="end"/>
            </w:r>
          </w:hyperlink>
        </w:p>
        <w:p w14:paraId="4DFA6645" w14:textId="6866E63C" w:rsidR="00D31D36" w:rsidRDefault="00D31D36">
          <w:pPr>
            <w:pStyle w:val="TOC1"/>
            <w:tabs>
              <w:tab w:val="right" w:leader="dot" w:pos="9062"/>
            </w:tabs>
            <w:rPr>
              <w:rFonts w:eastAsiaTheme="minorEastAsia"/>
              <w:noProof/>
              <w:sz w:val="24"/>
              <w:szCs w:val="24"/>
              <w:lang w:eastAsia="en-GB"/>
            </w:rPr>
          </w:pPr>
          <w:hyperlink w:anchor="_Toc228395453" w:history="1">
            <w:r w:rsidRPr="0019435C">
              <w:rPr>
                <w:rStyle w:val="Hyperlink"/>
                <w:noProof/>
              </w:rPr>
              <w:t>4.2 HR Practices for Talent Acquisition and Retention</w:t>
            </w:r>
            <w:r>
              <w:rPr>
                <w:noProof/>
                <w:webHidden/>
              </w:rPr>
              <w:tab/>
            </w:r>
            <w:r>
              <w:rPr>
                <w:noProof/>
                <w:webHidden/>
              </w:rPr>
              <w:fldChar w:fldCharType="begin"/>
            </w:r>
            <w:r>
              <w:rPr>
                <w:noProof/>
                <w:webHidden/>
              </w:rPr>
              <w:instrText xml:space="preserve"> PAGEREF _Toc228395453 \h </w:instrText>
            </w:r>
            <w:r>
              <w:rPr>
                <w:noProof/>
                <w:webHidden/>
              </w:rPr>
            </w:r>
            <w:r>
              <w:rPr>
                <w:noProof/>
                <w:webHidden/>
              </w:rPr>
              <w:fldChar w:fldCharType="separate"/>
            </w:r>
            <w:r>
              <w:rPr>
                <w:noProof/>
                <w:webHidden/>
              </w:rPr>
              <w:t>5</w:t>
            </w:r>
            <w:r>
              <w:rPr>
                <w:noProof/>
                <w:webHidden/>
              </w:rPr>
              <w:fldChar w:fldCharType="end"/>
            </w:r>
          </w:hyperlink>
        </w:p>
        <w:p w14:paraId="1A3251DD" w14:textId="3C4EBC1A" w:rsidR="00D31D36" w:rsidRDefault="00D31D36">
          <w:pPr>
            <w:pStyle w:val="TOC1"/>
            <w:tabs>
              <w:tab w:val="right" w:leader="dot" w:pos="9062"/>
            </w:tabs>
            <w:rPr>
              <w:rFonts w:eastAsiaTheme="minorEastAsia"/>
              <w:noProof/>
              <w:sz w:val="24"/>
              <w:szCs w:val="24"/>
              <w:lang w:eastAsia="en-GB"/>
            </w:rPr>
          </w:pPr>
          <w:hyperlink w:anchor="_Toc228395454" w:history="1">
            <w:r w:rsidRPr="0019435C">
              <w:rPr>
                <w:rStyle w:val="Hyperlink"/>
                <w:noProof/>
              </w:rPr>
              <w:t>5. Critical Evaluation o Managerial Implementation</w:t>
            </w:r>
            <w:r>
              <w:rPr>
                <w:noProof/>
                <w:webHidden/>
              </w:rPr>
              <w:tab/>
            </w:r>
            <w:r>
              <w:rPr>
                <w:noProof/>
                <w:webHidden/>
              </w:rPr>
              <w:fldChar w:fldCharType="begin"/>
            </w:r>
            <w:r>
              <w:rPr>
                <w:noProof/>
                <w:webHidden/>
              </w:rPr>
              <w:instrText xml:space="preserve"> PAGEREF _Toc228395454 \h </w:instrText>
            </w:r>
            <w:r>
              <w:rPr>
                <w:noProof/>
                <w:webHidden/>
              </w:rPr>
            </w:r>
            <w:r>
              <w:rPr>
                <w:noProof/>
                <w:webHidden/>
              </w:rPr>
              <w:fldChar w:fldCharType="separate"/>
            </w:r>
            <w:r>
              <w:rPr>
                <w:noProof/>
                <w:webHidden/>
              </w:rPr>
              <w:t>5</w:t>
            </w:r>
            <w:r>
              <w:rPr>
                <w:noProof/>
                <w:webHidden/>
              </w:rPr>
              <w:fldChar w:fldCharType="end"/>
            </w:r>
          </w:hyperlink>
        </w:p>
        <w:p w14:paraId="177B5B3D" w14:textId="28927ECF" w:rsidR="00D31D36" w:rsidRDefault="00D31D36">
          <w:pPr>
            <w:pStyle w:val="TOC1"/>
            <w:tabs>
              <w:tab w:val="right" w:leader="dot" w:pos="9062"/>
            </w:tabs>
            <w:rPr>
              <w:rFonts w:eastAsiaTheme="minorEastAsia"/>
              <w:noProof/>
              <w:sz w:val="24"/>
              <w:szCs w:val="24"/>
              <w:lang w:eastAsia="en-GB"/>
            </w:rPr>
          </w:pPr>
          <w:hyperlink w:anchor="_Toc228395455" w:history="1">
            <w:r w:rsidRPr="0019435C">
              <w:rPr>
                <w:rStyle w:val="Hyperlink"/>
                <w:noProof/>
              </w:rPr>
              <w:t>6. Conclusion and Recommendations</w:t>
            </w:r>
            <w:r>
              <w:rPr>
                <w:noProof/>
                <w:webHidden/>
              </w:rPr>
              <w:tab/>
            </w:r>
            <w:r>
              <w:rPr>
                <w:noProof/>
                <w:webHidden/>
              </w:rPr>
              <w:fldChar w:fldCharType="begin"/>
            </w:r>
            <w:r>
              <w:rPr>
                <w:noProof/>
                <w:webHidden/>
              </w:rPr>
              <w:instrText xml:space="preserve"> PAGEREF _Toc228395455 \h </w:instrText>
            </w:r>
            <w:r>
              <w:rPr>
                <w:noProof/>
                <w:webHidden/>
              </w:rPr>
            </w:r>
            <w:r>
              <w:rPr>
                <w:noProof/>
                <w:webHidden/>
              </w:rPr>
              <w:fldChar w:fldCharType="separate"/>
            </w:r>
            <w:r>
              <w:rPr>
                <w:noProof/>
                <w:webHidden/>
              </w:rPr>
              <w:t>6</w:t>
            </w:r>
            <w:r>
              <w:rPr>
                <w:noProof/>
                <w:webHidden/>
              </w:rPr>
              <w:fldChar w:fldCharType="end"/>
            </w:r>
          </w:hyperlink>
        </w:p>
        <w:p w14:paraId="7267DF5D" w14:textId="7EC4BD97" w:rsidR="00D31D36" w:rsidRDefault="00D31D36">
          <w:pPr>
            <w:pStyle w:val="TOC2"/>
            <w:tabs>
              <w:tab w:val="right" w:leader="dot" w:pos="9062"/>
            </w:tabs>
            <w:rPr>
              <w:noProof/>
            </w:rPr>
          </w:pPr>
          <w:hyperlink w:anchor="_Toc228395456" w:history="1">
            <w:r w:rsidRPr="0019435C">
              <w:rPr>
                <w:rStyle w:val="Hyperlink"/>
                <w:noProof/>
              </w:rPr>
              <w:t>Conclusion</w:t>
            </w:r>
            <w:r>
              <w:rPr>
                <w:noProof/>
                <w:webHidden/>
              </w:rPr>
              <w:tab/>
            </w:r>
            <w:r>
              <w:rPr>
                <w:noProof/>
                <w:webHidden/>
              </w:rPr>
              <w:fldChar w:fldCharType="begin"/>
            </w:r>
            <w:r>
              <w:rPr>
                <w:noProof/>
                <w:webHidden/>
              </w:rPr>
              <w:instrText xml:space="preserve"> PAGEREF _Toc228395456 \h </w:instrText>
            </w:r>
            <w:r>
              <w:rPr>
                <w:noProof/>
                <w:webHidden/>
              </w:rPr>
            </w:r>
            <w:r>
              <w:rPr>
                <w:noProof/>
                <w:webHidden/>
              </w:rPr>
              <w:fldChar w:fldCharType="separate"/>
            </w:r>
            <w:r>
              <w:rPr>
                <w:noProof/>
                <w:webHidden/>
              </w:rPr>
              <w:t>6</w:t>
            </w:r>
            <w:r>
              <w:rPr>
                <w:noProof/>
                <w:webHidden/>
              </w:rPr>
              <w:fldChar w:fldCharType="end"/>
            </w:r>
          </w:hyperlink>
        </w:p>
        <w:p w14:paraId="15F0F96F" w14:textId="09EB2A2A" w:rsidR="00D31D36" w:rsidRDefault="00D31D36">
          <w:pPr>
            <w:pStyle w:val="TOC2"/>
            <w:tabs>
              <w:tab w:val="right" w:leader="dot" w:pos="9062"/>
            </w:tabs>
            <w:rPr>
              <w:noProof/>
            </w:rPr>
          </w:pPr>
          <w:hyperlink w:anchor="_Toc228395457" w:history="1">
            <w:r w:rsidRPr="0019435C">
              <w:rPr>
                <w:rStyle w:val="Hyperlink"/>
                <w:noProof/>
              </w:rPr>
              <w:t>Recommendations</w:t>
            </w:r>
            <w:r>
              <w:rPr>
                <w:noProof/>
                <w:webHidden/>
              </w:rPr>
              <w:tab/>
            </w:r>
            <w:r>
              <w:rPr>
                <w:noProof/>
                <w:webHidden/>
              </w:rPr>
              <w:fldChar w:fldCharType="begin"/>
            </w:r>
            <w:r>
              <w:rPr>
                <w:noProof/>
                <w:webHidden/>
              </w:rPr>
              <w:instrText xml:space="preserve"> PAGEREF _Toc228395457 \h </w:instrText>
            </w:r>
            <w:r>
              <w:rPr>
                <w:noProof/>
                <w:webHidden/>
              </w:rPr>
            </w:r>
            <w:r>
              <w:rPr>
                <w:noProof/>
                <w:webHidden/>
              </w:rPr>
              <w:fldChar w:fldCharType="separate"/>
            </w:r>
            <w:r>
              <w:rPr>
                <w:noProof/>
                <w:webHidden/>
              </w:rPr>
              <w:t>6</w:t>
            </w:r>
            <w:r>
              <w:rPr>
                <w:noProof/>
                <w:webHidden/>
              </w:rPr>
              <w:fldChar w:fldCharType="end"/>
            </w:r>
          </w:hyperlink>
        </w:p>
        <w:p w14:paraId="589DDA89" w14:textId="0282C5CA" w:rsidR="00D31D36" w:rsidRDefault="00D31D36">
          <w:pPr>
            <w:pStyle w:val="TOC1"/>
            <w:tabs>
              <w:tab w:val="right" w:leader="dot" w:pos="9062"/>
            </w:tabs>
            <w:rPr>
              <w:rFonts w:eastAsiaTheme="minorEastAsia"/>
              <w:noProof/>
              <w:sz w:val="24"/>
              <w:szCs w:val="24"/>
              <w:lang w:eastAsia="en-GB"/>
            </w:rPr>
          </w:pPr>
          <w:hyperlink w:anchor="_Toc228395458" w:history="1">
            <w:r w:rsidRPr="0019435C">
              <w:rPr>
                <w:rStyle w:val="Hyperlink"/>
                <w:noProof/>
              </w:rPr>
              <w:t>7. Reference list</w:t>
            </w:r>
            <w:r>
              <w:rPr>
                <w:noProof/>
                <w:webHidden/>
              </w:rPr>
              <w:tab/>
            </w:r>
            <w:r>
              <w:rPr>
                <w:noProof/>
                <w:webHidden/>
              </w:rPr>
              <w:fldChar w:fldCharType="begin"/>
            </w:r>
            <w:r>
              <w:rPr>
                <w:noProof/>
                <w:webHidden/>
              </w:rPr>
              <w:instrText xml:space="preserve"> PAGEREF _Toc228395458 \h </w:instrText>
            </w:r>
            <w:r>
              <w:rPr>
                <w:noProof/>
                <w:webHidden/>
              </w:rPr>
            </w:r>
            <w:r>
              <w:rPr>
                <w:noProof/>
                <w:webHidden/>
              </w:rPr>
              <w:fldChar w:fldCharType="separate"/>
            </w:r>
            <w:r>
              <w:rPr>
                <w:noProof/>
                <w:webHidden/>
              </w:rPr>
              <w:t>7</w:t>
            </w:r>
            <w:r>
              <w:rPr>
                <w:noProof/>
                <w:webHidden/>
              </w:rPr>
              <w:fldChar w:fldCharType="end"/>
            </w:r>
          </w:hyperlink>
        </w:p>
        <w:p w14:paraId="58667FCA" w14:textId="6DEA8609" w:rsidR="00D31D36" w:rsidRDefault="00D31D36">
          <w:r>
            <w:rPr>
              <w:b/>
              <w:bCs/>
              <w:noProof/>
            </w:rPr>
            <w:fldChar w:fldCharType="end"/>
          </w:r>
        </w:p>
      </w:sdtContent>
    </w:sdt>
    <w:p w14:paraId="6ABC4657" w14:textId="77777777" w:rsidR="00E47DA1" w:rsidRPr="00E47DA1" w:rsidRDefault="00E47DA1">
      <w:pPr>
        <w:rPr>
          <w:rFonts w:ascii="Arial" w:eastAsiaTheme="majorEastAsia" w:hAnsi="Arial" w:cs="Arial"/>
          <w:b/>
          <w:bCs/>
          <w:color w:val="000000" w:themeColor="text1"/>
          <w:kern w:val="24"/>
          <w:sz w:val="32"/>
          <w:szCs w:val="32"/>
        </w:rPr>
      </w:pPr>
    </w:p>
    <w:p w14:paraId="4F918A7F" w14:textId="77777777" w:rsidR="00777582" w:rsidRDefault="00777582">
      <w:pPr>
        <w:rPr>
          <w:rFonts w:ascii="Arial" w:eastAsiaTheme="majorEastAsia" w:hAnsi="Arial" w:cs="Arial"/>
          <w:color w:val="000000" w:themeColor="text1"/>
          <w:kern w:val="24"/>
          <w:sz w:val="24"/>
          <w:szCs w:val="24"/>
        </w:rPr>
      </w:pPr>
    </w:p>
    <w:p w14:paraId="16371E42" w14:textId="77777777" w:rsidR="00777582" w:rsidRDefault="00777582">
      <w:pPr>
        <w:rPr>
          <w:rFonts w:ascii="Arial" w:eastAsiaTheme="majorEastAsia" w:hAnsi="Arial" w:cs="Arial"/>
          <w:color w:val="000000" w:themeColor="text1"/>
          <w:kern w:val="24"/>
          <w:sz w:val="24"/>
          <w:szCs w:val="24"/>
        </w:rPr>
      </w:pPr>
    </w:p>
    <w:p w14:paraId="535A2398" w14:textId="22EED6D5" w:rsidR="00777582" w:rsidRDefault="00777582" w:rsidP="00E47DA1">
      <w:pPr>
        <w:pStyle w:val="Heading1"/>
      </w:pPr>
      <w:r>
        <w:t xml:space="preserve">   </w:t>
      </w:r>
      <w:bookmarkStart w:id="0" w:name="_Toc228395445"/>
      <w:r>
        <w:t>1.Introductio</w:t>
      </w:r>
      <w:r w:rsidR="00242B68">
        <w:t>n</w:t>
      </w:r>
      <w:bookmarkEnd w:id="0"/>
    </w:p>
    <w:p w14:paraId="68CE241F" w14:textId="77777777" w:rsidR="00777582" w:rsidRDefault="00777582" w:rsidP="00777582">
      <w:pPr>
        <w:pStyle w:val="ListParagraph"/>
        <w:ind w:left="2100"/>
        <w:rPr>
          <w:rFonts w:ascii="Arial" w:eastAsiaTheme="majorEastAsia" w:hAnsi="Arial" w:cs="Arial"/>
          <w:b/>
          <w:bCs/>
          <w:color w:val="000000" w:themeColor="text1"/>
          <w:kern w:val="24"/>
          <w:sz w:val="32"/>
          <w:szCs w:val="32"/>
        </w:rPr>
      </w:pPr>
    </w:p>
    <w:p w14:paraId="78EB7276" w14:textId="005EF31B" w:rsidR="00777582" w:rsidRPr="00543F14" w:rsidRDefault="00777582" w:rsidP="00777582">
      <w:pPr>
        <w:rPr>
          <w:rFonts w:ascii="Arial" w:eastAsiaTheme="majorEastAsia" w:hAnsi="Arial" w:cs="Arial"/>
          <w:color w:val="000000" w:themeColor="text1"/>
          <w:kern w:val="24"/>
        </w:rPr>
      </w:pPr>
      <w:r w:rsidRPr="00777582">
        <w:rPr>
          <w:rFonts w:ascii="Arial" w:eastAsiaTheme="majorEastAsia" w:hAnsi="Arial" w:cs="Arial"/>
          <w:color w:val="000000" w:themeColor="text1"/>
          <w:kern w:val="24"/>
        </w:rPr>
        <w:t xml:space="preserve">Human Recourse Management (HRM) plays </w:t>
      </w:r>
      <w:r>
        <w:rPr>
          <w:rFonts w:ascii="Arial" w:eastAsiaTheme="majorEastAsia" w:hAnsi="Arial" w:cs="Arial"/>
          <w:color w:val="000000" w:themeColor="text1"/>
          <w:kern w:val="24"/>
        </w:rPr>
        <w:t>a critical role in</w:t>
      </w:r>
      <w:r w:rsidR="00543F14">
        <w:rPr>
          <w:rFonts w:ascii="Arial" w:eastAsiaTheme="majorEastAsia" w:hAnsi="Arial" w:cs="Arial"/>
          <w:color w:val="000000" w:themeColor="text1"/>
          <w:kern w:val="24"/>
        </w:rPr>
        <w:t xml:space="preserve"> supporting organisational performance and long-term sustainability, particularly in large multinational companies such as </w:t>
      </w:r>
      <w:r w:rsidR="00543F14" w:rsidRPr="00543F14">
        <w:rPr>
          <w:rFonts w:ascii="Arial" w:eastAsiaTheme="majorEastAsia" w:hAnsi="Arial" w:cs="Arial"/>
          <w:b/>
          <w:bCs/>
          <w:color w:val="000000" w:themeColor="text1"/>
          <w:kern w:val="24"/>
        </w:rPr>
        <w:t xml:space="preserve">Unilever </w:t>
      </w:r>
      <w:r w:rsidR="00543F14">
        <w:rPr>
          <w:rFonts w:ascii="Arial" w:eastAsiaTheme="majorEastAsia" w:hAnsi="Arial" w:cs="Arial"/>
          <w:color w:val="000000" w:themeColor="text1"/>
          <w:kern w:val="24"/>
        </w:rPr>
        <w:t xml:space="preserve">(Armstrong, 2020). As a global organisation operating in a highly competitive fast-moving consumer goods (FMCG) sector, </w:t>
      </w:r>
      <w:r w:rsidR="00B5120B">
        <w:rPr>
          <w:rFonts w:ascii="Arial" w:eastAsiaTheme="majorEastAsia" w:hAnsi="Arial" w:cs="Arial"/>
          <w:color w:val="000000" w:themeColor="text1"/>
          <w:kern w:val="24"/>
        </w:rPr>
        <w:t>the company</w:t>
      </w:r>
      <w:r w:rsidR="00543F14">
        <w:rPr>
          <w:rFonts w:ascii="Arial" w:eastAsiaTheme="majorEastAsia" w:hAnsi="Arial" w:cs="Arial"/>
          <w:color w:val="000000" w:themeColor="text1"/>
          <w:kern w:val="24"/>
        </w:rPr>
        <w:t xml:space="preserve"> relies heavily on effective HR practices to manage its diverse workforce and maintain its market position. </w:t>
      </w:r>
      <w:r w:rsidR="00543F14" w:rsidRPr="00543F14">
        <w:rPr>
          <w:rFonts w:ascii="Arial" w:eastAsiaTheme="majorEastAsia" w:hAnsi="Arial" w:cs="Arial"/>
          <w:b/>
          <w:bCs/>
          <w:color w:val="000000" w:themeColor="text1"/>
          <w:kern w:val="24"/>
        </w:rPr>
        <w:t xml:space="preserve">Unilever </w:t>
      </w:r>
      <w:r w:rsidR="00543F14" w:rsidRPr="00543F14">
        <w:rPr>
          <w:rFonts w:ascii="Arial" w:eastAsiaTheme="majorEastAsia" w:hAnsi="Arial" w:cs="Arial"/>
          <w:color w:val="000000" w:themeColor="text1"/>
          <w:kern w:val="24"/>
        </w:rPr>
        <w:t>faces several key HR-</w:t>
      </w:r>
      <w:r w:rsidR="00543F14">
        <w:rPr>
          <w:rFonts w:ascii="Arial" w:eastAsiaTheme="majorEastAsia" w:hAnsi="Arial" w:cs="Arial"/>
          <w:color w:val="000000" w:themeColor="text1"/>
          <w:kern w:val="24"/>
        </w:rPr>
        <w:t xml:space="preserve">related challenges that directly impact its operations and workforce </w:t>
      </w:r>
      <w:r w:rsidR="003E0AF1">
        <w:rPr>
          <w:rFonts w:ascii="Arial" w:eastAsiaTheme="majorEastAsia" w:hAnsi="Arial" w:cs="Arial"/>
          <w:color w:val="000000" w:themeColor="text1"/>
          <w:kern w:val="24"/>
        </w:rPr>
        <w:t xml:space="preserve">management. One major factor is technological advancement, as the company continues to invest in digital transformation and automation, requiring employees to continuously develop new skills (Unilever, 2023). In addition, talent acquisition and retention remain critical issues, as Unilever competes globally to attract and retain highly skilled employees in a competitive labour market (CIPD, 2022). Furthermore, the organisation places strong emphasis on diversity, equity and inclusion (DEI). </w:t>
      </w:r>
      <w:r w:rsidR="00B5120B">
        <w:rPr>
          <w:rFonts w:ascii="Arial" w:eastAsiaTheme="majorEastAsia" w:hAnsi="Arial" w:cs="Arial"/>
          <w:color w:val="000000" w:themeColor="text1"/>
          <w:kern w:val="24"/>
        </w:rPr>
        <w:t>However, maintaining and improving these standards across global operations remains an ongoing challenge.</w:t>
      </w:r>
      <w:r w:rsidR="007A53CF">
        <w:rPr>
          <w:rFonts w:ascii="Arial" w:eastAsiaTheme="majorEastAsia" w:hAnsi="Arial" w:cs="Arial"/>
          <w:color w:val="000000" w:themeColor="text1"/>
          <w:kern w:val="24"/>
        </w:rPr>
        <w:t xml:space="preserve"> (Shen et al., 2009). Unilever is widely recognised for its commitment to sustainability, innovation, and employee development, which are embedded within its HR strategies (Unilever, 2023), The company has implemented a range of HR practices designed to address workforce challenges while supporting business objectives. The aim </w:t>
      </w:r>
      <w:r w:rsidR="00222B56">
        <w:rPr>
          <w:rFonts w:ascii="Arial" w:eastAsiaTheme="majorEastAsia" w:hAnsi="Arial" w:cs="Arial"/>
          <w:color w:val="000000" w:themeColor="text1"/>
          <w:kern w:val="24"/>
        </w:rPr>
        <w:t>of this</w:t>
      </w:r>
      <w:r w:rsidR="007A53CF">
        <w:rPr>
          <w:rFonts w:ascii="Arial" w:eastAsiaTheme="majorEastAsia" w:hAnsi="Arial" w:cs="Arial"/>
          <w:color w:val="000000" w:themeColor="text1"/>
          <w:kern w:val="24"/>
        </w:rPr>
        <w:t xml:space="preserve"> report is to analyses the key HR-related factors affecting </w:t>
      </w:r>
      <w:r w:rsidR="00B5120B">
        <w:rPr>
          <w:rFonts w:ascii="Arial" w:eastAsiaTheme="majorEastAsia" w:hAnsi="Arial" w:cs="Arial"/>
          <w:color w:val="000000" w:themeColor="text1"/>
          <w:kern w:val="24"/>
        </w:rPr>
        <w:t>organisation</w:t>
      </w:r>
      <w:r w:rsidR="007A53CF">
        <w:rPr>
          <w:rFonts w:ascii="Arial" w:eastAsiaTheme="majorEastAsia" w:hAnsi="Arial" w:cs="Arial"/>
          <w:color w:val="000000" w:themeColor="text1"/>
          <w:kern w:val="24"/>
        </w:rPr>
        <w:t xml:space="preserve">, evaluate the effectiveness of HR practices implemented to </w:t>
      </w:r>
      <w:r w:rsidR="00222B56">
        <w:rPr>
          <w:rFonts w:ascii="Arial" w:eastAsiaTheme="majorEastAsia" w:hAnsi="Arial" w:cs="Arial"/>
          <w:color w:val="000000" w:themeColor="text1"/>
          <w:kern w:val="24"/>
        </w:rPr>
        <w:t>address</w:t>
      </w:r>
      <w:r w:rsidR="007A53CF">
        <w:rPr>
          <w:rFonts w:ascii="Arial" w:eastAsiaTheme="majorEastAsia" w:hAnsi="Arial" w:cs="Arial"/>
          <w:color w:val="000000" w:themeColor="text1"/>
          <w:kern w:val="24"/>
        </w:rPr>
        <w:t xml:space="preserve"> these challenges</w:t>
      </w:r>
      <w:r w:rsidR="00222B56">
        <w:rPr>
          <w:rFonts w:ascii="Arial" w:eastAsiaTheme="majorEastAsia" w:hAnsi="Arial" w:cs="Arial"/>
          <w:color w:val="000000" w:themeColor="text1"/>
          <w:kern w:val="24"/>
        </w:rPr>
        <w:t xml:space="preserve">, and critically assess how managers ensure their successful implementation. This </w:t>
      </w:r>
      <w:r w:rsidR="00B5120B">
        <w:rPr>
          <w:rFonts w:ascii="Arial" w:eastAsiaTheme="majorEastAsia" w:hAnsi="Arial" w:cs="Arial"/>
          <w:color w:val="000000" w:themeColor="text1"/>
          <w:kern w:val="24"/>
        </w:rPr>
        <w:t xml:space="preserve">report provides insight into how HR contributes to organisational success in a complex and dynamic business environment. </w:t>
      </w:r>
    </w:p>
    <w:p w14:paraId="215481B3" w14:textId="77777777" w:rsidR="00573328" w:rsidRPr="00777582" w:rsidRDefault="00573328" w:rsidP="00777582">
      <w:pPr>
        <w:rPr>
          <w:rFonts w:ascii="Arial" w:eastAsiaTheme="majorEastAsia" w:hAnsi="Arial" w:cs="Arial"/>
          <w:color w:val="000000" w:themeColor="text1"/>
          <w:kern w:val="24"/>
        </w:rPr>
      </w:pPr>
    </w:p>
    <w:p w14:paraId="56356DB3" w14:textId="77777777" w:rsidR="00777582" w:rsidRDefault="00777582" w:rsidP="00777582">
      <w:pPr>
        <w:pStyle w:val="ListParagraph"/>
        <w:ind w:left="2100"/>
        <w:rPr>
          <w:rFonts w:ascii="Arial" w:eastAsiaTheme="majorEastAsia" w:hAnsi="Arial" w:cs="Arial"/>
          <w:b/>
          <w:bCs/>
          <w:color w:val="000000" w:themeColor="text1"/>
          <w:kern w:val="24"/>
          <w:sz w:val="32"/>
          <w:szCs w:val="32"/>
        </w:rPr>
      </w:pPr>
    </w:p>
    <w:p w14:paraId="64E1427F" w14:textId="77777777" w:rsidR="00777582" w:rsidRDefault="00777582" w:rsidP="00777582">
      <w:pPr>
        <w:pStyle w:val="ListParagraph"/>
        <w:ind w:left="2100"/>
        <w:rPr>
          <w:rFonts w:ascii="Arial" w:eastAsiaTheme="majorEastAsia" w:hAnsi="Arial" w:cs="Arial"/>
          <w:b/>
          <w:bCs/>
          <w:color w:val="000000" w:themeColor="text1"/>
          <w:kern w:val="24"/>
          <w:sz w:val="32"/>
          <w:szCs w:val="32"/>
        </w:rPr>
      </w:pPr>
    </w:p>
    <w:p w14:paraId="7472D895" w14:textId="017FA75D" w:rsidR="00777582" w:rsidRDefault="00273CD9" w:rsidP="00E47DA1">
      <w:pPr>
        <w:pStyle w:val="Heading1"/>
      </w:pPr>
      <w:bookmarkStart w:id="1" w:name="_Toc228395446"/>
      <w:r>
        <w:t>2. Company Overview</w:t>
      </w:r>
      <w:bookmarkEnd w:id="1"/>
    </w:p>
    <w:p w14:paraId="6C53841A" w14:textId="77777777" w:rsidR="00242B68" w:rsidRPr="00242B68" w:rsidRDefault="00242B68" w:rsidP="00242B68"/>
    <w:p w14:paraId="1923F2C0" w14:textId="7E684FE6" w:rsidR="00273CD9" w:rsidRDefault="00273CD9" w:rsidP="00273CD9">
      <w:pPr>
        <w:rPr>
          <w:rFonts w:ascii="Arial" w:eastAsiaTheme="majorEastAsia" w:hAnsi="Arial" w:cs="Arial"/>
          <w:color w:val="000000" w:themeColor="text1"/>
          <w:kern w:val="24"/>
        </w:rPr>
      </w:pPr>
      <w:r>
        <w:rPr>
          <w:rFonts w:ascii="Arial" w:eastAsiaTheme="majorEastAsia" w:hAnsi="Arial" w:cs="Arial"/>
          <w:color w:val="000000" w:themeColor="text1"/>
          <w:kern w:val="24"/>
        </w:rPr>
        <w:t xml:space="preserve">Unilever is a British multinational organisation headquartered in London, operating in more that 190 countries worldwide (Unilever, 2023). The company </w:t>
      </w:r>
      <w:r w:rsidR="003A00FD">
        <w:rPr>
          <w:rFonts w:ascii="Arial" w:eastAsiaTheme="majorEastAsia" w:hAnsi="Arial" w:cs="Arial"/>
          <w:color w:val="000000" w:themeColor="text1"/>
          <w:kern w:val="24"/>
        </w:rPr>
        <w:t xml:space="preserve">specialises in the production of fast-moving consumer goods (FMCG), including food, beverages, personal care, and household products. Its well-known brands, such as Dove, Persil, and Lipton, contribute to its strong global market presence and brand recognition. Unilever employs approximately 120,000 people globally and is recognised for its strong focus on sustainability, innovation, and responsible business practices (Unilever, 2023). The </w:t>
      </w:r>
      <w:r w:rsidR="00E2689B">
        <w:rPr>
          <w:rFonts w:ascii="Arial" w:eastAsiaTheme="majorEastAsia" w:hAnsi="Arial" w:cs="Arial"/>
          <w:color w:val="000000" w:themeColor="text1"/>
          <w:kern w:val="24"/>
        </w:rPr>
        <w:t>organisation</w:t>
      </w:r>
      <w:r w:rsidR="003A00FD">
        <w:rPr>
          <w:rFonts w:ascii="Arial" w:eastAsiaTheme="majorEastAsia" w:hAnsi="Arial" w:cs="Arial"/>
          <w:color w:val="000000" w:themeColor="text1"/>
          <w:kern w:val="24"/>
        </w:rPr>
        <w:t xml:space="preserve"> integrates environmental and social </w:t>
      </w:r>
      <w:r w:rsidR="002733CA">
        <w:rPr>
          <w:rFonts w:ascii="Arial" w:eastAsiaTheme="majorEastAsia" w:hAnsi="Arial" w:cs="Arial"/>
          <w:color w:val="000000" w:themeColor="text1"/>
          <w:kern w:val="24"/>
        </w:rPr>
        <w:t>objectives into its corporate strategy, which significantly influences its human resource management approach.</w:t>
      </w:r>
      <w:r w:rsidR="00E2689B">
        <w:rPr>
          <w:rFonts w:ascii="Arial" w:eastAsiaTheme="majorEastAsia" w:hAnsi="Arial" w:cs="Arial"/>
          <w:color w:val="000000" w:themeColor="text1"/>
          <w:kern w:val="24"/>
        </w:rPr>
        <w:t xml:space="preserve"> In particular</w:t>
      </w:r>
      <w:r w:rsidR="00B5120B">
        <w:rPr>
          <w:rFonts w:ascii="Arial" w:eastAsiaTheme="majorEastAsia" w:hAnsi="Arial" w:cs="Arial"/>
          <w:color w:val="000000" w:themeColor="text1"/>
          <w:kern w:val="24"/>
        </w:rPr>
        <w:t xml:space="preserve">, the </w:t>
      </w:r>
      <w:r w:rsidR="002733CA">
        <w:rPr>
          <w:rFonts w:ascii="Arial" w:eastAsiaTheme="majorEastAsia" w:hAnsi="Arial" w:cs="Arial"/>
          <w:color w:val="000000" w:themeColor="text1"/>
          <w:kern w:val="24"/>
        </w:rPr>
        <w:t>organisation emphasises</w:t>
      </w:r>
      <w:r w:rsidR="00E2689B">
        <w:rPr>
          <w:rFonts w:ascii="Arial" w:eastAsiaTheme="majorEastAsia" w:hAnsi="Arial" w:cs="Arial"/>
          <w:color w:val="000000" w:themeColor="text1"/>
          <w:kern w:val="24"/>
        </w:rPr>
        <w:t xml:space="preserve"> </w:t>
      </w:r>
      <w:r w:rsidR="00E2689B">
        <w:rPr>
          <w:rFonts w:ascii="Arial" w:eastAsiaTheme="majorEastAsia" w:hAnsi="Arial" w:cs="Arial"/>
          <w:color w:val="000000" w:themeColor="text1"/>
          <w:kern w:val="24"/>
        </w:rPr>
        <w:lastRenderedPageBreak/>
        <w:t>employee development, digital transformation, and inclusive workplace practices as key drivers of organisational success. Due to its global scale and strategic focus on people management, Unilever provides a relevant and practical case for analysing contemporary HR challenges and practices.</w:t>
      </w:r>
    </w:p>
    <w:p w14:paraId="103B09B9" w14:textId="77777777" w:rsidR="00EF1A33" w:rsidRDefault="00EF1A33" w:rsidP="00273CD9">
      <w:pPr>
        <w:rPr>
          <w:rFonts w:ascii="Arial" w:eastAsiaTheme="majorEastAsia" w:hAnsi="Arial" w:cs="Arial"/>
          <w:color w:val="000000" w:themeColor="text1"/>
          <w:kern w:val="24"/>
        </w:rPr>
      </w:pPr>
    </w:p>
    <w:p w14:paraId="1957BD84" w14:textId="18C31CF8" w:rsidR="00E2689B" w:rsidRDefault="00EF1A33" w:rsidP="00E47DA1">
      <w:pPr>
        <w:pStyle w:val="Heading1"/>
        <w:rPr>
          <w:color w:val="7030A0"/>
        </w:rPr>
      </w:pPr>
      <w:r>
        <w:t xml:space="preserve"> </w:t>
      </w:r>
      <w:bookmarkStart w:id="2" w:name="_Toc228395447"/>
      <w:r>
        <w:t xml:space="preserve">3. Factors Affecting Human Resource Management in </w:t>
      </w:r>
      <w:r w:rsidRPr="00744186">
        <w:rPr>
          <w:color w:val="7030A0"/>
        </w:rPr>
        <w:t>Unilever</w:t>
      </w:r>
      <w:bookmarkEnd w:id="2"/>
    </w:p>
    <w:p w14:paraId="427ED91C" w14:textId="6D70E800" w:rsidR="00744186" w:rsidRPr="00744186" w:rsidRDefault="00744186" w:rsidP="00273CD9">
      <w:pPr>
        <w:rPr>
          <w:rFonts w:ascii="Arial" w:eastAsiaTheme="majorEastAsia" w:hAnsi="Arial" w:cs="Arial"/>
          <w:b/>
          <w:bCs/>
          <w:color w:val="000000" w:themeColor="text1"/>
          <w:kern w:val="24"/>
        </w:rPr>
      </w:pPr>
      <w:r w:rsidRPr="00744186">
        <w:rPr>
          <w:rFonts w:ascii="Arial" w:eastAsiaTheme="majorEastAsia" w:hAnsi="Arial" w:cs="Arial"/>
          <w:b/>
          <w:bCs/>
          <w:color w:val="000000" w:themeColor="text1"/>
          <w:kern w:val="24"/>
        </w:rPr>
        <w:t>This section analyses the key factors affecting HRM in Unilever.</w:t>
      </w:r>
    </w:p>
    <w:p w14:paraId="04BAAE4B" w14:textId="77777777" w:rsidR="00EF1A33" w:rsidRDefault="00EF1A33" w:rsidP="00273CD9">
      <w:pPr>
        <w:rPr>
          <w:rFonts w:ascii="Arial" w:eastAsiaTheme="majorEastAsia" w:hAnsi="Arial" w:cs="Arial"/>
          <w:b/>
          <w:bCs/>
          <w:color w:val="000000" w:themeColor="text1"/>
          <w:kern w:val="24"/>
          <w:sz w:val="32"/>
          <w:szCs w:val="32"/>
        </w:rPr>
      </w:pPr>
    </w:p>
    <w:p w14:paraId="59E28BA1" w14:textId="07970966" w:rsidR="00EF1A33" w:rsidRDefault="00EF1A33" w:rsidP="00E47DA1">
      <w:pPr>
        <w:pStyle w:val="Heading1"/>
      </w:pPr>
      <w:r>
        <w:t xml:space="preserve">                   </w:t>
      </w:r>
      <w:bookmarkStart w:id="3" w:name="_Toc228395448"/>
      <w:r>
        <w:t>3.1 Technological Advancement</w:t>
      </w:r>
      <w:bookmarkEnd w:id="3"/>
      <w:r>
        <w:t xml:space="preserve"> </w:t>
      </w:r>
    </w:p>
    <w:p w14:paraId="4BC07B20" w14:textId="77777777" w:rsidR="00242B68" w:rsidRPr="00242B68" w:rsidRDefault="00242B68" w:rsidP="00242B68"/>
    <w:p w14:paraId="495EF1A3" w14:textId="5F10D9D9" w:rsidR="00744186" w:rsidRDefault="00FF382B" w:rsidP="00273CD9">
      <w:pPr>
        <w:rPr>
          <w:rFonts w:ascii="Arial" w:eastAsiaTheme="majorEastAsia" w:hAnsi="Arial" w:cs="Arial"/>
          <w:color w:val="000000" w:themeColor="text1"/>
          <w:kern w:val="24"/>
        </w:rPr>
      </w:pPr>
      <w:r>
        <w:rPr>
          <w:rFonts w:ascii="Arial" w:eastAsiaTheme="majorEastAsia" w:hAnsi="Arial" w:cs="Arial"/>
          <w:color w:val="000000" w:themeColor="text1"/>
          <w:kern w:val="24"/>
        </w:rPr>
        <w:t xml:space="preserve">Technological advancement represents a significant factor influencing human resources management </w:t>
      </w:r>
      <w:r w:rsidR="002733CA">
        <w:rPr>
          <w:rFonts w:ascii="Arial" w:eastAsiaTheme="majorEastAsia" w:hAnsi="Arial" w:cs="Arial"/>
          <w:color w:val="000000" w:themeColor="text1"/>
          <w:kern w:val="24"/>
        </w:rPr>
        <w:t>the organisation</w:t>
      </w:r>
      <w:r>
        <w:rPr>
          <w:rFonts w:ascii="Arial" w:eastAsiaTheme="majorEastAsia" w:hAnsi="Arial" w:cs="Arial"/>
          <w:color w:val="000000" w:themeColor="text1"/>
          <w:kern w:val="24"/>
        </w:rPr>
        <w:t xml:space="preserve">. The company has increasingly </w:t>
      </w:r>
      <w:r w:rsidR="002733CA">
        <w:rPr>
          <w:rFonts w:ascii="Arial" w:eastAsiaTheme="majorEastAsia" w:hAnsi="Arial" w:cs="Arial"/>
          <w:color w:val="000000" w:themeColor="text1"/>
          <w:kern w:val="24"/>
        </w:rPr>
        <w:t>invested in</w:t>
      </w:r>
      <w:r>
        <w:rPr>
          <w:rFonts w:ascii="Arial" w:eastAsiaTheme="majorEastAsia" w:hAnsi="Arial" w:cs="Arial"/>
          <w:color w:val="000000" w:themeColor="text1"/>
          <w:kern w:val="24"/>
        </w:rPr>
        <w:t xml:space="preserve"> digital transformation, automation, and data-driven systems to improve operational efficiency and decision-making processes (Unilever, 2023). As a result, HR plays a crucial role in ensuring that employees are equipped with the necessary digital skills to adapt to these technological changes. One of the main challe</w:t>
      </w:r>
      <w:r w:rsidR="00E616C4">
        <w:rPr>
          <w:rFonts w:ascii="Arial" w:eastAsiaTheme="majorEastAsia" w:hAnsi="Arial" w:cs="Arial"/>
          <w:color w:val="000000" w:themeColor="text1"/>
          <w:kern w:val="24"/>
        </w:rPr>
        <w:t>nges for Unilever is the continuous need for upskilling and reskilling its workforce. The introduction of advanced technologies, such as artificial intelligence and digital HR platforms, requires employees to develop new competencies in order to remain productive and relevant (Schwab, 2017). This creates pressure on HR to design effective training and development programmes</w:t>
      </w:r>
      <w:r w:rsidR="002733CA">
        <w:rPr>
          <w:rFonts w:ascii="Arial" w:eastAsiaTheme="majorEastAsia" w:hAnsi="Arial" w:cs="Arial"/>
          <w:color w:val="000000" w:themeColor="text1"/>
          <w:kern w:val="24"/>
        </w:rPr>
        <w:t xml:space="preserve">. These programmes support both employee performance </w:t>
      </w:r>
      <w:r w:rsidR="00E616C4">
        <w:rPr>
          <w:rFonts w:ascii="Arial" w:eastAsiaTheme="majorEastAsia" w:hAnsi="Arial" w:cs="Arial"/>
          <w:color w:val="000000" w:themeColor="text1"/>
          <w:kern w:val="24"/>
        </w:rPr>
        <w:t xml:space="preserve">and organisation goals. Furthermore, technological change can also impact employee engagement and job security, as automation may </w:t>
      </w:r>
      <w:r w:rsidR="00744186">
        <w:rPr>
          <w:rFonts w:ascii="Arial" w:eastAsiaTheme="majorEastAsia" w:hAnsi="Arial" w:cs="Arial"/>
          <w:color w:val="000000" w:themeColor="text1"/>
          <w:kern w:val="24"/>
        </w:rPr>
        <w:t>replace</w:t>
      </w:r>
      <w:r w:rsidR="00E616C4">
        <w:rPr>
          <w:rFonts w:ascii="Arial" w:eastAsiaTheme="majorEastAsia" w:hAnsi="Arial" w:cs="Arial"/>
          <w:color w:val="000000" w:themeColor="text1"/>
          <w:kern w:val="24"/>
        </w:rPr>
        <w:t xml:space="preserve"> certain roles while creating new </w:t>
      </w:r>
      <w:r w:rsidR="00744186">
        <w:rPr>
          <w:rFonts w:ascii="Arial" w:eastAsiaTheme="majorEastAsia" w:hAnsi="Arial" w:cs="Arial"/>
          <w:color w:val="000000" w:themeColor="text1"/>
          <w:kern w:val="24"/>
        </w:rPr>
        <w:t>opportunities</w:t>
      </w:r>
      <w:r w:rsidR="00E616C4">
        <w:rPr>
          <w:rFonts w:ascii="Arial" w:eastAsiaTheme="majorEastAsia" w:hAnsi="Arial" w:cs="Arial"/>
          <w:color w:val="000000" w:themeColor="text1"/>
          <w:kern w:val="24"/>
        </w:rPr>
        <w:t xml:space="preserve"> in other areas. Therefore, HR must manage this transition carefully by promoting a culture of </w:t>
      </w:r>
      <w:r w:rsidR="00744186">
        <w:rPr>
          <w:rFonts w:ascii="Arial" w:eastAsiaTheme="majorEastAsia" w:hAnsi="Arial" w:cs="Arial"/>
          <w:color w:val="000000" w:themeColor="text1"/>
          <w:kern w:val="24"/>
        </w:rPr>
        <w:t>learning</w:t>
      </w:r>
      <w:r w:rsidR="00E616C4">
        <w:rPr>
          <w:rFonts w:ascii="Arial" w:eastAsiaTheme="majorEastAsia" w:hAnsi="Arial" w:cs="Arial"/>
          <w:color w:val="000000" w:themeColor="text1"/>
          <w:kern w:val="24"/>
        </w:rPr>
        <w:t xml:space="preserve"> and adapta</w:t>
      </w:r>
      <w:r w:rsidR="00744186">
        <w:rPr>
          <w:rFonts w:ascii="Arial" w:eastAsiaTheme="majorEastAsia" w:hAnsi="Arial" w:cs="Arial"/>
          <w:color w:val="000000" w:themeColor="text1"/>
          <w:kern w:val="24"/>
        </w:rPr>
        <w:t xml:space="preserve">bility. In this context, technological advancement is not only an operational issue but also a strategic HR challenge that directly affects workforce management and organisational success. </w:t>
      </w:r>
    </w:p>
    <w:p w14:paraId="52E7E310" w14:textId="430638DE" w:rsidR="00744186" w:rsidRDefault="00744186" w:rsidP="00E47DA1">
      <w:pPr>
        <w:pStyle w:val="Heading1"/>
      </w:pPr>
      <w:r>
        <w:t xml:space="preserve">               </w:t>
      </w:r>
      <w:bookmarkStart w:id="4" w:name="_Toc228395449"/>
      <w:r>
        <w:t>3.2 Talent Acquisition and Retention</w:t>
      </w:r>
      <w:bookmarkEnd w:id="4"/>
    </w:p>
    <w:p w14:paraId="551DCD98" w14:textId="77777777" w:rsidR="00242B68" w:rsidRPr="00242B68" w:rsidRDefault="00242B68" w:rsidP="00242B68"/>
    <w:p w14:paraId="6B150F49" w14:textId="2B2B6EB9" w:rsidR="00744186" w:rsidRDefault="00744186" w:rsidP="00273CD9">
      <w:pPr>
        <w:rPr>
          <w:rFonts w:ascii="Arial" w:eastAsiaTheme="majorEastAsia" w:hAnsi="Arial" w:cs="Arial"/>
          <w:color w:val="000000" w:themeColor="text1"/>
          <w:kern w:val="24"/>
        </w:rPr>
      </w:pPr>
      <w:r>
        <w:rPr>
          <w:rFonts w:ascii="Arial" w:eastAsiaTheme="majorEastAsia" w:hAnsi="Arial" w:cs="Arial"/>
          <w:color w:val="000000" w:themeColor="text1"/>
          <w:kern w:val="24"/>
        </w:rPr>
        <w:t xml:space="preserve">Talent </w:t>
      </w:r>
      <w:r w:rsidR="009B2F39">
        <w:rPr>
          <w:rFonts w:ascii="Arial" w:eastAsiaTheme="majorEastAsia" w:hAnsi="Arial" w:cs="Arial"/>
          <w:color w:val="000000" w:themeColor="text1"/>
          <w:kern w:val="24"/>
        </w:rPr>
        <w:t xml:space="preserve">acquisition and retention represent a critical challenge for human resource management within Unilever. As a global organisation operating in a highly competitive industry, Unilever must continuously </w:t>
      </w:r>
      <w:r w:rsidR="00B42E61">
        <w:rPr>
          <w:rFonts w:ascii="Arial" w:eastAsiaTheme="majorEastAsia" w:hAnsi="Arial" w:cs="Arial"/>
          <w:color w:val="000000" w:themeColor="text1"/>
          <w:kern w:val="24"/>
        </w:rPr>
        <w:t xml:space="preserve">and retain skilled employees to maintain its </w:t>
      </w:r>
      <w:r w:rsidR="00F17710">
        <w:rPr>
          <w:rFonts w:ascii="Arial" w:eastAsiaTheme="majorEastAsia" w:hAnsi="Arial" w:cs="Arial"/>
          <w:color w:val="000000" w:themeColor="text1"/>
          <w:kern w:val="24"/>
        </w:rPr>
        <w:t>performance</w:t>
      </w:r>
      <w:r w:rsidR="00B42E61">
        <w:rPr>
          <w:rFonts w:ascii="Arial" w:eastAsiaTheme="majorEastAsia" w:hAnsi="Arial" w:cs="Arial"/>
          <w:color w:val="000000" w:themeColor="text1"/>
          <w:kern w:val="24"/>
        </w:rPr>
        <w:t xml:space="preserve"> and innovation ca</w:t>
      </w:r>
      <w:r w:rsidR="00F17710">
        <w:rPr>
          <w:rFonts w:ascii="Arial" w:eastAsiaTheme="majorEastAsia" w:hAnsi="Arial" w:cs="Arial"/>
          <w:color w:val="000000" w:themeColor="text1"/>
          <w:kern w:val="24"/>
        </w:rPr>
        <w:t xml:space="preserve">pabilities. The demand for highly qualified talent, particularly in areas such as digital skills and leadership, has intensified competition within the labour market (CIPD, 2022). </w:t>
      </w:r>
      <w:r w:rsidR="00FA4E32">
        <w:rPr>
          <w:rFonts w:ascii="Arial" w:eastAsiaTheme="majorEastAsia" w:hAnsi="Arial" w:cs="Arial"/>
          <w:color w:val="000000" w:themeColor="text1"/>
          <w:kern w:val="24"/>
        </w:rPr>
        <w:t xml:space="preserve">One of the main issues faced by Unilever is retaining employees in a dynamic and evolving work environment, Factors such a career development opportunities, work-life balance, and organisational culture play a significant role in influencing employee retention (Boxall and Purcell, 2016). If these factors are not effectively managed, the company may experience high employee turnover, which can lead to increased recruitment </w:t>
      </w:r>
      <w:r w:rsidR="00FA4E32">
        <w:rPr>
          <w:rFonts w:ascii="Arial" w:eastAsiaTheme="majorEastAsia" w:hAnsi="Arial" w:cs="Arial"/>
          <w:color w:val="000000" w:themeColor="text1"/>
          <w:kern w:val="24"/>
        </w:rPr>
        <w:lastRenderedPageBreak/>
        <w:t>costs and loss of organisational know</w:t>
      </w:r>
      <w:r w:rsidR="00F37243">
        <w:rPr>
          <w:rFonts w:ascii="Arial" w:eastAsiaTheme="majorEastAsia" w:hAnsi="Arial" w:cs="Arial"/>
          <w:color w:val="000000" w:themeColor="text1"/>
          <w:kern w:val="24"/>
        </w:rPr>
        <w:t>ledge. Additionally, changing employee expectations, particularly among younger generations, have made talent management more complex. Employees increasingly seek flexibility working arrangements, meaningful work, and opportunities for personal growth. As a result,</w:t>
      </w:r>
      <w:r w:rsidR="00021B1D">
        <w:rPr>
          <w:rFonts w:ascii="Arial" w:eastAsiaTheme="majorEastAsia" w:hAnsi="Arial" w:cs="Arial"/>
          <w:color w:val="000000" w:themeColor="text1"/>
          <w:kern w:val="24"/>
        </w:rPr>
        <w:t xml:space="preserve"> HR at the organisation must continuously adapt its strategies to meet these expectations while ensuring alignment with organisational objectives.</w:t>
      </w:r>
      <w:r w:rsidR="00F37243">
        <w:rPr>
          <w:rFonts w:ascii="Arial" w:eastAsiaTheme="majorEastAsia" w:hAnsi="Arial" w:cs="Arial"/>
          <w:color w:val="000000" w:themeColor="text1"/>
          <w:kern w:val="24"/>
        </w:rPr>
        <w:t xml:space="preserve"> Therefore, talent acquisition and retention remain a key HR challenge that directly impacts organisational stability and long-term success.</w:t>
      </w:r>
      <w:r w:rsidR="00242B68">
        <w:rPr>
          <w:rFonts w:ascii="Arial" w:eastAsiaTheme="majorEastAsia" w:hAnsi="Arial" w:cs="Arial"/>
          <w:color w:val="000000" w:themeColor="text1"/>
          <w:kern w:val="24"/>
        </w:rPr>
        <w:t xml:space="preserve"> </w:t>
      </w:r>
    </w:p>
    <w:p w14:paraId="5365EDB0" w14:textId="77777777" w:rsidR="00242B68" w:rsidRDefault="00242B68" w:rsidP="00273CD9">
      <w:pPr>
        <w:rPr>
          <w:rFonts w:ascii="Arial" w:eastAsiaTheme="majorEastAsia" w:hAnsi="Arial" w:cs="Arial"/>
          <w:color w:val="000000" w:themeColor="text1"/>
          <w:kern w:val="24"/>
        </w:rPr>
      </w:pPr>
    </w:p>
    <w:p w14:paraId="35251BA5" w14:textId="77777777" w:rsidR="00F37243" w:rsidRDefault="00F37243" w:rsidP="00273CD9">
      <w:pPr>
        <w:rPr>
          <w:rFonts w:ascii="Arial" w:eastAsiaTheme="majorEastAsia" w:hAnsi="Arial" w:cs="Arial"/>
          <w:color w:val="000000" w:themeColor="text1"/>
          <w:kern w:val="24"/>
        </w:rPr>
      </w:pPr>
    </w:p>
    <w:p w14:paraId="4DAC1BBC" w14:textId="51E56C9A" w:rsidR="00F37243" w:rsidRDefault="00F37243" w:rsidP="00E47DA1">
      <w:pPr>
        <w:pStyle w:val="Heading1"/>
      </w:pPr>
      <w:r>
        <w:t xml:space="preserve">                 </w:t>
      </w:r>
      <w:bookmarkStart w:id="5" w:name="_Toc228395450"/>
      <w:r>
        <w:t xml:space="preserve">3.3 Diversity, Equity and </w:t>
      </w:r>
      <w:r w:rsidR="00643EC7">
        <w:t>Inclusion (DEI)</w:t>
      </w:r>
      <w:bookmarkEnd w:id="5"/>
    </w:p>
    <w:p w14:paraId="0F7767DB" w14:textId="77777777" w:rsidR="00242B68" w:rsidRPr="00242B68" w:rsidRDefault="00242B68" w:rsidP="00242B68"/>
    <w:p w14:paraId="4ED8547A" w14:textId="448A6221" w:rsidR="00643EC7" w:rsidRDefault="00643EC7" w:rsidP="00273CD9">
      <w:pPr>
        <w:rPr>
          <w:rFonts w:ascii="Arial" w:eastAsiaTheme="majorEastAsia" w:hAnsi="Arial" w:cs="Arial"/>
          <w:color w:val="000000" w:themeColor="text1"/>
          <w:kern w:val="24"/>
        </w:rPr>
      </w:pPr>
      <w:r>
        <w:rPr>
          <w:rFonts w:ascii="Arial" w:eastAsiaTheme="majorEastAsia" w:hAnsi="Arial" w:cs="Arial"/>
          <w:color w:val="000000" w:themeColor="text1"/>
          <w:kern w:val="24"/>
        </w:rPr>
        <w:t xml:space="preserve">Diversity, equity and inclusion (DEI) represent a significant factor influencing human resource management within Unilever. As a global organisation operating across diverse cultural and social contexts, Unilever must ensure that its workforce reflects a wide range of backgrounds, perspectives, and experiences. </w:t>
      </w:r>
      <w:r w:rsidR="00386AED">
        <w:rPr>
          <w:rFonts w:ascii="Arial" w:eastAsiaTheme="majorEastAsia" w:hAnsi="Arial" w:cs="Arial"/>
          <w:color w:val="000000" w:themeColor="text1"/>
          <w:kern w:val="24"/>
        </w:rPr>
        <w:t>This creates both opportunities and challenges for HR in managing fairness and inclusion across all levels of the organisation (Shen et al., 2009). One of the key challenges for</w:t>
      </w:r>
      <w:r w:rsidR="00021B1D">
        <w:rPr>
          <w:rFonts w:ascii="Arial" w:eastAsiaTheme="majorEastAsia" w:hAnsi="Arial" w:cs="Arial"/>
          <w:color w:val="000000" w:themeColor="text1"/>
          <w:kern w:val="24"/>
        </w:rPr>
        <w:t xml:space="preserve"> organisation is</w:t>
      </w:r>
      <w:r w:rsidR="00386AED">
        <w:rPr>
          <w:rFonts w:ascii="Arial" w:eastAsiaTheme="majorEastAsia" w:hAnsi="Arial" w:cs="Arial"/>
          <w:color w:val="000000" w:themeColor="text1"/>
          <w:kern w:val="24"/>
        </w:rPr>
        <w:t xml:space="preserve"> ensuring equity in areas </w:t>
      </w:r>
      <w:r w:rsidR="000B6DF2">
        <w:rPr>
          <w:rFonts w:ascii="Arial" w:eastAsiaTheme="majorEastAsia" w:hAnsi="Arial" w:cs="Arial"/>
          <w:color w:val="000000" w:themeColor="text1"/>
          <w:kern w:val="24"/>
        </w:rPr>
        <w:t>such</w:t>
      </w:r>
      <w:r w:rsidR="00386AED">
        <w:rPr>
          <w:rFonts w:ascii="Arial" w:eastAsiaTheme="majorEastAsia" w:hAnsi="Arial" w:cs="Arial"/>
          <w:color w:val="000000" w:themeColor="text1"/>
          <w:kern w:val="24"/>
        </w:rPr>
        <w:t xml:space="preserve"> as recruitment, career progression, and pay. Despite </w:t>
      </w:r>
      <w:r w:rsidR="00021B1D">
        <w:rPr>
          <w:rFonts w:ascii="Arial" w:eastAsiaTheme="majorEastAsia" w:hAnsi="Arial" w:cs="Arial"/>
          <w:color w:val="000000" w:themeColor="text1"/>
          <w:kern w:val="24"/>
        </w:rPr>
        <w:t>strong commitments</w:t>
      </w:r>
      <w:r w:rsidR="00386AED">
        <w:rPr>
          <w:rFonts w:ascii="Arial" w:eastAsiaTheme="majorEastAsia" w:hAnsi="Arial" w:cs="Arial"/>
          <w:color w:val="000000" w:themeColor="text1"/>
          <w:kern w:val="24"/>
        </w:rPr>
        <w:t xml:space="preserve"> to equality, maintaining consistent standards across global operations can be complex due to differences in local cultures, regulations, and societal expectations</w:t>
      </w:r>
      <w:r w:rsidR="000B6DF2">
        <w:rPr>
          <w:rFonts w:ascii="Arial" w:eastAsiaTheme="majorEastAsia" w:hAnsi="Arial" w:cs="Arial"/>
          <w:color w:val="000000" w:themeColor="text1"/>
          <w:kern w:val="24"/>
        </w:rPr>
        <w:t xml:space="preserve">. </w:t>
      </w:r>
      <w:r w:rsidR="00386AED">
        <w:rPr>
          <w:rFonts w:ascii="Arial" w:eastAsiaTheme="majorEastAsia" w:hAnsi="Arial" w:cs="Arial"/>
          <w:color w:val="000000" w:themeColor="text1"/>
          <w:kern w:val="24"/>
        </w:rPr>
        <w:t xml:space="preserve"> </w:t>
      </w:r>
      <w:r w:rsidR="000B6DF2">
        <w:rPr>
          <w:rFonts w:ascii="Arial" w:eastAsiaTheme="majorEastAsia" w:hAnsi="Arial" w:cs="Arial"/>
          <w:color w:val="000000" w:themeColor="text1"/>
          <w:kern w:val="24"/>
        </w:rPr>
        <w:t>This</w:t>
      </w:r>
      <w:r w:rsidR="00386AED">
        <w:rPr>
          <w:rFonts w:ascii="Arial" w:eastAsiaTheme="majorEastAsia" w:hAnsi="Arial" w:cs="Arial"/>
          <w:color w:val="000000" w:themeColor="text1"/>
          <w:kern w:val="24"/>
        </w:rPr>
        <w:t xml:space="preserve"> may lead to potential inequalities if not carefully managed (CIPD, 2023). Furthermore, fostering an inclusive organisational culture is essential for employee engagement and performance. Employees </w:t>
      </w:r>
      <w:r w:rsidR="00325E1D">
        <w:rPr>
          <w:rFonts w:ascii="Arial" w:eastAsiaTheme="majorEastAsia" w:hAnsi="Arial" w:cs="Arial"/>
          <w:color w:val="000000" w:themeColor="text1"/>
          <w:kern w:val="24"/>
        </w:rPr>
        <w:t>are required</w:t>
      </w:r>
      <w:r w:rsidR="00386AED">
        <w:rPr>
          <w:rFonts w:ascii="Arial" w:eastAsiaTheme="majorEastAsia" w:hAnsi="Arial" w:cs="Arial"/>
          <w:color w:val="000000" w:themeColor="text1"/>
          <w:kern w:val="24"/>
        </w:rPr>
        <w:t xml:space="preserve"> to feel valued, respected, and included </w:t>
      </w:r>
      <w:r w:rsidR="000B6DF2">
        <w:rPr>
          <w:rFonts w:ascii="Arial" w:eastAsiaTheme="majorEastAsia" w:hAnsi="Arial" w:cs="Arial"/>
          <w:color w:val="000000" w:themeColor="text1"/>
          <w:kern w:val="24"/>
        </w:rPr>
        <w:t>regardless of their background. However, achieving true inclusion requires continuous effort, awareness, and training, particularly in large multinational organisations. Therefore, DEI remains a critical HR factor that influences employee satisfaction, organisational reputation, and overall business success.</w:t>
      </w:r>
    </w:p>
    <w:p w14:paraId="717FFB00" w14:textId="77777777" w:rsidR="000B6DF2" w:rsidRDefault="000B6DF2" w:rsidP="00273CD9">
      <w:pPr>
        <w:rPr>
          <w:rFonts w:ascii="Arial" w:eastAsiaTheme="majorEastAsia" w:hAnsi="Arial" w:cs="Arial"/>
          <w:color w:val="000000" w:themeColor="text1"/>
          <w:kern w:val="24"/>
        </w:rPr>
      </w:pPr>
    </w:p>
    <w:p w14:paraId="3B5F3239" w14:textId="77777777" w:rsidR="000B6DF2" w:rsidRPr="00643EC7" w:rsidRDefault="000B6DF2" w:rsidP="00273CD9">
      <w:pPr>
        <w:rPr>
          <w:rFonts w:ascii="Arial" w:eastAsiaTheme="majorEastAsia" w:hAnsi="Arial" w:cs="Arial"/>
          <w:color w:val="000000" w:themeColor="text1"/>
          <w:kern w:val="24"/>
        </w:rPr>
      </w:pPr>
    </w:p>
    <w:p w14:paraId="5E9DD3C5" w14:textId="77777777" w:rsidR="00EF1A33" w:rsidRPr="00EF1A33" w:rsidRDefault="00EF1A33" w:rsidP="00273CD9">
      <w:pPr>
        <w:rPr>
          <w:rFonts w:ascii="Arial" w:eastAsiaTheme="majorEastAsia" w:hAnsi="Arial" w:cs="Arial"/>
          <w:color w:val="000000" w:themeColor="text1"/>
          <w:kern w:val="24"/>
        </w:rPr>
      </w:pPr>
    </w:p>
    <w:p w14:paraId="653761D4" w14:textId="2D1D39BE" w:rsidR="00273CD9" w:rsidRPr="00D31D36" w:rsidRDefault="00242B68" w:rsidP="00D31D36">
      <w:pPr>
        <w:pStyle w:val="Heading1"/>
      </w:pPr>
      <w:r>
        <w:t xml:space="preserve"> </w:t>
      </w:r>
      <w:bookmarkStart w:id="6" w:name="_Toc228395451"/>
      <w:r w:rsidRPr="00D31D36">
        <w:t>4.Evaluation of Contemporary HR Practices in Unilever</w:t>
      </w:r>
      <w:bookmarkEnd w:id="6"/>
    </w:p>
    <w:p w14:paraId="1D5E6942" w14:textId="4A42DA25" w:rsidR="00242B68" w:rsidRDefault="00242B68" w:rsidP="00273CD9">
      <w:pPr>
        <w:rPr>
          <w:rFonts w:ascii="Arial" w:eastAsiaTheme="majorEastAsia" w:hAnsi="Arial" w:cs="Arial"/>
          <w:color w:val="000000" w:themeColor="text1"/>
          <w:kern w:val="24"/>
        </w:rPr>
      </w:pPr>
      <w:r>
        <w:rPr>
          <w:rFonts w:ascii="Arial" w:eastAsiaTheme="majorEastAsia" w:hAnsi="Arial" w:cs="Arial"/>
          <w:color w:val="000000" w:themeColor="text1"/>
          <w:kern w:val="24"/>
        </w:rPr>
        <w:t xml:space="preserve">This section evaluates the </w:t>
      </w:r>
      <w:r w:rsidR="009F6AA1">
        <w:rPr>
          <w:rFonts w:ascii="Arial" w:eastAsiaTheme="majorEastAsia" w:hAnsi="Arial" w:cs="Arial"/>
          <w:color w:val="000000" w:themeColor="text1"/>
          <w:kern w:val="24"/>
        </w:rPr>
        <w:t>contemporary</w:t>
      </w:r>
      <w:r>
        <w:rPr>
          <w:rFonts w:ascii="Arial" w:eastAsiaTheme="majorEastAsia" w:hAnsi="Arial" w:cs="Arial"/>
          <w:color w:val="000000" w:themeColor="text1"/>
          <w:kern w:val="24"/>
        </w:rPr>
        <w:t xml:space="preserve"> HR practices implemented by Unilever to address key workforce challenges. The focus is on how the organisation responds to technological advancement, talent acquisition and retention, and</w:t>
      </w:r>
      <w:r w:rsidR="009F6AA1">
        <w:rPr>
          <w:rFonts w:ascii="Arial" w:eastAsiaTheme="majorEastAsia" w:hAnsi="Arial" w:cs="Arial"/>
          <w:color w:val="000000" w:themeColor="text1"/>
          <w:kern w:val="24"/>
        </w:rPr>
        <w:t xml:space="preserve"> diversity, equity and inclusion (DEI). The effectiveness of these practices is critically </w:t>
      </w:r>
      <w:r w:rsidR="00325E1D">
        <w:rPr>
          <w:rFonts w:ascii="Arial" w:eastAsiaTheme="majorEastAsia" w:hAnsi="Arial" w:cs="Arial"/>
          <w:color w:val="000000" w:themeColor="text1"/>
          <w:kern w:val="24"/>
        </w:rPr>
        <w:t xml:space="preserve">evaluated </w:t>
      </w:r>
      <w:r w:rsidR="009F6AA1">
        <w:rPr>
          <w:rFonts w:ascii="Arial" w:eastAsiaTheme="majorEastAsia" w:hAnsi="Arial" w:cs="Arial"/>
          <w:color w:val="000000" w:themeColor="text1"/>
          <w:kern w:val="24"/>
        </w:rPr>
        <w:t xml:space="preserve"> in relation to organisational performance and employee outcomes. </w:t>
      </w:r>
    </w:p>
    <w:p w14:paraId="1F28D1FE" w14:textId="77777777" w:rsidR="009F6AA1" w:rsidRPr="00D31D36" w:rsidRDefault="009F6AA1" w:rsidP="00D31D36">
      <w:pPr>
        <w:pStyle w:val="Heading1"/>
      </w:pPr>
    </w:p>
    <w:p w14:paraId="126353B2" w14:textId="09B04BB8" w:rsidR="009F6AA1" w:rsidRPr="00D31D36" w:rsidRDefault="009F6AA1" w:rsidP="00D31D36">
      <w:pPr>
        <w:pStyle w:val="Heading1"/>
      </w:pPr>
      <w:bookmarkStart w:id="7" w:name="_Toc228395452"/>
      <w:r w:rsidRPr="00D31D36">
        <w:t>4.1 HR Practices for Technological</w:t>
      </w:r>
      <w:r w:rsidR="001E6AE9" w:rsidRPr="00D31D36">
        <w:t xml:space="preserve"> Advancement</w:t>
      </w:r>
      <w:bookmarkEnd w:id="7"/>
    </w:p>
    <w:p w14:paraId="2A8C709A" w14:textId="36B930D3" w:rsidR="001E6AE9" w:rsidRDefault="001E6AE9" w:rsidP="00273CD9">
      <w:pPr>
        <w:rPr>
          <w:rFonts w:ascii="Arial" w:eastAsiaTheme="majorEastAsia" w:hAnsi="Arial" w:cs="Arial"/>
          <w:color w:val="000000" w:themeColor="text1"/>
          <w:kern w:val="24"/>
        </w:rPr>
      </w:pPr>
      <w:r>
        <w:rPr>
          <w:rFonts w:ascii="Arial" w:eastAsiaTheme="majorEastAsia" w:hAnsi="Arial" w:cs="Arial"/>
          <w:color w:val="000000" w:themeColor="text1"/>
          <w:kern w:val="24"/>
        </w:rPr>
        <w:t xml:space="preserve">Unilever has implemented a range of HR practices to </w:t>
      </w:r>
      <w:r w:rsidR="005F3BA5">
        <w:rPr>
          <w:rFonts w:ascii="Arial" w:eastAsiaTheme="majorEastAsia" w:hAnsi="Arial" w:cs="Arial"/>
          <w:color w:val="000000" w:themeColor="text1"/>
          <w:kern w:val="24"/>
        </w:rPr>
        <w:t>address</w:t>
      </w:r>
      <w:r>
        <w:rPr>
          <w:rFonts w:ascii="Arial" w:eastAsiaTheme="majorEastAsia" w:hAnsi="Arial" w:cs="Arial"/>
          <w:color w:val="000000" w:themeColor="text1"/>
          <w:kern w:val="24"/>
        </w:rPr>
        <w:t xml:space="preserve"> the challenges associated with technological advancement. One of the key approaches is investment in employee </w:t>
      </w:r>
      <w:r w:rsidR="005F3BA5">
        <w:rPr>
          <w:rFonts w:ascii="Arial" w:eastAsiaTheme="majorEastAsia" w:hAnsi="Arial" w:cs="Arial"/>
          <w:color w:val="000000" w:themeColor="text1"/>
          <w:kern w:val="24"/>
        </w:rPr>
        <w:t xml:space="preserve">training and development programmes, particularly focused on digital skills and innovation. The company provides continuous learning opportunities through online platform and internal training systems, enabling employees to adapt to new technologies and changing job requirement (Unilever, 2023). In </w:t>
      </w:r>
      <w:r w:rsidR="00325E1D">
        <w:rPr>
          <w:rFonts w:ascii="Arial" w:eastAsiaTheme="majorEastAsia" w:hAnsi="Arial" w:cs="Arial"/>
          <w:color w:val="000000" w:themeColor="text1"/>
          <w:kern w:val="24"/>
        </w:rPr>
        <w:t xml:space="preserve">addition, the organisation </w:t>
      </w:r>
      <w:r w:rsidR="005F3BA5">
        <w:rPr>
          <w:rFonts w:ascii="Arial" w:eastAsiaTheme="majorEastAsia" w:hAnsi="Arial" w:cs="Arial"/>
          <w:color w:val="000000" w:themeColor="text1"/>
          <w:kern w:val="24"/>
        </w:rPr>
        <w:t xml:space="preserve"> has adopted digital HR systems and data-driven tools to improve workforce management and decision-making processes. These technologies allow HR to monitor employee performance, identify skills gaps, and plan workforce development more effectively (CIPD, 2023). </w:t>
      </w:r>
      <w:r w:rsidR="00FB42A0">
        <w:rPr>
          <w:rFonts w:ascii="Arial" w:eastAsiaTheme="majorEastAsia" w:hAnsi="Arial" w:cs="Arial"/>
          <w:color w:val="000000" w:themeColor="text1"/>
          <w:kern w:val="24"/>
        </w:rPr>
        <w:t xml:space="preserve">As a result, HR practices are becoming more strategic and aligned with organisational objectives. Furthermore, the organization promotes a culture of continuous learning and adaptability, encouraging employees to take responsibility for their own professional development. This supports smoother adaption to technological change and enhances organisational flexibility. However, although these practices are generally effective, some employees may struggle to adapt to new technologies at the same pace. This can create skill gaps within the organisation. Therefore, continuous support and targeted training remain essential to ensure long-term effectiveness. </w:t>
      </w:r>
    </w:p>
    <w:p w14:paraId="2BCB83B0" w14:textId="127EDACC" w:rsidR="00E15FA8" w:rsidRPr="00D31D36" w:rsidRDefault="00E15FA8" w:rsidP="00D31D36">
      <w:pPr>
        <w:pStyle w:val="Heading1"/>
      </w:pPr>
      <w:r>
        <w:t xml:space="preserve"> </w:t>
      </w:r>
      <w:bookmarkStart w:id="8" w:name="_Toc228395453"/>
      <w:r w:rsidRPr="00D31D36">
        <w:t>4.2 HR Practices for Talent Acquisition and Retention</w:t>
      </w:r>
      <w:bookmarkEnd w:id="8"/>
      <w:r w:rsidRPr="00D31D36">
        <w:t xml:space="preserve"> </w:t>
      </w:r>
    </w:p>
    <w:p w14:paraId="39A17BC9" w14:textId="3BA1CFC8" w:rsidR="00E15FA8" w:rsidRDefault="00E15FA8" w:rsidP="00273CD9">
      <w:pPr>
        <w:rPr>
          <w:rFonts w:ascii="Arial" w:eastAsiaTheme="majorEastAsia" w:hAnsi="Arial" w:cs="Arial"/>
          <w:color w:val="000000" w:themeColor="text1"/>
          <w:kern w:val="24"/>
        </w:rPr>
      </w:pPr>
      <w:r>
        <w:rPr>
          <w:rFonts w:ascii="Arial" w:eastAsiaTheme="majorEastAsia" w:hAnsi="Arial" w:cs="Arial"/>
          <w:color w:val="000000" w:themeColor="text1"/>
          <w:kern w:val="24"/>
        </w:rPr>
        <w:t>Unilever implements a range of HR practices to attack and retain talented employees in a highly competitive labour market. One key approach is the development of a strong employer brand, which highlights the company’s values, sustainability goals, and career development opportunities. This helps to attract high-quality candidates who are aligned with the organisation’s culture and long-term vision (CIPD, 2022). In addition, Unilever offers competitive reward systems, including salaries, bonuses, and non-financial benefi</w:t>
      </w:r>
      <w:r w:rsidR="000732D3">
        <w:rPr>
          <w:rFonts w:ascii="Arial" w:eastAsiaTheme="majorEastAsia" w:hAnsi="Arial" w:cs="Arial"/>
          <w:color w:val="000000" w:themeColor="text1"/>
          <w:kern w:val="24"/>
        </w:rPr>
        <w:t xml:space="preserve">ts such as flexible working arrangements and well-being initiatives. These practices contribute to higher levels of employee satisfaction and engagement, which are essential or retaining talent (Boxall and Purcell, 2016). The organisation also focuses on career development through training programmes, leadership development, and internal promotion opportunities. This encourages employees to remain within the company and build long-term careers. However, despite these efforts, retaining talent remains challenging due to increasing employee expectations and external competition. Some employees may still leave in search of better opportunities or greater flexibility. Therefore, while Unilever’s HR practices are generally effective, continuous adaptation is necessary to meet changing workforce demands and ensure long-term retention. </w:t>
      </w:r>
    </w:p>
    <w:p w14:paraId="0E766247" w14:textId="77777777" w:rsidR="000732D3" w:rsidRDefault="000732D3" w:rsidP="00273CD9">
      <w:pPr>
        <w:rPr>
          <w:rFonts w:ascii="Arial" w:eastAsiaTheme="majorEastAsia" w:hAnsi="Arial" w:cs="Arial"/>
          <w:color w:val="000000" w:themeColor="text1"/>
          <w:kern w:val="24"/>
        </w:rPr>
      </w:pPr>
    </w:p>
    <w:p w14:paraId="23F31632" w14:textId="7CF8EC34" w:rsidR="00CC3CB3" w:rsidRPr="00D31D36" w:rsidRDefault="00CC3CB3" w:rsidP="00D31D36">
      <w:pPr>
        <w:pStyle w:val="Heading1"/>
      </w:pPr>
      <w:bookmarkStart w:id="9" w:name="_Toc228395454"/>
      <w:r w:rsidRPr="00D31D36">
        <w:t>5. Critical Evaluation o Managerial Implementation</w:t>
      </w:r>
      <w:bookmarkEnd w:id="9"/>
    </w:p>
    <w:p w14:paraId="0233CC79" w14:textId="35E5B8FC" w:rsidR="00CC3CB3" w:rsidRDefault="00CC3CB3" w:rsidP="00273CD9">
      <w:pPr>
        <w:rPr>
          <w:rFonts w:ascii="Arial" w:eastAsiaTheme="majorEastAsia" w:hAnsi="Arial" w:cs="Arial"/>
          <w:color w:val="000000" w:themeColor="text1"/>
          <w:kern w:val="24"/>
        </w:rPr>
      </w:pPr>
      <w:r w:rsidRPr="00CC3CB3">
        <w:rPr>
          <w:rFonts w:ascii="Arial" w:eastAsiaTheme="majorEastAsia" w:hAnsi="Arial" w:cs="Arial"/>
          <w:color w:val="000000" w:themeColor="text1"/>
          <w:kern w:val="24"/>
        </w:rPr>
        <w:t xml:space="preserve">Departmental </w:t>
      </w:r>
      <w:r>
        <w:rPr>
          <w:rFonts w:ascii="Arial" w:eastAsiaTheme="majorEastAsia" w:hAnsi="Arial" w:cs="Arial"/>
          <w:color w:val="000000" w:themeColor="text1"/>
          <w:kern w:val="24"/>
        </w:rPr>
        <w:t xml:space="preserve">managers within Unilever play a crucial role in ensuring that contemporary HR practices are effectively implemented across the organisation. While HR policies and strategies are designed at a corporate level, their success largely depends on how managers apply them in daily operations. Therefore, managerial commitment, leadership capability, and </w:t>
      </w:r>
      <w:r>
        <w:rPr>
          <w:rFonts w:ascii="Arial" w:eastAsiaTheme="majorEastAsia" w:hAnsi="Arial" w:cs="Arial"/>
          <w:color w:val="000000" w:themeColor="text1"/>
          <w:kern w:val="24"/>
        </w:rPr>
        <w:lastRenderedPageBreak/>
        <w:t xml:space="preserve">communication are key actors in transiting HR strategies into practice (Armstrong, 2020). </w:t>
      </w:r>
      <w:r w:rsidR="00C331A4">
        <w:rPr>
          <w:rFonts w:ascii="Arial" w:eastAsiaTheme="majorEastAsia" w:hAnsi="Arial" w:cs="Arial"/>
          <w:color w:val="000000" w:themeColor="text1"/>
          <w:kern w:val="24"/>
        </w:rPr>
        <w:t>In the contest o technological advancement, managers are responsible for engage with training and development initiatives. By promoting continuous learning and supporting employees during digital transformation, managers can reduce resistance to change and improve skills development. However, the effectiveness o this approach depends on the level of support provided and the ability of managers to recognise individual learning needs. Regarding talent acquisition and retention, managers contribute by creating a positive work environment that supports employee engagement and satisfaction. This includes providing regular feedback, recognising employee performance, and supporting career development. Managers who actively engage with their</w:t>
      </w:r>
      <w:r w:rsidR="00D259E7">
        <w:rPr>
          <w:rFonts w:ascii="Arial" w:eastAsiaTheme="majorEastAsia" w:hAnsi="Arial" w:cs="Arial"/>
          <w:color w:val="000000" w:themeColor="text1"/>
          <w:kern w:val="24"/>
        </w:rPr>
        <w:t xml:space="preserve"> teams are more likely to retain skilled employees and reduce turnover. Nevertheless, inconsistent management practices across departments may limit the overall effectiveness of these strategies. </w:t>
      </w:r>
      <w:r w:rsidR="00821727">
        <w:rPr>
          <w:rFonts w:ascii="Arial" w:eastAsiaTheme="majorEastAsia" w:hAnsi="Arial" w:cs="Arial"/>
          <w:color w:val="000000" w:themeColor="text1"/>
          <w:kern w:val="24"/>
        </w:rPr>
        <w:t xml:space="preserve">In terms of diversity, equity and inclusion (DEI), managers play a critical role in promoting inclusive behaviours and ensuring fair treatment of employees. They are responsible for implementing organisational policies related to equality and inclusion, as well as addressing any issues of discrimination or bias. Strong leadership in this area can enhance team cohesion and organisational culture. However, a lack of awareness or training may reduce the impact of these initiatives. </w:t>
      </w:r>
      <w:r w:rsidR="00DF799E">
        <w:rPr>
          <w:rFonts w:ascii="Arial" w:eastAsiaTheme="majorEastAsia" w:hAnsi="Arial" w:cs="Arial"/>
          <w:color w:val="000000" w:themeColor="text1"/>
          <w:kern w:val="24"/>
        </w:rPr>
        <w:t>To ensure that these HR practices are implemented as a matter of urgency, managers must prioritise clear communica</w:t>
      </w:r>
      <w:r w:rsidR="000D72EF">
        <w:rPr>
          <w:rFonts w:ascii="Arial" w:eastAsiaTheme="majorEastAsia" w:hAnsi="Arial" w:cs="Arial"/>
          <w:color w:val="000000" w:themeColor="text1"/>
          <w:kern w:val="24"/>
        </w:rPr>
        <w:t xml:space="preserve">tion, set measurable objectives, and monitor progress regularly. The use of performance indicators (KPLs) and regular feedback mechanisms can support accountability and continuous improvement. In addition, leadership support and organisational commitment are essential to reinforce the importance of these practices. Overall, while Unilever has established effective HR strategies, the role of departmental managers remains critical in ensuring their successful and timely implementation. Continuous development of </w:t>
      </w:r>
      <w:r w:rsidR="00E44F83">
        <w:rPr>
          <w:rFonts w:ascii="Arial" w:eastAsiaTheme="majorEastAsia" w:hAnsi="Arial" w:cs="Arial"/>
          <w:color w:val="000000" w:themeColor="text1"/>
          <w:kern w:val="24"/>
        </w:rPr>
        <w:t>managerial skills and consistent application of HR policies are necessary to achieve long-term organisational success.</w:t>
      </w:r>
    </w:p>
    <w:p w14:paraId="2E397439" w14:textId="77777777" w:rsidR="00E44F83" w:rsidRDefault="00E44F83" w:rsidP="00273CD9">
      <w:pPr>
        <w:rPr>
          <w:rFonts w:ascii="Arial" w:eastAsiaTheme="majorEastAsia" w:hAnsi="Arial" w:cs="Arial"/>
          <w:color w:val="000000" w:themeColor="text1"/>
          <w:kern w:val="24"/>
        </w:rPr>
      </w:pPr>
    </w:p>
    <w:p w14:paraId="5BD64A33" w14:textId="21577050" w:rsidR="00E44F83" w:rsidRPr="00D31D36" w:rsidRDefault="00E44F83" w:rsidP="00D31D36">
      <w:pPr>
        <w:pStyle w:val="Heading1"/>
      </w:pPr>
      <w:bookmarkStart w:id="10" w:name="_Toc228395455"/>
      <w:r w:rsidRPr="00D31D36">
        <w:t>6. Conclusion and Recommendations</w:t>
      </w:r>
      <w:bookmarkEnd w:id="10"/>
      <w:r w:rsidRPr="00D31D36">
        <w:t xml:space="preserve"> </w:t>
      </w:r>
    </w:p>
    <w:p w14:paraId="69B2B2BE" w14:textId="77777777" w:rsidR="00E44F83" w:rsidRDefault="00E44F83" w:rsidP="00273CD9">
      <w:pPr>
        <w:rPr>
          <w:rFonts w:ascii="Arial" w:eastAsiaTheme="majorEastAsia" w:hAnsi="Arial" w:cs="Arial"/>
          <w:b/>
          <w:bCs/>
          <w:color w:val="000000" w:themeColor="text1"/>
          <w:kern w:val="24"/>
          <w:sz w:val="28"/>
          <w:szCs w:val="28"/>
        </w:rPr>
      </w:pPr>
    </w:p>
    <w:p w14:paraId="54E092C6" w14:textId="0AC23227" w:rsidR="00E44F83" w:rsidRPr="00D31D36" w:rsidRDefault="00E44F83" w:rsidP="00D31D36">
      <w:pPr>
        <w:pStyle w:val="Heading2"/>
      </w:pPr>
      <w:bookmarkStart w:id="11" w:name="_Toc228395456"/>
      <w:r w:rsidRPr="00D31D36">
        <w:t>Conclusion</w:t>
      </w:r>
      <w:bookmarkEnd w:id="11"/>
      <w:r w:rsidRPr="00D31D36">
        <w:t xml:space="preserve"> </w:t>
      </w:r>
    </w:p>
    <w:p w14:paraId="76403EA5" w14:textId="77777777" w:rsidR="00D31D36" w:rsidRDefault="00E44F83" w:rsidP="00D31D36">
      <w:pPr>
        <w:rPr>
          <w:rFonts w:ascii="Arial" w:eastAsiaTheme="majorEastAsia" w:hAnsi="Arial" w:cs="Arial"/>
          <w:color w:val="000000" w:themeColor="text1"/>
          <w:kern w:val="24"/>
        </w:rPr>
      </w:pPr>
      <w:r>
        <w:rPr>
          <w:rFonts w:ascii="Arial" w:eastAsiaTheme="majorEastAsia" w:hAnsi="Arial" w:cs="Arial"/>
          <w:color w:val="000000" w:themeColor="text1"/>
          <w:kern w:val="24"/>
        </w:rPr>
        <w:t xml:space="preserve"> In conclusion, Unilever operates in a complex and dynamic business environment where human resource management plays a vital role in maintaining organisational performance and competitiveness. The analysis has shown that key factors such as technological advancement, talent acquisition and retention, and diversity, equity and inclusion (DEI) significantly influence the company’s workforce management.</w:t>
      </w:r>
      <w:r w:rsidR="00AB23E2">
        <w:rPr>
          <w:rFonts w:ascii="Arial" w:eastAsiaTheme="majorEastAsia" w:hAnsi="Arial" w:cs="Arial"/>
          <w:color w:val="000000" w:themeColor="text1"/>
          <w:kern w:val="24"/>
        </w:rPr>
        <w:t xml:space="preserve"> Unilever has implemented a range of contemporary HR practices to address these challenges, including </w:t>
      </w:r>
      <w:r w:rsidR="00E20831">
        <w:rPr>
          <w:rFonts w:ascii="Arial" w:eastAsiaTheme="majorEastAsia" w:hAnsi="Arial" w:cs="Arial"/>
          <w:color w:val="000000" w:themeColor="text1"/>
          <w:kern w:val="24"/>
        </w:rPr>
        <w:t>investment</w:t>
      </w:r>
      <w:r w:rsidR="00AB23E2">
        <w:rPr>
          <w:rFonts w:ascii="Arial" w:eastAsiaTheme="majorEastAsia" w:hAnsi="Arial" w:cs="Arial"/>
          <w:color w:val="000000" w:themeColor="text1"/>
          <w:kern w:val="24"/>
        </w:rPr>
        <w:t xml:space="preserve"> in digital training, strong employer branding, flexible working </w:t>
      </w:r>
      <w:r w:rsidR="00E20831">
        <w:rPr>
          <w:rFonts w:ascii="Arial" w:eastAsiaTheme="majorEastAsia" w:hAnsi="Arial" w:cs="Arial"/>
          <w:color w:val="000000" w:themeColor="text1"/>
          <w:kern w:val="24"/>
        </w:rPr>
        <w:t>arrangements</w:t>
      </w:r>
      <w:r w:rsidR="00AB23E2">
        <w:rPr>
          <w:rFonts w:ascii="Arial" w:eastAsiaTheme="majorEastAsia" w:hAnsi="Arial" w:cs="Arial"/>
          <w:color w:val="000000" w:themeColor="text1"/>
          <w:kern w:val="24"/>
        </w:rPr>
        <w:t xml:space="preserve">, and inclusive </w:t>
      </w:r>
      <w:r w:rsidR="00E20831">
        <w:rPr>
          <w:rFonts w:ascii="Arial" w:eastAsiaTheme="majorEastAsia" w:hAnsi="Arial" w:cs="Arial"/>
          <w:color w:val="000000" w:themeColor="text1"/>
          <w:kern w:val="24"/>
        </w:rPr>
        <w:t xml:space="preserve">workplace policies (Unilever, 2023). These practices contribute positively to employee development, engagement, and organisational effectiveness. However, the evaluation has also highlighted certain limitations, particularly in relation to the consistency o implementation and the ability to meet evolving employee expectations. The role of departmental managers has been identified as critical in ensuring that HR strategies are effectively applied in practice. </w:t>
      </w:r>
      <w:r w:rsidR="00580A55">
        <w:rPr>
          <w:rFonts w:ascii="Arial" w:eastAsiaTheme="majorEastAsia" w:hAnsi="Arial" w:cs="Arial"/>
          <w:color w:val="000000" w:themeColor="text1"/>
          <w:kern w:val="24"/>
        </w:rPr>
        <w:t>Without</w:t>
      </w:r>
      <w:r w:rsidR="00E20831">
        <w:rPr>
          <w:rFonts w:ascii="Arial" w:eastAsiaTheme="majorEastAsia" w:hAnsi="Arial" w:cs="Arial"/>
          <w:color w:val="000000" w:themeColor="text1"/>
          <w:kern w:val="24"/>
        </w:rPr>
        <w:t xml:space="preserve"> strong leadership, communication, and ongoing support, even well-designed HR practices may not achieve their intended outcomes. </w:t>
      </w:r>
    </w:p>
    <w:p w14:paraId="3757B90F" w14:textId="0FE23AEF" w:rsidR="00580A55" w:rsidRPr="00D31D36" w:rsidRDefault="00580A55" w:rsidP="00D31D36">
      <w:pPr>
        <w:pStyle w:val="Heading2"/>
      </w:pPr>
      <w:bookmarkStart w:id="12" w:name="_Toc228395457"/>
      <w:r w:rsidRPr="00D31D36">
        <w:lastRenderedPageBreak/>
        <w:t>Recommendations</w:t>
      </w:r>
      <w:bookmarkEnd w:id="12"/>
    </w:p>
    <w:p w14:paraId="1F560614" w14:textId="77777777" w:rsidR="00580A55" w:rsidRDefault="00580A55" w:rsidP="00580A55">
      <w:pPr>
        <w:rPr>
          <w:rFonts w:ascii="Arial" w:eastAsiaTheme="majorEastAsia" w:hAnsi="Arial" w:cs="Arial"/>
          <w:color w:val="000000" w:themeColor="text1"/>
          <w:kern w:val="24"/>
        </w:rPr>
      </w:pPr>
    </w:p>
    <w:p w14:paraId="5CC8ADB7" w14:textId="221816A1" w:rsidR="00580A55" w:rsidRDefault="00223128" w:rsidP="00580A55">
      <w:pPr>
        <w:rPr>
          <w:rFonts w:ascii="Arial" w:eastAsiaTheme="majorEastAsia" w:hAnsi="Arial" w:cs="Arial"/>
          <w:color w:val="000000" w:themeColor="text1"/>
          <w:kern w:val="24"/>
        </w:rPr>
      </w:pPr>
      <w:r>
        <w:rPr>
          <w:rFonts w:ascii="Arial" w:eastAsiaTheme="majorEastAsia" w:hAnsi="Arial" w:cs="Arial"/>
          <w:color w:val="000000" w:themeColor="text1"/>
          <w:kern w:val="24"/>
        </w:rPr>
        <w:t xml:space="preserve"> Based on the analysis, several recommendations can be made to improve HR effectiveness within Unilever. Firstly, the company should continue to invest in targeted training programmes to support employees who may struggle to adapt to technological changes. This would help reduce skill gaps and improve overall workforce capability. Secondly, Unilever should enhance its retention strategies by further developing personalised career development plans and increasing flexibility in working arrangements to meet diverse employee needs (GIPD, 2023). Finally, the organisation should strengthen the monitoring of DEI initiatives to ensure consistency across all regions. This could </w:t>
      </w:r>
      <w:r w:rsidR="00076411">
        <w:rPr>
          <w:rFonts w:ascii="Arial" w:eastAsiaTheme="majorEastAsia" w:hAnsi="Arial" w:cs="Arial"/>
          <w:color w:val="000000" w:themeColor="text1"/>
          <w:kern w:val="24"/>
        </w:rPr>
        <w:t>include</w:t>
      </w:r>
      <w:r>
        <w:rPr>
          <w:rFonts w:ascii="Arial" w:eastAsiaTheme="majorEastAsia" w:hAnsi="Arial" w:cs="Arial"/>
          <w:color w:val="000000" w:themeColor="text1"/>
          <w:kern w:val="24"/>
        </w:rPr>
        <w:t xml:space="preserve"> regular assessments, improved data tracking, and increased accountability at </w:t>
      </w:r>
      <w:r w:rsidR="00076411">
        <w:rPr>
          <w:rFonts w:ascii="Arial" w:eastAsiaTheme="majorEastAsia" w:hAnsi="Arial" w:cs="Arial"/>
          <w:color w:val="000000" w:themeColor="text1"/>
          <w:kern w:val="24"/>
        </w:rPr>
        <w:t xml:space="preserve">managerial level. By implementing these recommendations, Unilever can further strengthen its HR practices and ensure long-term organisational success in an increasingly competitive environment. </w:t>
      </w:r>
    </w:p>
    <w:p w14:paraId="40AF110A" w14:textId="77777777" w:rsidR="00F63A13" w:rsidRDefault="00F63A13" w:rsidP="00580A55">
      <w:pPr>
        <w:rPr>
          <w:rFonts w:ascii="Arial" w:eastAsiaTheme="majorEastAsia" w:hAnsi="Arial" w:cs="Arial"/>
          <w:color w:val="000000" w:themeColor="text1"/>
          <w:kern w:val="24"/>
        </w:rPr>
      </w:pPr>
    </w:p>
    <w:p w14:paraId="688705D2" w14:textId="1FF09867" w:rsidR="00076411" w:rsidRPr="00D31D36" w:rsidRDefault="00F63A13" w:rsidP="00D31D36">
      <w:pPr>
        <w:pStyle w:val="Heading1"/>
      </w:pPr>
      <w:r w:rsidRPr="00D31D36">
        <w:t xml:space="preserve">                        </w:t>
      </w:r>
      <w:r w:rsidR="00076411" w:rsidRPr="00D31D36">
        <w:t xml:space="preserve"> </w:t>
      </w:r>
      <w:bookmarkStart w:id="13" w:name="_Toc228395458"/>
      <w:r w:rsidR="00076411" w:rsidRPr="00D31D36">
        <w:t>7. Reference list</w:t>
      </w:r>
      <w:bookmarkEnd w:id="13"/>
    </w:p>
    <w:p w14:paraId="72AA8AB8" w14:textId="77777777" w:rsidR="00F63A13" w:rsidRPr="00076411" w:rsidRDefault="00F63A13" w:rsidP="00580A55">
      <w:pPr>
        <w:rPr>
          <w:rFonts w:ascii="Arial" w:eastAsiaTheme="majorEastAsia" w:hAnsi="Arial" w:cs="Arial"/>
          <w:b/>
          <w:bCs/>
          <w:color w:val="000000" w:themeColor="text1"/>
          <w:kern w:val="24"/>
          <w:sz w:val="28"/>
          <w:szCs w:val="28"/>
        </w:rPr>
      </w:pPr>
    </w:p>
    <w:p w14:paraId="15F3D58C" w14:textId="762DD863" w:rsidR="009F6AA1" w:rsidRDefault="00F63A13" w:rsidP="00273CD9">
      <w:pPr>
        <w:rPr>
          <w:rFonts w:ascii="Arial" w:hAnsi="Arial" w:cs="Arial"/>
        </w:rPr>
      </w:pPr>
      <w:r>
        <w:rPr>
          <w:rFonts w:ascii="Arial" w:eastAsiaTheme="majorEastAsia" w:hAnsi="Arial" w:cs="Arial"/>
          <w:b/>
          <w:bCs/>
          <w:color w:val="000000" w:themeColor="text1"/>
          <w:kern w:val="24"/>
        </w:rPr>
        <w:t xml:space="preserve">1. </w:t>
      </w:r>
      <w:r w:rsidR="00D31D36">
        <w:rPr>
          <w:rFonts w:ascii="Arial" w:eastAsiaTheme="majorEastAsia" w:hAnsi="Arial" w:cs="Arial"/>
          <w:b/>
          <w:bCs/>
          <w:color w:val="000000" w:themeColor="text1"/>
          <w:kern w:val="24"/>
        </w:rPr>
        <w:t xml:space="preserve"> </w:t>
      </w:r>
      <w:r w:rsidRPr="00F63A13">
        <w:rPr>
          <w:rFonts w:ascii="Arial" w:hAnsi="Arial" w:cs="Arial"/>
        </w:rPr>
        <w:t xml:space="preserve">Armstrong, M. (2020) </w:t>
      </w:r>
      <w:r w:rsidRPr="00F63A13">
        <w:rPr>
          <w:rStyle w:val="Emphasis"/>
          <w:rFonts w:ascii="Arial" w:hAnsi="Arial" w:cs="Arial"/>
        </w:rPr>
        <w:t>Armstrong’s Handbook of Human Resource Management Practice</w:t>
      </w:r>
      <w:r w:rsidRPr="00F63A13">
        <w:rPr>
          <w:rFonts w:ascii="Arial" w:hAnsi="Arial" w:cs="Arial"/>
        </w:rPr>
        <w:t xml:space="preserve">. 15th </w:t>
      </w:r>
      <w:proofErr w:type="spellStart"/>
      <w:r w:rsidRPr="00F63A13">
        <w:rPr>
          <w:rFonts w:ascii="Arial" w:hAnsi="Arial" w:cs="Arial"/>
        </w:rPr>
        <w:t>edn</w:t>
      </w:r>
      <w:proofErr w:type="spellEnd"/>
      <w:r w:rsidRPr="00F63A13">
        <w:rPr>
          <w:rFonts w:ascii="Arial" w:hAnsi="Arial" w:cs="Arial"/>
        </w:rPr>
        <w:t>. London: Kogan Page.</w:t>
      </w:r>
    </w:p>
    <w:p w14:paraId="586D9465" w14:textId="35C8DF5E" w:rsidR="00F63A13" w:rsidRDefault="00F63A13" w:rsidP="00273CD9">
      <w:r>
        <w:rPr>
          <w:rFonts w:ascii="Arial" w:hAnsi="Arial" w:cs="Arial"/>
          <w:b/>
          <w:bCs/>
        </w:rPr>
        <w:t xml:space="preserve">2. </w:t>
      </w:r>
      <w:r w:rsidR="00D31D36">
        <w:rPr>
          <w:rFonts w:ascii="Arial" w:hAnsi="Arial" w:cs="Arial"/>
          <w:b/>
          <w:bCs/>
        </w:rPr>
        <w:t xml:space="preserve"> </w:t>
      </w:r>
      <w:r w:rsidRPr="00F63A13">
        <w:rPr>
          <w:rFonts w:ascii="Arial" w:hAnsi="Arial" w:cs="Arial"/>
        </w:rPr>
        <w:t xml:space="preserve">Boxall, P. and Purcell, J. (2016) </w:t>
      </w:r>
      <w:r w:rsidRPr="00F63A13">
        <w:rPr>
          <w:rStyle w:val="Emphasis"/>
          <w:rFonts w:ascii="Arial" w:hAnsi="Arial" w:cs="Arial"/>
        </w:rPr>
        <w:t>Strategy and Human Resource Management</w:t>
      </w:r>
      <w:r w:rsidRPr="00F63A13">
        <w:rPr>
          <w:rFonts w:ascii="Arial" w:hAnsi="Arial" w:cs="Arial"/>
        </w:rPr>
        <w:t xml:space="preserve">. 4th </w:t>
      </w:r>
      <w:proofErr w:type="spellStart"/>
      <w:r w:rsidRPr="00F63A13">
        <w:rPr>
          <w:rFonts w:ascii="Arial" w:hAnsi="Arial" w:cs="Arial"/>
        </w:rPr>
        <w:t>edn</w:t>
      </w:r>
      <w:proofErr w:type="spellEnd"/>
      <w:r w:rsidRPr="00F63A13">
        <w:rPr>
          <w:rFonts w:ascii="Arial" w:hAnsi="Arial" w:cs="Arial"/>
        </w:rPr>
        <w:t>. London: Palgrave Macmillan</w:t>
      </w:r>
      <w:r>
        <w:t>.</w:t>
      </w:r>
    </w:p>
    <w:p w14:paraId="231FA39C" w14:textId="3D104F8E" w:rsidR="00F63A13" w:rsidRDefault="00F63A13" w:rsidP="00273CD9">
      <w:pPr>
        <w:rPr>
          <w:rFonts w:ascii="Arial" w:hAnsi="Arial" w:cs="Arial"/>
        </w:rPr>
      </w:pPr>
      <w:r>
        <w:rPr>
          <w:b/>
          <w:bCs/>
        </w:rPr>
        <w:t>3</w:t>
      </w:r>
      <w:r w:rsidRPr="00F63A13">
        <w:rPr>
          <w:rFonts w:ascii="Arial" w:hAnsi="Arial" w:cs="Arial"/>
          <w:b/>
          <w:bCs/>
        </w:rPr>
        <w:t>.</w:t>
      </w:r>
      <w:r w:rsidR="00D31D36">
        <w:rPr>
          <w:rFonts w:ascii="Arial" w:hAnsi="Arial" w:cs="Arial"/>
          <w:b/>
          <w:bCs/>
        </w:rPr>
        <w:t xml:space="preserve"> </w:t>
      </w:r>
      <w:r w:rsidRPr="00F63A13">
        <w:rPr>
          <w:rFonts w:ascii="Arial" w:hAnsi="Arial" w:cs="Arial"/>
        </w:rPr>
        <w:t xml:space="preserve"> CIPD (2022) </w:t>
      </w:r>
      <w:r w:rsidRPr="00F63A13">
        <w:rPr>
          <w:rFonts w:ascii="Arial" w:hAnsi="Arial" w:cs="Arial"/>
          <w:i/>
          <w:iCs/>
        </w:rPr>
        <w:t>Labour market outlook</w:t>
      </w:r>
      <w:r w:rsidRPr="00F63A13">
        <w:rPr>
          <w:rFonts w:ascii="Arial" w:hAnsi="Arial" w:cs="Arial"/>
        </w:rPr>
        <w:t xml:space="preserve">. Available at: </w:t>
      </w:r>
      <w:hyperlink r:id="rId7" w:tgtFrame="_new" w:history="1">
        <w:r w:rsidRPr="00F63A13">
          <w:rPr>
            <w:rFonts w:ascii="Arial" w:hAnsi="Arial" w:cs="Arial"/>
            <w:color w:val="0000FF"/>
            <w:u w:val="single"/>
          </w:rPr>
          <w:t>https://www.cipd.co.uk</w:t>
        </w:r>
      </w:hyperlink>
      <w:r w:rsidRPr="00F63A13">
        <w:rPr>
          <w:rFonts w:ascii="Arial" w:hAnsi="Arial" w:cs="Arial"/>
        </w:rPr>
        <w:t xml:space="preserve"> (Accessed: 20 April 2026).</w:t>
      </w:r>
    </w:p>
    <w:p w14:paraId="3B327104" w14:textId="5B8CA12E" w:rsidR="00F63A13" w:rsidRDefault="00F63A13" w:rsidP="00273CD9">
      <w:pPr>
        <w:rPr>
          <w:rFonts w:ascii="Arial" w:hAnsi="Arial" w:cs="Arial"/>
        </w:rPr>
      </w:pPr>
      <w:r>
        <w:rPr>
          <w:rFonts w:ascii="Arial" w:eastAsiaTheme="majorEastAsia" w:hAnsi="Arial" w:cs="Arial"/>
          <w:b/>
          <w:bCs/>
          <w:color w:val="000000" w:themeColor="text1"/>
          <w:kern w:val="24"/>
        </w:rPr>
        <w:t>4.</w:t>
      </w:r>
      <w:r w:rsidRPr="00F63A13">
        <w:t xml:space="preserve"> </w:t>
      </w:r>
      <w:r w:rsidR="00D31D36">
        <w:t xml:space="preserve"> </w:t>
      </w:r>
      <w:r w:rsidRPr="00F63A13">
        <w:rPr>
          <w:rFonts w:ascii="Arial" w:hAnsi="Arial" w:cs="Arial"/>
        </w:rPr>
        <w:t xml:space="preserve">CIPD (2023) </w:t>
      </w:r>
      <w:r w:rsidRPr="00F63A13">
        <w:rPr>
          <w:rFonts w:ascii="Arial" w:hAnsi="Arial" w:cs="Arial"/>
          <w:i/>
          <w:iCs/>
        </w:rPr>
        <w:t>People management and development</w:t>
      </w:r>
      <w:r w:rsidRPr="00F63A13">
        <w:rPr>
          <w:rFonts w:ascii="Arial" w:hAnsi="Arial" w:cs="Arial"/>
        </w:rPr>
        <w:t xml:space="preserve">. Available at: </w:t>
      </w:r>
      <w:hyperlink r:id="rId8" w:tgtFrame="_new" w:history="1">
        <w:r w:rsidRPr="00F63A13">
          <w:rPr>
            <w:rFonts w:ascii="Arial" w:hAnsi="Arial" w:cs="Arial"/>
            <w:color w:val="0000FF"/>
            <w:u w:val="single"/>
          </w:rPr>
          <w:t>https://www.cipd.co.uk</w:t>
        </w:r>
      </w:hyperlink>
      <w:r w:rsidRPr="00F63A13">
        <w:rPr>
          <w:rFonts w:ascii="Arial" w:hAnsi="Arial" w:cs="Arial"/>
        </w:rPr>
        <w:t xml:space="preserve"> (Accessed: 20 April 2026).</w:t>
      </w:r>
    </w:p>
    <w:p w14:paraId="3A619A80" w14:textId="1770C044" w:rsidR="00F63A13" w:rsidRDefault="00F63A13" w:rsidP="00273CD9">
      <w:pPr>
        <w:rPr>
          <w:rFonts w:ascii="Arial" w:hAnsi="Arial" w:cs="Arial"/>
        </w:rPr>
      </w:pPr>
      <w:r>
        <w:rPr>
          <w:rFonts w:ascii="Arial" w:hAnsi="Arial" w:cs="Arial"/>
          <w:b/>
          <w:bCs/>
        </w:rPr>
        <w:t>5.</w:t>
      </w:r>
      <w:r w:rsidR="00D31D36" w:rsidRPr="00D31D36">
        <w:t xml:space="preserve"> </w:t>
      </w:r>
      <w:r w:rsidR="00D31D36">
        <w:t xml:space="preserve"> </w:t>
      </w:r>
      <w:r w:rsidR="00D31D36" w:rsidRPr="00D31D36">
        <w:rPr>
          <w:rFonts w:ascii="Arial" w:hAnsi="Arial" w:cs="Arial"/>
        </w:rPr>
        <w:t xml:space="preserve">Shen, J., Chanda, A., </w:t>
      </w:r>
      <w:proofErr w:type="spellStart"/>
      <w:r w:rsidR="00D31D36" w:rsidRPr="00D31D36">
        <w:rPr>
          <w:rFonts w:ascii="Arial" w:hAnsi="Arial" w:cs="Arial"/>
        </w:rPr>
        <w:t>D’Netto</w:t>
      </w:r>
      <w:proofErr w:type="spellEnd"/>
      <w:r w:rsidR="00D31D36" w:rsidRPr="00D31D36">
        <w:rPr>
          <w:rFonts w:ascii="Arial" w:hAnsi="Arial" w:cs="Arial"/>
        </w:rPr>
        <w:t xml:space="preserve">, B. and Monga, M. (2009) ‘Managing diversity through human resource management: An international perspective and conceptual framework’, </w:t>
      </w:r>
      <w:r w:rsidR="00D31D36" w:rsidRPr="00D31D36">
        <w:rPr>
          <w:rStyle w:val="Emphasis"/>
          <w:rFonts w:ascii="Arial" w:hAnsi="Arial" w:cs="Arial"/>
        </w:rPr>
        <w:t>The International Journal of Human Resource Management</w:t>
      </w:r>
      <w:r w:rsidR="00D31D36" w:rsidRPr="00D31D36">
        <w:rPr>
          <w:rFonts w:ascii="Arial" w:hAnsi="Arial" w:cs="Arial"/>
        </w:rPr>
        <w:t>, 20(2), pp. 235–251.</w:t>
      </w:r>
    </w:p>
    <w:p w14:paraId="25D9BD0F" w14:textId="501BC272" w:rsidR="00D31D36" w:rsidRDefault="00D31D36" w:rsidP="00273CD9">
      <w:pPr>
        <w:rPr>
          <w:rFonts w:ascii="Arial" w:hAnsi="Arial" w:cs="Arial"/>
        </w:rPr>
      </w:pPr>
      <w:r>
        <w:rPr>
          <w:rFonts w:ascii="Arial" w:hAnsi="Arial" w:cs="Arial"/>
          <w:b/>
          <w:bCs/>
        </w:rPr>
        <w:t xml:space="preserve">6.  </w:t>
      </w:r>
      <w:r w:rsidRPr="00D31D36">
        <w:rPr>
          <w:rFonts w:ascii="Arial" w:hAnsi="Arial" w:cs="Arial"/>
        </w:rPr>
        <w:t xml:space="preserve">Unilever (2023) </w:t>
      </w:r>
      <w:r w:rsidRPr="00D31D36">
        <w:rPr>
          <w:rFonts w:ascii="Arial" w:hAnsi="Arial" w:cs="Arial"/>
          <w:i/>
          <w:iCs/>
        </w:rPr>
        <w:t>Annual Report and Accounts 2023</w:t>
      </w:r>
      <w:r w:rsidRPr="00D31D36">
        <w:rPr>
          <w:rFonts w:ascii="Arial" w:hAnsi="Arial" w:cs="Arial"/>
        </w:rPr>
        <w:t xml:space="preserve">. Available at: </w:t>
      </w:r>
      <w:hyperlink r:id="rId9" w:tgtFrame="_new" w:history="1">
        <w:r w:rsidRPr="00D31D36">
          <w:rPr>
            <w:rFonts w:ascii="Arial" w:hAnsi="Arial" w:cs="Arial"/>
            <w:color w:val="0000FF"/>
            <w:u w:val="single"/>
          </w:rPr>
          <w:t>https://www.unilever.com</w:t>
        </w:r>
      </w:hyperlink>
      <w:r w:rsidRPr="00D31D36">
        <w:rPr>
          <w:rFonts w:ascii="Arial" w:hAnsi="Arial" w:cs="Arial"/>
        </w:rPr>
        <w:t xml:space="preserve"> (Accessed: 20 April 2026).</w:t>
      </w:r>
    </w:p>
    <w:p w14:paraId="23F3EE6A" w14:textId="49796AB3" w:rsidR="00D31D36" w:rsidRPr="00D31D36" w:rsidRDefault="00D31D36" w:rsidP="00273CD9">
      <w:pPr>
        <w:rPr>
          <w:rFonts w:ascii="Arial" w:eastAsiaTheme="majorEastAsia" w:hAnsi="Arial" w:cs="Arial"/>
          <w:b/>
          <w:bCs/>
          <w:color w:val="000000" w:themeColor="text1"/>
          <w:kern w:val="24"/>
        </w:rPr>
      </w:pPr>
      <w:r>
        <w:rPr>
          <w:rFonts w:ascii="Arial" w:hAnsi="Arial" w:cs="Arial"/>
          <w:b/>
          <w:bCs/>
        </w:rPr>
        <w:t xml:space="preserve">7. </w:t>
      </w:r>
      <w:r w:rsidRPr="00D31D36">
        <w:rPr>
          <w:rFonts w:ascii="Arial" w:hAnsi="Arial" w:cs="Arial"/>
        </w:rPr>
        <w:t xml:space="preserve">Schwab, K. (2017) </w:t>
      </w:r>
      <w:r w:rsidRPr="00D31D36">
        <w:rPr>
          <w:rStyle w:val="Emphasis"/>
          <w:rFonts w:ascii="Arial" w:hAnsi="Arial" w:cs="Arial"/>
        </w:rPr>
        <w:t>The Fourth Industrial Revolution</w:t>
      </w:r>
      <w:r w:rsidRPr="00D31D36">
        <w:rPr>
          <w:rFonts w:ascii="Arial" w:hAnsi="Arial" w:cs="Arial"/>
        </w:rPr>
        <w:t>. Geneva: World Economic Forum.</w:t>
      </w:r>
    </w:p>
    <w:sectPr w:rsidR="00D31D36" w:rsidRPr="00D31D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011B8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B34"/>
      </v:shape>
    </w:pict>
  </w:numPicBullet>
  <w:abstractNum w:abstractNumId="0" w15:restartNumberingAfterBreak="0">
    <w:nsid w:val="0FDC2B4C"/>
    <w:multiLevelType w:val="hybridMultilevel"/>
    <w:tmpl w:val="F304852A"/>
    <w:lvl w:ilvl="0" w:tplc="04020007">
      <w:start w:val="1"/>
      <w:numFmt w:val="bullet"/>
      <w:lvlText w:val=""/>
      <w:lvlPicBulletId w:val="0"/>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 w15:restartNumberingAfterBreak="0">
    <w:nsid w:val="6E237E9B"/>
    <w:multiLevelType w:val="hybridMultilevel"/>
    <w:tmpl w:val="EDFC7C96"/>
    <w:lvl w:ilvl="0" w:tplc="04020007">
      <w:start w:val="1"/>
      <w:numFmt w:val="bullet"/>
      <w:lvlText w:val=""/>
      <w:lvlPicBulletId w:val="0"/>
      <w:lvlJc w:val="left"/>
      <w:pPr>
        <w:ind w:left="3620" w:hanging="360"/>
      </w:pPr>
      <w:rPr>
        <w:rFonts w:ascii="Symbol" w:hAnsi="Symbol" w:hint="default"/>
      </w:rPr>
    </w:lvl>
    <w:lvl w:ilvl="1" w:tplc="08090003" w:tentative="1">
      <w:start w:val="1"/>
      <w:numFmt w:val="bullet"/>
      <w:lvlText w:val="o"/>
      <w:lvlJc w:val="left"/>
      <w:pPr>
        <w:ind w:left="4340" w:hanging="360"/>
      </w:pPr>
      <w:rPr>
        <w:rFonts w:ascii="Courier New" w:hAnsi="Courier New" w:cs="Courier New" w:hint="default"/>
      </w:rPr>
    </w:lvl>
    <w:lvl w:ilvl="2" w:tplc="08090005" w:tentative="1">
      <w:start w:val="1"/>
      <w:numFmt w:val="bullet"/>
      <w:lvlText w:val=""/>
      <w:lvlJc w:val="left"/>
      <w:pPr>
        <w:ind w:left="5060" w:hanging="360"/>
      </w:pPr>
      <w:rPr>
        <w:rFonts w:ascii="Wingdings" w:hAnsi="Wingdings" w:hint="default"/>
      </w:rPr>
    </w:lvl>
    <w:lvl w:ilvl="3" w:tplc="08090001" w:tentative="1">
      <w:start w:val="1"/>
      <w:numFmt w:val="bullet"/>
      <w:lvlText w:val=""/>
      <w:lvlJc w:val="left"/>
      <w:pPr>
        <w:ind w:left="5780" w:hanging="360"/>
      </w:pPr>
      <w:rPr>
        <w:rFonts w:ascii="Symbol" w:hAnsi="Symbol" w:hint="default"/>
      </w:rPr>
    </w:lvl>
    <w:lvl w:ilvl="4" w:tplc="08090003" w:tentative="1">
      <w:start w:val="1"/>
      <w:numFmt w:val="bullet"/>
      <w:lvlText w:val="o"/>
      <w:lvlJc w:val="left"/>
      <w:pPr>
        <w:ind w:left="6500" w:hanging="360"/>
      </w:pPr>
      <w:rPr>
        <w:rFonts w:ascii="Courier New" w:hAnsi="Courier New" w:cs="Courier New" w:hint="default"/>
      </w:rPr>
    </w:lvl>
    <w:lvl w:ilvl="5" w:tplc="08090005" w:tentative="1">
      <w:start w:val="1"/>
      <w:numFmt w:val="bullet"/>
      <w:lvlText w:val=""/>
      <w:lvlJc w:val="left"/>
      <w:pPr>
        <w:ind w:left="7220" w:hanging="360"/>
      </w:pPr>
      <w:rPr>
        <w:rFonts w:ascii="Wingdings" w:hAnsi="Wingdings" w:hint="default"/>
      </w:rPr>
    </w:lvl>
    <w:lvl w:ilvl="6" w:tplc="08090001" w:tentative="1">
      <w:start w:val="1"/>
      <w:numFmt w:val="bullet"/>
      <w:lvlText w:val=""/>
      <w:lvlJc w:val="left"/>
      <w:pPr>
        <w:ind w:left="7940" w:hanging="360"/>
      </w:pPr>
      <w:rPr>
        <w:rFonts w:ascii="Symbol" w:hAnsi="Symbol" w:hint="default"/>
      </w:rPr>
    </w:lvl>
    <w:lvl w:ilvl="7" w:tplc="08090003" w:tentative="1">
      <w:start w:val="1"/>
      <w:numFmt w:val="bullet"/>
      <w:lvlText w:val="o"/>
      <w:lvlJc w:val="left"/>
      <w:pPr>
        <w:ind w:left="8660" w:hanging="360"/>
      </w:pPr>
      <w:rPr>
        <w:rFonts w:ascii="Courier New" w:hAnsi="Courier New" w:cs="Courier New" w:hint="default"/>
      </w:rPr>
    </w:lvl>
    <w:lvl w:ilvl="8" w:tplc="08090005" w:tentative="1">
      <w:start w:val="1"/>
      <w:numFmt w:val="bullet"/>
      <w:lvlText w:val=""/>
      <w:lvlJc w:val="left"/>
      <w:pPr>
        <w:ind w:left="9380" w:hanging="360"/>
      </w:pPr>
      <w:rPr>
        <w:rFonts w:ascii="Wingdings" w:hAnsi="Wingdings" w:hint="default"/>
      </w:rPr>
    </w:lvl>
  </w:abstractNum>
  <w:abstractNum w:abstractNumId="2" w15:restartNumberingAfterBreak="0">
    <w:nsid w:val="6E7B43C2"/>
    <w:multiLevelType w:val="hybridMultilevel"/>
    <w:tmpl w:val="8CEE0FAE"/>
    <w:lvl w:ilvl="0" w:tplc="24C630FC">
      <w:start w:val="1"/>
      <w:numFmt w:val="decimal"/>
      <w:lvlText w:val="%1."/>
      <w:lvlJc w:val="left"/>
      <w:pPr>
        <w:ind w:left="2100" w:hanging="360"/>
      </w:pPr>
      <w:rPr>
        <w:rFonts w:hint="default"/>
        <w:b w:val="0"/>
      </w:rPr>
    </w:lvl>
    <w:lvl w:ilvl="1" w:tplc="08090019" w:tentative="1">
      <w:start w:val="1"/>
      <w:numFmt w:val="lowerLetter"/>
      <w:lvlText w:val="%2."/>
      <w:lvlJc w:val="left"/>
      <w:pPr>
        <w:ind w:left="2820" w:hanging="360"/>
      </w:pPr>
    </w:lvl>
    <w:lvl w:ilvl="2" w:tplc="0809001B" w:tentative="1">
      <w:start w:val="1"/>
      <w:numFmt w:val="lowerRoman"/>
      <w:lvlText w:val="%3."/>
      <w:lvlJc w:val="right"/>
      <w:pPr>
        <w:ind w:left="3540" w:hanging="180"/>
      </w:pPr>
    </w:lvl>
    <w:lvl w:ilvl="3" w:tplc="0809000F" w:tentative="1">
      <w:start w:val="1"/>
      <w:numFmt w:val="decimal"/>
      <w:lvlText w:val="%4."/>
      <w:lvlJc w:val="left"/>
      <w:pPr>
        <w:ind w:left="4260" w:hanging="360"/>
      </w:pPr>
    </w:lvl>
    <w:lvl w:ilvl="4" w:tplc="08090019" w:tentative="1">
      <w:start w:val="1"/>
      <w:numFmt w:val="lowerLetter"/>
      <w:lvlText w:val="%5."/>
      <w:lvlJc w:val="left"/>
      <w:pPr>
        <w:ind w:left="4980" w:hanging="360"/>
      </w:pPr>
    </w:lvl>
    <w:lvl w:ilvl="5" w:tplc="0809001B" w:tentative="1">
      <w:start w:val="1"/>
      <w:numFmt w:val="lowerRoman"/>
      <w:lvlText w:val="%6."/>
      <w:lvlJc w:val="right"/>
      <w:pPr>
        <w:ind w:left="5700" w:hanging="180"/>
      </w:pPr>
    </w:lvl>
    <w:lvl w:ilvl="6" w:tplc="0809000F" w:tentative="1">
      <w:start w:val="1"/>
      <w:numFmt w:val="decimal"/>
      <w:lvlText w:val="%7."/>
      <w:lvlJc w:val="left"/>
      <w:pPr>
        <w:ind w:left="6420" w:hanging="360"/>
      </w:pPr>
    </w:lvl>
    <w:lvl w:ilvl="7" w:tplc="08090019" w:tentative="1">
      <w:start w:val="1"/>
      <w:numFmt w:val="lowerLetter"/>
      <w:lvlText w:val="%8."/>
      <w:lvlJc w:val="left"/>
      <w:pPr>
        <w:ind w:left="7140" w:hanging="360"/>
      </w:pPr>
    </w:lvl>
    <w:lvl w:ilvl="8" w:tplc="0809001B" w:tentative="1">
      <w:start w:val="1"/>
      <w:numFmt w:val="lowerRoman"/>
      <w:lvlText w:val="%9."/>
      <w:lvlJc w:val="right"/>
      <w:pPr>
        <w:ind w:left="7860" w:hanging="180"/>
      </w:pPr>
    </w:lvl>
  </w:abstractNum>
  <w:num w:numId="1" w16cid:durableId="1754162606">
    <w:abstractNumId w:val="2"/>
  </w:num>
  <w:num w:numId="2" w16cid:durableId="281570800">
    <w:abstractNumId w:val="1"/>
  </w:num>
  <w:num w:numId="3" w16cid:durableId="702286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9B"/>
    <w:rsid w:val="00020653"/>
    <w:rsid w:val="00021B1D"/>
    <w:rsid w:val="000732D3"/>
    <w:rsid w:val="00076411"/>
    <w:rsid w:val="000B6625"/>
    <w:rsid w:val="000B6DF2"/>
    <w:rsid w:val="000D72EF"/>
    <w:rsid w:val="00135DE2"/>
    <w:rsid w:val="001E6AE9"/>
    <w:rsid w:val="00222B56"/>
    <w:rsid w:val="00223128"/>
    <w:rsid w:val="00237442"/>
    <w:rsid w:val="00242B68"/>
    <w:rsid w:val="002733CA"/>
    <w:rsid w:val="00273CD9"/>
    <w:rsid w:val="002A2E27"/>
    <w:rsid w:val="00325E1D"/>
    <w:rsid w:val="00386AED"/>
    <w:rsid w:val="003A00FD"/>
    <w:rsid w:val="003E0AF1"/>
    <w:rsid w:val="00402FF3"/>
    <w:rsid w:val="004042D8"/>
    <w:rsid w:val="0047214C"/>
    <w:rsid w:val="00514096"/>
    <w:rsid w:val="00543F14"/>
    <w:rsid w:val="00573328"/>
    <w:rsid w:val="00580A55"/>
    <w:rsid w:val="005F3BA5"/>
    <w:rsid w:val="005F4615"/>
    <w:rsid w:val="00614E9B"/>
    <w:rsid w:val="00643EC7"/>
    <w:rsid w:val="006A5351"/>
    <w:rsid w:val="006B0D55"/>
    <w:rsid w:val="007157AE"/>
    <w:rsid w:val="00744186"/>
    <w:rsid w:val="00777582"/>
    <w:rsid w:val="007A53CF"/>
    <w:rsid w:val="00821727"/>
    <w:rsid w:val="008348CE"/>
    <w:rsid w:val="0097609A"/>
    <w:rsid w:val="009B2F39"/>
    <w:rsid w:val="009F6AA1"/>
    <w:rsid w:val="00A51075"/>
    <w:rsid w:val="00AB23E2"/>
    <w:rsid w:val="00B10843"/>
    <w:rsid w:val="00B20870"/>
    <w:rsid w:val="00B42E61"/>
    <w:rsid w:val="00B5120B"/>
    <w:rsid w:val="00C331A4"/>
    <w:rsid w:val="00CC3CB3"/>
    <w:rsid w:val="00D259E7"/>
    <w:rsid w:val="00D31D36"/>
    <w:rsid w:val="00D77D77"/>
    <w:rsid w:val="00DC5D50"/>
    <w:rsid w:val="00DF799E"/>
    <w:rsid w:val="00E130E6"/>
    <w:rsid w:val="00E15FA8"/>
    <w:rsid w:val="00E20831"/>
    <w:rsid w:val="00E2689B"/>
    <w:rsid w:val="00E44F83"/>
    <w:rsid w:val="00E47DA1"/>
    <w:rsid w:val="00E616C4"/>
    <w:rsid w:val="00EF1A33"/>
    <w:rsid w:val="00F17710"/>
    <w:rsid w:val="00F37243"/>
    <w:rsid w:val="00F63A13"/>
    <w:rsid w:val="00F81BCD"/>
    <w:rsid w:val="00FA4E32"/>
    <w:rsid w:val="00FB42A0"/>
    <w:rsid w:val="00FF3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305A4"/>
  <w15:chartTrackingRefBased/>
  <w15:docId w15:val="{50F00B0B-532E-4C3E-978D-C98453C74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E9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614E9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14E9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14E9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14E9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14E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E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E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E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E9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614E9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14E9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14E9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14E9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14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E9B"/>
    <w:rPr>
      <w:rFonts w:eastAsiaTheme="majorEastAsia" w:cstheme="majorBidi"/>
      <w:color w:val="272727" w:themeColor="text1" w:themeTint="D8"/>
    </w:rPr>
  </w:style>
  <w:style w:type="paragraph" w:styleId="Title">
    <w:name w:val="Title"/>
    <w:basedOn w:val="Normal"/>
    <w:next w:val="Normal"/>
    <w:link w:val="TitleChar"/>
    <w:uiPriority w:val="10"/>
    <w:qFormat/>
    <w:rsid w:val="00614E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E9B"/>
    <w:pPr>
      <w:spacing w:before="160"/>
      <w:jc w:val="center"/>
    </w:pPr>
    <w:rPr>
      <w:i/>
      <w:iCs/>
      <w:color w:val="404040" w:themeColor="text1" w:themeTint="BF"/>
    </w:rPr>
  </w:style>
  <w:style w:type="character" w:customStyle="1" w:styleId="QuoteChar">
    <w:name w:val="Quote Char"/>
    <w:basedOn w:val="DefaultParagraphFont"/>
    <w:link w:val="Quote"/>
    <w:uiPriority w:val="29"/>
    <w:rsid w:val="00614E9B"/>
    <w:rPr>
      <w:i/>
      <w:iCs/>
      <w:color w:val="404040" w:themeColor="text1" w:themeTint="BF"/>
    </w:rPr>
  </w:style>
  <w:style w:type="paragraph" w:styleId="ListParagraph">
    <w:name w:val="List Paragraph"/>
    <w:basedOn w:val="Normal"/>
    <w:uiPriority w:val="34"/>
    <w:qFormat/>
    <w:rsid w:val="00614E9B"/>
    <w:pPr>
      <w:ind w:left="720"/>
      <w:contextualSpacing/>
    </w:pPr>
  </w:style>
  <w:style w:type="character" w:styleId="IntenseEmphasis">
    <w:name w:val="Intense Emphasis"/>
    <w:basedOn w:val="DefaultParagraphFont"/>
    <w:uiPriority w:val="21"/>
    <w:qFormat/>
    <w:rsid w:val="00614E9B"/>
    <w:rPr>
      <w:i/>
      <w:iCs/>
      <w:color w:val="2E74B5" w:themeColor="accent1" w:themeShade="BF"/>
    </w:rPr>
  </w:style>
  <w:style w:type="paragraph" w:styleId="IntenseQuote">
    <w:name w:val="Intense Quote"/>
    <w:basedOn w:val="Normal"/>
    <w:next w:val="Normal"/>
    <w:link w:val="IntenseQuoteChar"/>
    <w:uiPriority w:val="30"/>
    <w:qFormat/>
    <w:rsid w:val="00614E9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14E9B"/>
    <w:rPr>
      <w:i/>
      <w:iCs/>
      <w:color w:val="2E74B5" w:themeColor="accent1" w:themeShade="BF"/>
    </w:rPr>
  </w:style>
  <w:style w:type="character" w:styleId="IntenseReference">
    <w:name w:val="Intense Reference"/>
    <w:basedOn w:val="DefaultParagraphFont"/>
    <w:uiPriority w:val="32"/>
    <w:qFormat/>
    <w:rsid w:val="00614E9B"/>
    <w:rPr>
      <w:b/>
      <w:bCs/>
      <w:smallCaps/>
      <w:color w:val="2E74B5" w:themeColor="accent1" w:themeShade="BF"/>
      <w:spacing w:val="5"/>
    </w:rPr>
  </w:style>
  <w:style w:type="paragraph" w:styleId="TOCHeading">
    <w:name w:val="TOC Heading"/>
    <w:basedOn w:val="Heading1"/>
    <w:next w:val="Normal"/>
    <w:uiPriority w:val="39"/>
    <w:unhideWhenUsed/>
    <w:qFormat/>
    <w:rsid w:val="00E47DA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47DA1"/>
    <w:pPr>
      <w:spacing w:after="100"/>
    </w:pPr>
  </w:style>
  <w:style w:type="character" w:styleId="Hyperlink">
    <w:name w:val="Hyperlink"/>
    <w:basedOn w:val="DefaultParagraphFont"/>
    <w:uiPriority w:val="99"/>
    <w:unhideWhenUsed/>
    <w:rsid w:val="00E47DA1"/>
    <w:rPr>
      <w:color w:val="0563C1" w:themeColor="hyperlink"/>
      <w:u w:val="single"/>
    </w:rPr>
  </w:style>
  <w:style w:type="character" w:styleId="Emphasis">
    <w:name w:val="Emphasis"/>
    <w:basedOn w:val="DefaultParagraphFont"/>
    <w:uiPriority w:val="20"/>
    <w:qFormat/>
    <w:rsid w:val="00F63A13"/>
    <w:rPr>
      <w:i/>
      <w:iCs/>
    </w:rPr>
  </w:style>
  <w:style w:type="paragraph" w:styleId="TOC2">
    <w:name w:val="toc 2"/>
    <w:basedOn w:val="Normal"/>
    <w:next w:val="Normal"/>
    <w:autoRedefine/>
    <w:uiPriority w:val="39"/>
    <w:unhideWhenUsed/>
    <w:rsid w:val="00D31D3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3" Type="http://schemas.openxmlformats.org/officeDocument/2006/relationships/styles" Target="styles.xml"/><Relationship Id="rId7" Type="http://schemas.openxmlformats.org/officeDocument/2006/relationships/hyperlink" Target="https://www.cipd.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nilever.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C74C7-48FC-4883-84B4-CD21E1408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7</Pages>
  <Words>2774</Words>
  <Characters>15813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Galya Stoycheva Georgieva (2428902)</dc:creator>
  <cp:keywords/>
  <dc:description/>
  <cp:lastModifiedBy>Galya Stoycheva Georgieva (2428902)</cp:lastModifiedBy>
  <cp:revision>16</cp:revision>
  <dcterms:created xsi:type="dcterms:W3CDTF">2026-04-09T14:43:00Z</dcterms:created>
  <dcterms:modified xsi:type="dcterms:W3CDTF">2026-04-30T06:24:00Z</dcterms:modified>
</cp:coreProperties>
</file>