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05347" w14:textId="7F79DBEF" w:rsidR="006006E9" w:rsidRDefault="00E55215" w:rsidP="006006E9">
      <w:pPr>
        <w:spacing w:line="480" w:lineRule="auto"/>
        <w:jc w:val="center"/>
        <w:rPr>
          <w:rFonts w:ascii="Times New Roman" w:hAnsi="Times New Roman" w:cs="Times New Roman"/>
          <w:b/>
          <w:sz w:val="44"/>
        </w:rPr>
      </w:pPr>
      <w:r>
        <w:rPr>
          <w:rFonts w:ascii="Times New Roman" w:hAnsi="Times New Roman" w:cs="Times New Roman"/>
          <w:b/>
          <w:sz w:val="44"/>
        </w:rPr>
        <w:t>Student name: Anton Rumenov Mihaylov</w:t>
      </w:r>
      <w:r>
        <w:rPr>
          <w:rFonts w:ascii="Times New Roman" w:hAnsi="Times New Roman" w:cs="Times New Roman"/>
          <w:b/>
          <w:sz w:val="44"/>
        </w:rPr>
        <w:br/>
        <w:t>Student ID: 2030908</w:t>
      </w:r>
    </w:p>
    <w:p w14:paraId="20A782C4" w14:textId="77777777" w:rsidR="006006E9" w:rsidRDefault="006006E9" w:rsidP="006006E9">
      <w:pPr>
        <w:spacing w:line="480" w:lineRule="auto"/>
        <w:jc w:val="center"/>
        <w:rPr>
          <w:rFonts w:ascii="Times New Roman" w:hAnsi="Times New Roman" w:cs="Times New Roman"/>
          <w:b/>
          <w:sz w:val="44"/>
        </w:rPr>
      </w:pPr>
    </w:p>
    <w:p w14:paraId="555066FA" w14:textId="77777777" w:rsidR="006006E9" w:rsidRPr="00D904CE" w:rsidRDefault="006006E9" w:rsidP="006006E9">
      <w:pPr>
        <w:spacing w:line="480" w:lineRule="auto"/>
        <w:jc w:val="center"/>
        <w:rPr>
          <w:rFonts w:ascii="Times New Roman" w:hAnsi="Times New Roman" w:cs="Times New Roman"/>
          <w:b/>
          <w:sz w:val="72"/>
          <w:szCs w:val="72"/>
        </w:rPr>
      </w:pPr>
      <w:r w:rsidRPr="00D904CE">
        <w:rPr>
          <w:rFonts w:ascii="Times New Roman" w:hAnsi="Times New Roman" w:cs="Times New Roman"/>
          <w:b/>
          <w:sz w:val="72"/>
          <w:szCs w:val="72"/>
        </w:rPr>
        <w:t xml:space="preserve">Project Management </w:t>
      </w:r>
      <w:r w:rsidRPr="00D904CE">
        <w:rPr>
          <w:rFonts w:ascii="Times New Roman" w:hAnsi="Times New Roman" w:cs="Times New Roman"/>
          <w:b/>
          <w:sz w:val="72"/>
          <w:szCs w:val="72"/>
        </w:rPr>
        <w:br w:type="page"/>
      </w:r>
    </w:p>
    <w:p w14:paraId="088B737E" w14:textId="77777777" w:rsidR="006006E9" w:rsidRPr="006006E9" w:rsidRDefault="006006E9" w:rsidP="006006E9">
      <w:pPr>
        <w:pStyle w:val="Normal1"/>
        <w:spacing w:line="480" w:lineRule="auto"/>
        <w:jc w:val="both"/>
        <w:rPr>
          <w:rFonts w:ascii="Times New Roman" w:hAnsi="Times New Roman" w:cs="Times New Roman"/>
          <w:b/>
          <w:sz w:val="24"/>
          <w:szCs w:val="24"/>
          <w:u w:val="single"/>
        </w:rPr>
      </w:pPr>
      <w:r w:rsidRPr="006006E9">
        <w:rPr>
          <w:rFonts w:ascii="Times New Roman" w:hAnsi="Times New Roman" w:cs="Times New Roman"/>
          <w:b/>
          <w:sz w:val="24"/>
          <w:szCs w:val="24"/>
          <w:u w:val="single"/>
        </w:rPr>
        <w:lastRenderedPageBreak/>
        <w:t>Evaluation of Hinkley Point C Project</w:t>
      </w:r>
    </w:p>
    <w:p w14:paraId="68DA671D"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Hinkley Point C is a project that is based on a nuclear power station that is under construction in Somerset, England. The government of this country has proposed around eight different sites for this nuclear power project. The government of this country has announced the name of all these places in 2010. This site was selected in November 2012 (</w:t>
      </w:r>
      <w:r w:rsidRPr="006006E9">
        <w:rPr>
          <w:rFonts w:ascii="Times New Roman" w:eastAsia="Times New Roman" w:hAnsi="Times New Roman" w:cs="Times New Roman"/>
          <w:color w:val="222222"/>
          <w:sz w:val="24"/>
          <w:szCs w:val="24"/>
          <w:highlight w:val="white"/>
        </w:rPr>
        <w:t xml:space="preserve">Butcher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2021</w:t>
      </w:r>
      <w:r w:rsidRPr="006006E9">
        <w:rPr>
          <w:rFonts w:ascii="Times New Roman" w:hAnsi="Times New Roman" w:cs="Times New Roman"/>
          <w:sz w:val="24"/>
          <w:szCs w:val="24"/>
        </w:rPr>
        <w:t xml:space="preserve">). The government and EDF board have approved this nuclear power station project in 2016 with some safeguards for investment. The energy industry in the UK could benefit greatly from this nuclear power project's successful completion. This nuclear power project will last approximately 60 years. The implementation of low-carbon technology in the provision of continuous power may benefit from this project's successful completion. This undertaking will help the energy supply as well as the economy of this country. Due to the project's delay, the authority responsible for it must pay an additional sum. The primary negative effect of delaying this nuclear power project is an increase in costs. Fulfillment of this venture on time can be useful for keeping away from cost overruns. This study is going to focus on different aspects related to the Hinkley Point C project. Analysis of the success and failure of this project will also be done in this project. Lessons that could be learned from this project will also be highlighted in this study. Different steps and strategies will also be recommended for similar types of projects through this study. </w:t>
      </w:r>
    </w:p>
    <w:p w14:paraId="1DB2A22C"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Hinkley Point C project is financed by two companies named "EDF Energy" and "China General Nuclear Power Group ''. EDF is a French company. Around 85% of this enterprise is owned by the government of France. This enterprise has purchased British Energy for 12.4 billion pounds. This deal has helped this enterprise to be a joint venture with UK utility Centrica. This enterprise has acquired around 20% stake in EDF (</w:t>
      </w:r>
      <w:r w:rsidRPr="006006E9">
        <w:rPr>
          <w:rFonts w:ascii="Times New Roman" w:eastAsia="Times New Roman" w:hAnsi="Times New Roman" w:cs="Times New Roman"/>
          <w:color w:val="222222"/>
          <w:sz w:val="24"/>
          <w:szCs w:val="24"/>
          <w:highlight w:val="white"/>
        </w:rPr>
        <w:t xml:space="preserve">Glasson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2021</w:t>
      </w:r>
      <w:r w:rsidRPr="006006E9">
        <w:rPr>
          <w:rFonts w:ascii="Times New Roman" w:hAnsi="Times New Roman" w:cs="Times New Roman"/>
          <w:sz w:val="24"/>
          <w:szCs w:val="24"/>
        </w:rPr>
        <w:t xml:space="preserve">). The construction of Hinkley Point C project was started in 2017. However, this project has been subject to a number of delays. The </w:t>
      </w:r>
      <w:r w:rsidRPr="006006E9">
        <w:rPr>
          <w:rFonts w:ascii="Times New Roman" w:hAnsi="Times New Roman" w:cs="Times New Roman"/>
          <w:sz w:val="24"/>
          <w:szCs w:val="24"/>
        </w:rPr>
        <w:lastRenderedPageBreak/>
        <w:t>covid-19 pandemic was one of the major reasons behind the delay of this construction project. As a result, significant budget overrun has been seen in this budget requirement for the completion of this nuclear power station. According to a report, the expected cost of this project has increased to around 25 to 26 billion pounds. The budget of this project has been set at around 50% of this increased budget in 2016. The projected lifetime of this project will be around 60 years. The authority of this project has planned to complete this nuclear project within June 2027. However, in February 2023, EDF announced that the projected costs of this project will be around 32.7 billion pounds and this project cannot be completed before September 2028 (</w:t>
      </w:r>
      <w:r w:rsidRPr="006006E9">
        <w:rPr>
          <w:rFonts w:ascii="Times New Roman" w:eastAsia="Times New Roman" w:hAnsi="Times New Roman" w:cs="Times New Roman"/>
          <w:color w:val="222222"/>
          <w:sz w:val="24"/>
          <w:szCs w:val="24"/>
          <w:highlight w:val="white"/>
        </w:rPr>
        <w:t>Daniel and Daniel, 2019</w:t>
      </w:r>
      <w:r w:rsidRPr="006006E9">
        <w:rPr>
          <w:rFonts w:ascii="Times New Roman" w:hAnsi="Times New Roman" w:cs="Times New Roman"/>
          <w:sz w:val="24"/>
          <w:szCs w:val="24"/>
        </w:rPr>
        <w:t>). Around workers in sites along with a total of 22000 workers are working for the completion of this project. According to EDF and CGN, this nuclear power project is going to provide around 26 TWh of low-carbon electricity annually that can provide electric energy to around 6 million households in the United Kingdom. Around 7% of the total electricity requirements of the United Kingdom can be fulfilled for around 60 years with the help of this nuclear power project. Different reasons behind the delays of this nuclear power project. Covid19 pandemic was one of the major reasons behind this. Apart from that, detection of defects in a similar reactor in China can be another major reason behind the delay of this nuclear power project (</w:t>
      </w:r>
      <w:r w:rsidRPr="006006E9">
        <w:rPr>
          <w:rFonts w:ascii="Times New Roman" w:eastAsia="Times New Roman" w:hAnsi="Times New Roman" w:cs="Times New Roman"/>
          <w:color w:val="222222"/>
          <w:sz w:val="24"/>
          <w:szCs w:val="24"/>
          <w:highlight w:val="white"/>
        </w:rPr>
        <w:t>Lovas, 2021</w:t>
      </w:r>
      <w:r w:rsidRPr="006006E9">
        <w:rPr>
          <w:rFonts w:ascii="Times New Roman" w:hAnsi="Times New Roman" w:cs="Times New Roman"/>
          <w:sz w:val="24"/>
          <w:szCs w:val="24"/>
        </w:rPr>
        <w:t xml:space="preserve">). Apart from that, the redesigning of safety components of this project is another reason behind the delay in the completion of this nuclear power project. CGN is one of the major stakeholders of this construction project. </w:t>
      </w:r>
    </w:p>
    <w:p w14:paraId="69043545"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 xml:space="preserve">Delay in complex construction projects is a common thing. However, the arrival of the Covid19 pandemic has negatively affected the progress of this project. Blockage in the transportation system and implementation of lockdown during the covid19 pandemic were two basic reasons behind the delay of this nuclear power project. Delay in the completion of this project was the </w:t>
      </w:r>
      <w:r w:rsidRPr="006006E9">
        <w:rPr>
          <w:rFonts w:ascii="Times New Roman" w:hAnsi="Times New Roman" w:cs="Times New Roman"/>
          <w:sz w:val="24"/>
          <w:szCs w:val="24"/>
        </w:rPr>
        <w:lastRenderedPageBreak/>
        <w:t>basic reason behind the cost overruns in this project. There are different other reasons behind the delay in the completion of this project (</w:t>
      </w:r>
      <w:r w:rsidRPr="006006E9">
        <w:rPr>
          <w:rFonts w:ascii="Times New Roman" w:eastAsia="Times New Roman" w:hAnsi="Times New Roman" w:cs="Times New Roman"/>
          <w:color w:val="222222"/>
          <w:sz w:val="24"/>
          <w:szCs w:val="24"/>
          <w:highlight w:val="white"/>
        </w:rPr>
        <w:t>Resch and Suna, 2019</w:t>
      </w:r>
      <w:r w:rsidRPr="006006E9">
        <w:rPr>
          <w:rFonts w:ascii="Times New Roman" w:hAnsi="Times New Roman" w:cs="Times New Roman"/>
          <w:sz w:val="24"/>
          <w:szCs w:val="24"/>
        </w:rPr>
        <w:t xml:space="preserve">). The construction of nuclear power plants is more complex than other large-scale generation plants. Huge investment is also required to build this type of project. Generally, the construction of a nuclear power plant can take around 5 years whereas the construction of natural gas-fired plants can take around 2 to 3 years. The current progress of this construction project shows the failure of this project. On the other hand, huge controversy has been created due to the construction of this nuclear power project by two foreign companies. </w:t>
      </w:r>
      <w:proofErr w:type="gramStart"/>
      <w:r w:rsidRPr="006006E9">
        <w:rPr>
          <w:rFonts w:ascii="Times New Roman" w:hAnsi="Times New Roman" w:cs="Times New Roman"/>
          <w:sz w:val="24"/>
          <w:szCs w:val="24"/>
        </w:rPr>
        <w:t>A number of</w:t>
      </w:r>
      <w:proofErr w:type="gramEnd"/>
      <w:r w:rsidRPr="006006E9">
        <w:rPr>
          <w:rFonts w:ascii="Times New Roman" w:hAnsi="Times New Roman" w:cs="Times New Roman"/>
          <w:sz w:val="24"/>
          <w:szCs w:val="24"/>
        </w:rPr>
        <w:t xml:space="preserve"> critics have raised concerns about the ownership of UK infrastructure under foreign companies (</w:t>
      </w:r>
      <w:r w:rsidRPr="006006E9">
        <w:rPr>
          <w:rFonts w:ascii="Times New Roman" w:eastAsia="Times New Roman" w:hAnsi="Times New Roman" w:cs="Times New Roman"/>
          <w:color w:val="222222"/>
          <w:sz w:val="24"/>
          <w:szCs w:val="24"/>
          <w:highlight w:val="white"/>
        </w:rPr>
        <w:t xml:space="preserve">Ogunmakin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2021</w:t>
      </w:r>
      <w:r w:rsidRPr="006006E9">
        <w:rPr>
          <w:rFonts w:ascii="Times New Roman" w:hAnsi="Times New Roman" w:cs="Times New Roman"/>
          <w:sz w:val="24"/>
          <w:szCs w:val="24"/>
        </w:rPr>
        <w:t>). The reason behind it was two responsible companies for this construction project are from foreign countries. As a result, a huge margin of people in this country did not want to construct this project by companies from foreign countries. Employee recruitment was another reason behind this controversy.  Companies from foreign countries always try to recruit foreign workers on sites. People from the United Kingdom have condemned the decision of the government of this country to take over the responsibility of two companies from different other countries. Gradual increase in the inflation rate of the United Kingdom can also lead to increased costs for this nuclear power project (</w:t>
      </w:r>
      <w:r w:rsidRPr="006006E9">
        <w:rPr>
          <w:rFonts w:ascii="Times New Roman" w:eastAsia="Times New Roman" w:hAnsi="Times New Roman" w:cs="Times New Roman"/>
          <w:color w:val="222222"/>
          <w:sz w:val="24"/>
          <w:szCs w:val="24"/>
          <w:highlight w:val="white"/>
        </w:rPr>
        <w:t xml:space="preserve">Besse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2022</w:t>
      </w:r>
      <w:r w:rsidRPr="006006E9">
        <w:rPr>
          <w:rFonts w:ascii="Times New Roman" w:hAnsi="Times New Roman" w:cs="Times New Roman"/>
          <w:sz w:val="24"/>
          <w:szCs w:val="24"/>
        </w:rPr>
        <w:t xml:space="preserve">). According to a report, the cost of this construction project can touch around 40 billion pounds due to the higher inflation rate of the United Kingdom. Different negative outcomes can be faced by people of the United Kingdom due to this nuclear power project. Electricity bills can be increased by around 50 billion pounds due to this nuclear power project. Apart from that, this project can be canceled at any time because of the huge delay in the completion of this construction project. Different data and information related to the current state of this project have been published. The energy minister of the United Kingdom has launched one of the three new training facilities in </w:t>
      </w:r>
      <w:r w:rsidRPr="006006E9">
        <w:rPr>
          <w:rFonts w:ascii="Times New Roman" w:hAnsi="Times New Roman" w:cs="Times New Roman"/>
          <w:sz w:val="24"/>
          <w:szCs w:val="24"/>
        </w:rPr>
        <w:lastRenderedPageBreak/>
        <w:t>Somerset. Around 4000 employees are going to be recruited for the next stage of the development of this nuclear power station. Different strategies have also been taken by the authority of this nuclear project to reach 24 GW of electricity production in 2050 (</w:t>
      </w:r>
      <w:r w:rsidRPr="006006E9">
        <w:rPr>
          <w:rFonts w:ascii="Times New Roman" w:eastAsia="Times New Roman" w:hAnsi="Times New Roman" w:cs="Times New Roman"/>
          <w:color w:val="222222"/>
          <w:sz w:val="24"/>
          <w:szCs w:val="24"/>
          <w:highlight w:val="white"/>
        </w:rPr>
        <w:t>Carpenter and Energy, 2019</w:t>
      </w:r>
      <w:r w:rsidRPr="006006E9">
        <w:rPr>
          <w:rFonts w:ascii="Times New Roman" w:hAnsi="Times New Roman" w:cs="Times New Roman"/>
          <w:sz w:val="24"/>
          <w:szCs w:val="24"/>
        </w:rPr>
        <w:t xml:space="preserve">). According to the prime minister of the United Kingdom, achieving this goal will be a new path for domestic energy supply. </w:t>
      </w:r>
    </w:p>
    <w:p w14:paraId="617C7640"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The successful completion of this nuclear power project can be a huge success for the energy sector of the United Kingdom. The durability of this nuclear power project will be around 60 years. Successful completion of this project can be helpful for providing continuous power through low-carbon technology. This project is going to boost the energy supply as well as the economy of this nation. Apart from that, this project can also create around 25000 jobs during the construction of the project. After successful construction of this project a huge margin of recruitment can be done (</w:t>
      </w:r>
      <w:r w:rsidRPr="006006E9">
        <w:rPr>
          <w:rFonts w:ascii="Times New Roman" w:eastAsia="Times New Roman" w:hAnsi="Times New Roman" w:cs="Times New Roman"/>
          <w:color w:val="222222"/>
          <w:sz w:val="24"/>
          <w:szCs w:val="24"/>
          <w:highlight w:val="white"/>
        </w:rPr>
        <w:t>Dyrda and Morrison, 2021</w:t>
      </w:r>
      <w:r w:rsidRPr="006006E9">
        <w:rPr>
          <w:rFonts w:ascii="Times New Roman" w:hAnsi="Times New Roman" w:cs="Times New Roman"/>
          <w:sz w:val="24"/>
          <w:szCs w:val="24"/>
        </w:rPr>
        <w:t xml:space="preserve">). Around 7% of the total electric consumption of the United Kingdom can be produced through this nuclear power project. As a result, it can be said that this nuclear power project can be helpful in providing electric supply to around 6 million homes in this country. This project will also be safe for the people of this country. The construction of this nuclear power station is going to be done by following different principles of </w:t>
      </w:r>
      <w:proofErr w:type="gramStart"/>
      <w:r w:rsidRPr="006006E9">
        <w:rPr>
          <w:rFonts w:ascii="Times New Roman" w:hAnsi="Times New Roman" w:cs="Times New Roman"/>
          <w:sz w:val="24"/>
          <w:szCs w:val="24"/>
        </w:rPr>
        <w:t>Nuclear</w:t>
      </w:r>
      <w:proofErr w:type="gramEnd"/>
      <w:r w:rsidRPr="006006E9">
        <w:rPr>
          <w:rFonts w:ascii="Times New Roman" w:hAnsi="Times New Roman" w:cs="Times New Roman"/>
          <w:sz w:val="24"/>
          <w:szCs w:val="24"/>
        </w:rPr>
        <w:t xml:space="preserve"> regulations of the UK. Lower carbon energy of this project can also help to reduce the margin of carbon emission (</w:t>
      </w:r>
      <w:r w:rsidRPr="006006E9">
        <w:rPr>
          <w:rFonts w:ascii="Times New Roman" w:eastAsia="Times New Roman" w:hAnsi="Times New Roman" w:cs="Times New Roman"/>
          <w:color w:val="222222"/>
          <w:sz w:val="24"/>
          <w:szCs w:val="24"/>
          <w:highlight w:val="white"/>
        </w:rPr>
        <w:t>Sizewell and Bradwell, 2020</w:t>
      </w:r>
      <w:r w:rsidRPr="006006E9">
        <w:rPr>
          <w:rFonts w:ascii="Times New Roman" w:hAnsi="Times New Roman" w:cs="Times New Roman"/>
          <w:sz w:val="24"/>
          <w:szCs w:val="24"/>
        </w:rPr>
        <w:t xml:space="preserve">). Apart from that, this project is also providing industry placements for those students who are studying A-levels and T-levels. Students are also given mentors to improve their future to improve employability. The energy sector of the United Kingdom is also going to fulfill the energy gap with the help of this nuclear power station. Reduction of usage of oil can be done with the help of producing electricity. As a result, this nuclear power project will contribute to the reduction of greenhouse gas emissions as well as the probability of climate change </w:t>
      </w:r>
      <w:r w:rsidRPr="006006E9">
        <w:rPr>
          <w:rFonts w:ascii="Times New Roman" w:hAnsi="Times New Roman" w:cs="Times New Roman"/>
          <w:sz w:val="24"/>
          <w:szCs w:val="24"/>
        </w:rPr>
        <w:lastRenderedPageBreak/>
        <w:t>(</w:t>
      </w:r>
      <w:r w:rsidRPr="006006E9">
        <w:rPr>
          <w:rFonts w:ascii="Times New Roman" w:eastAsia="Times New Roman" w:hAnsi="Times New Roman" w:cs="Times New Roman"/>
          <w:color w:val="222222"/>
          <w:sz w:val="24"/>
          <w:szCs w:val="24"/>
          <w:highlight w:val="white"/>
        </w:rPr>
        <w:t xml:space="preserve">Castor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2020</w:t>
      </w:r>
      <w:r w:rsidRPr="006006E9">
        <w:rPr>
          <w:rFonts w:ascii="Times New Roman" w:hAnsi="Times New Roman" w:cs="Times New Roman"/>
          <w:sz w:val="24"/>
          <w:szCs w:val="24"/>
        </w:rPr>
        <w:t xml:space="preserve">). Reliability and cost-effectiveness in consumption of electricity will be two other benefits of this project. </w:t>
      </w:r>
    </w:p>
    <w:p w14:paraId="7ED15B73"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From the above analysis, it can be said that the Hinkley Point C project is going to be a game changer for the energy sector of the United Kingdom. This nuclear power project is going to increase the employability of students who are studying at A-levels and T-levels (</w:t>
      </w:r>
      <w:r w:rsidRPr="006006E9">
        <w:rPr>
          <w:rFonts w:ascii="Times New Roman" w:eastAsia="Times New Roman" w:hAnsi="Times New Roman" w:cs="Times New Roman"/>
          <w:color w:val="222222"/>
          <w:sz w:val="24"/>
          <w:szCs w:val="24"/>
          <w:highlight w:val="white"/>
        </w:rPr>
        <w:t xml:space="preserve">Aldama-Bustos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2019</w:t>
      </w:r>
      <w:r w:rsidRPr="006006E9">
        <w:rPr>
          <w:rFonts w:ascii="Times New Roman" w:hAnsi="Times New Roman" w:cs="Times New Roman"/>
          <w:sz w:val="24"/>
          <w:szCs w:val="24"/>
        </w:rPr>
        <w:t xml:space="preserve">). Fulfilling the electricity requirements of 6 million homes can disclose the effectiveness of this project. As a result, this project is going to be helpful in mitigating issues related to the electricity crisis in the United Kingdom. </w:t>
      </w:r>
    </w:p>
    <w:p w14:paraId="40AE41B0"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This project can be helpful for learning a number of aspects. Different data and information related to nuclear power projects can be obtained from this project. Apart from that, the benefits of nuclear power plants in reducing carbon emissions can also be understood through this project. The efficiency of low-carbon technology can also be understood from this nuclear power project. Apart from that, different reasons behind the delay of a construction project can also be extracted from this project. The benefits of time management can be understood adequately from this project. The authority of this project has to pay an extra amount due to the delay of this project (</w:t>
      </w:r>
      <w:r w:rsidRPr="006006E9">
        <w:rPr>
          <w:rFonts w:ascii="Times New Roman" w:eastAsia="Times New Roman" w:hAnsi="Times New Roman" w:cs="Times New Roman"/>
          <w:color w:val="222222"/>
          <w:sz w:val="24"/>
          <w:szCs w:val="24"/>
          <w:highlight w:val="white"/>
        </w:rPr>
        <w:t>Alberto, 2019</w:t>
      </w:r>
      <w:r w:rsidRPr="006006E9">
        <w:rPr>
          <w:rFonts w:ascii="Times New Roman" w:hAnsi="Times New Roman" w:cs="Times New Roman"/>
          <w:sz w:val="24"/>
          <w:szCs w:val="24"/>
        </w:rPr>
        <w:t xml:space="preserve">). Cost overruns are the main negative outcomes of delay of this nuclear power project. Completion of this project on time can be helpful in avoiding cost overruns. In this aspect, this project can be helpful for increasing awareness about time management among students. This project can also be helpful for increasing employability of students because students studying A-levels and T-levels have been recruited as trainees in this project. Researching the history of this project can be helpful for improving knowledge in making joint ventures. Different benefits of making joint ventures can also be obtained from the history of this nuclear power project (Child </w:t>
      </w:r>
      <w:r w:rsidRPr="006006E9">
        <w:rPr>
          <w:rFonts w:ascii="Times New Roman" w:hAnsi="Times New Roman" w:cs="Times New Roman"/>
          <w:i/>
          <w:sz w:val="24"/>
          <w:szCs w:val="24"/>
        </w:rPr>
        <w:t xml:space="preserve">et.al., </w:t>
      </w:r>
      <w:r w:rsidRPr="006006E9">
        <w:rPr>
          <w:rFonts w:ascii="Times New Roman" w:hAnsi="Times New Roman" w:cs="Times New Roman"/>
          <w:sz w:val="24"/>
          <w:szCs w:val="24"/>
        </w:rPr>
        <w:t xml:space="preserve">2019). Apart from that, knowledge regarding different principles of Nuclear Act of the United Kingdom can also be </w:t>
      </w:r>
      <w:r w:rsidRPr="006006E9">
        <w:rPr>
          <w:rFonts w:ascii="Times New Roman" w:hAnsi="Times New Roman" w:cs="Times New Roman"/>
          <w:sz w:val="24"/>
          <w:szCs w:val="24"/>
        </w:rPr>
        <w:lastRenderedPageBreak/>
        <w:t>improved from this project. The authority of this nuclear project is following different principles of this law during the construction of this project. This project can also help students to improve their technical skills. Interns of these projects are trained on a number of technical tools to improve their employability. This project can also be helpful for improving networking skills and leadership skills. Team management can also be improved with the help of taking an internship in this nuclear project. Benefits of the efficiency of workers can also be obtained from this project (</w:t>
      </w:r>
      <w:r w:rsidRPr="006006E9">
        <w:rPr>
          <w:rFonts w:ascii="Times New Roman" w:eastAsia="Times New Roman" w:hAnsi="Times New Roman" w:cs="Times New Roman"/>
          <w:color w:val="222222"/>
          <w:sz w:val="24"/>
          <w:szCs w:val="24"/>
          <w:highlight w:val="white"/>
        </w:rPr>
        <w:t xml:space="preserve">Sainati </w:t>
      </w:r>
      <w:r w:rsidRPr="006006E9">
        <w:rPr>
          <w:rFonts w:ascii="Times New Roman" w:eastAsia="Times New Roman" w:hAnsi="Times New Roman" w:cs="Times New Roman"/>
          <w:i/>
          <w:color w:val="222222"/>
          <w:sz w:val="24"/>
          <w:szCs w:val="24"/>
          <w:highlight w:val="white"/>
        </w:rPr>
        <w:t xml:space="preserve">et.al., </w:t>
      </w:r>
      <w:r w:rsidRPr="006006E9">
        <w:rPr>
          <w:rFonts w:ascii="Times New Roman" w:eastAsia="Times New Roman" w:hAnsi="Times New Roman" w:cs="Times New Roman"/>
          <w:color w:val="222222"/>
          <w:sz w:val="24"/>
          <w:szCs w:val="24"/>
          <w:highlight w:val="white"/>
        </w:rPr>
        <w:t>2019</w:t>
      </w:r>
      <w:r w:rsidRPr="006006E9">
        <w:rPr>
          <w:rFonts w:ascii="Times New Roman" w:hAnsi="Times New Roman" w:cs="Times New Roman"/>
          <w:sz w:val="24"/>
          <w:szCs w:val="24"/>
        </w:rPr>
        <w:t xml:space="preserve">). Hinkley Point C project is going to be a durable project. The durability of this project will be around 60 years. Higher efficiency and number of workers are two major reasons behind the durability of this project. </w:t>
      </w:r>
    </w:p>
    <w:p w14:paraId="781AE0F7" w14:textId="77777777" w:rsidR="00820C9D" w:rsidRP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 xml:space="preserve">After analysis of different aspects of this nuclear project different steps and strategies can be recommended for similar projects. The first strategy that can be recommended is to avoid delay in the completion of the project. In this aspect, proper planning and design of projects should be done.  Avoiding delay in projects can be helpful in avoiding cost overruns. The availability of raw materials should be focused on before the beginning of the project. The inflation rate of a country should also be considered before constructing any project in that country. Potential extra investment should also be required to tackle issues related to pandemics. The impact of the project on the environment should also be considered before proposing any project. Availability of sufficient workers is also required to maintain the progress of a project. This step can be helpful for avoiding delay in the completion of the project. Conflicts between workers and the authority can be another major reason behind the delay of the project. In this aspect, making regular payment to the contractor should also be focused on by the authority of a project. Maintenance of the quality of construction projects is also an essential aspect that should also be focused on by the authority of a project. Different other steps and strategies can also be recommended for similar projects. The </w:t>
      </w:r>
      <w:r w:rsidRPr="006006E9">
        <w:rPr>
          <w:rFonts w:ascii="Times New Roman" w:hAnsi="Times New Roman" w:cs="Times New Roman"/>
          <w:sz w:val="24"/>
          <w:szCs w:val="24"/>
        </w:rPr>
        <w:lastRenderedPageBreak/>
        <w:t xml:space="preserve">efficiency of workers and history of responsible authority should also be analyzed before the beginning of a construction project. As a result, the efficiency of a responsible construction company is directly related to the completion and durability of projects. Apart from that, the authority of the nuclear power plant should also focus on documents that are required to begin the construction of a nuclear project. It can also be recommended that the authority of nuclear projects should also consider the number of workers. Huge margin of efficient workers can be helpful for maintaining the durability of a project. Different problems related to construction projects can also be obtained from this project. The authority of this project has faced a number of issues to maintain the progress of this project. Data and information related to the mitigation strategies can also be extracted from this project. As a result, it can be said that the completion of a complex project can be done within a proper time with the help of proper planning. Avoiding delay of the completion of a project can be helpful for avoiding the costs overruns of that project. </w:t>
      </w:r>
    </w:p>
    <w:p w14:paraId="3A355061" w14:textId="77777777" w:rsidR="006006E9" w:rsidRDefault="00C312A2" w:rsidP="006006E9">
      <w:pPr>
        <w:pStyle w:val="Normal1"/>
        <w:spacing w:line="480" w:lineRule="auto"/>
        <w:jc w:val="both"/>
        <w:rPr>
          <w:rFonts w:ascii="Times New Roman" w:hAnsi="Times New Roman" w:cs="Times New Roman"/>
          <w:sz w:val="24"/>
          <w:szCs w:val="24"/>
        </w:rPr>
      </w:pPr>
      <w:r w:rsidRPr="006006E9">
        <w:rPr>
          <w:rFonts w:ascii="Times New Roman" w:hAnsi="Times New Roman" w:cs="Times New Roman"/>
          <w:sz w:val="24"/>
          <w:szCs w:val="24"/>
        </w:rPr>
        <w:t>It can be concluded that the Hinkley Point C project is funded by "EDF energy" and "China General Nuclear Power Group" respectively. The French company EDF The French government owns about 85% of this business. There are numerous causes for this nuclear power project's delays. One of the main reasons for this was the Covid19 pandemic. In addition, the discovery of flaws in a Chinese reactor that is comparable to this one may also be a significant contributor to the project's delay. In addition, the project's safety components are being redesigned, which is another reason why this nuclear power project is taking longer to finish. Complex construction projects frequently experience delays. However, the onset of the Covid19 pandemic has hampered this project's progress. This nuclear power project was pushed back for a number of reasons, the most important of which were a congestion in the transportation system and the imposition of a lockdown during the COVID</w:t>
      </w:r>
      <w:r w:rsidR="0060028F">
        <w:rPr>
          <w:rFonts w:ascii="Times New Roman" w:hAnsi="Times New Roman" w:cs="Times New Roman"/>
          <w:sz w:val="24"/>
          <w:szCs w:val="24"/>
        </w:rPr>
        <w:t>-</w:t>
      </w:r>
      <w:r w:rsidRPr="006006E9">
        <w:rPr>
          <w:rFonts w:ascii="Times New Roman" w:hAnsi="Times New Roman" w:cs="Times New Roman"/>
          <w:sz w:val="24"/>
          <w:szCs w:val="24"/>
        </w:rPr>
        <w:t xml:space="preserve">19 pandemic. Cost overruns can be avoided by avoiding project </w:t>
      </w:r>
      <w:r w:rsidRPr="006006E9">
        <w:rPr>
          <w:rFonts w:ascii="Times New Roman" w:hAnsi="Times New Roman" w:cs="Times New Roman"/>
          <w:sz w:val="24"/>
          <w:szCs w:val="24"/>
        </w:rPr>
        <w:lastRenderedPageBreak/>
        <w:t>delays. The accessibility of unrefined substances ought to be centered around before the start of the undertaking. Before beginning any project in a country, the country's inflation rate should also be taken into account.</w:t>
      </w:r>
    </w:p>
    <w:p w14:paraId="2A595B67" w14:textId="77777777" w:rsidR="006006E9" w:rsidRDefault="006006E9">
      <w:pPr>
        <w:rPr>
          <w:rFonts w:ascii="Times New Roman" w:hAnsi="Times New Roman" w:cs="Times New Roman"/>
          <w:sz w:val="24"/>
          <w:szCs w:val="24"/>
        </w:rPr>
      </w:pPr>
      <w:r>
        <w:rPr>
          <w:rFonts w:ascii="Times New Roman" w:hAnsi="Times New Roman" w:cs="Times New Roman"/>
          <w:sz w:val="24"/>
          <w:szCs w:val="24"/>
        </w:rPr>
        <w:br w:type="page"/>
      </w:r>
    </w:p>
    <w:p w14:paraId="411440CE" w14:textId="77777777" w:rsidR="00820C9D" w:rsidRPr="006006E9" w:rsidRDefault="006006E9" w:rsidP="006006E9">
      <w:pPr>
        <w:pStyle w:val="Normal1"/>
        <w:spacing w:line="480" w:lineRule="auto"/>
        <w:jc w:val="both"/>
        <w:rPr>
          <w:rFonts w:ascii="Times New Roman" w:hAnsi="Times New Roman" w:cs="Times New Roman"/>
          <w:b/>
          <w:sz w:val="28"/>
          <w:szCs w:val="24"/>
        </w:rPr>
      </w:pPr>
      <w:r w:rsidRPr="006006E9">
        <w:rPr>
          <w:rFonts w:ascii="Times New Roman" w:hAnsi="Times New Roman" w:cs="Times New Roman"/>
          <w:b/>
          <w:sz w:val="28"/>
          <w:szCs w:val="24"/>
        </w:rPr>
        <w:lastRenderedPageBreak/>
        <w:t>Reference</w:t>
      </w:r>
      <w:r w:rsidR="0060028F">
        <w:rPr>
          <w:rFonts w:ascii="Times New Roman" w:hAnsi="Times New Roman" w:cs="Times New Roman"/>
          <w:b/>
          <w:sz w:val="28"/>
          <w:szCs w:val="24"/>
        </w:rPr>
        <w:t>s</w:t>
      </w:r>
    </w:p>
    <w:p w14:paraId="4106F621"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Alberto, I., 2019. A Critical Analysis of the Wind Generated Effect on the Rate of Overtopping on the Hinkley Point C Sea Wall Through the use of Physical Modelling.</w:t>
      </w:r>
    </w:p>
    <w:p w14:paraId="431D1AEB" w14:textId="77777777" w:rsidR="0060028F" w:rsidRPr="0060028F" w:rsidRDefault="0060028F" w:rsidP="0060028F">
      <w:pPr>
        <w:spacing w:line="480" w:lineRule="auto"/>
        <w:jc w:val="both"/>
        <w:rPr>
          <w:rFonts w:ascii="Times New Roman" w:hAnsi="Times New Roman" w:cs="Times New Roman"/>
          <w:sz w:val="28"/>
        </w:rPr>
      </w:pPr>
      <w:r w:rsidRPr="0060028F">
        <w:rPr>
          <w:rFonts w:ascii="Times New Roman" w:hAnsi="Times New Roman" w:cs="Times New Roman"/>
          <w:color w:val="222222"/>
          <w:sz w:val="24"/>
          <w:szCs w:val="20"/>
          <w:shd w:val="clear" w:color="auto" w:fill="FFFFFF"/>
        </w:rPr>
        <w:t>Aldama-Bustos, G., Tromans, I.J., Strasser, F., Garrard, G., Green, G., Rivers, L., Douglas, J., Musson, R.M., Hunt, S., Lessi-Cheimariou, A. and Daví, M., 2019. A streamlined approach for the seismic hazard assessment of a new nuclear power plant in the UK. </w:t>
      </w:r>
      <w:r w:rsidRPr="0060028F">
        <w:rPr>
          <w:rFonts w:ascii="Times New Roman" w:hAnsi="Times New Roman" w:cs="Times New Roman"/>
          <w:i/>
          <w:iCs/>
          <w:color w:val="222222"/>
          <w:sz w:val="24"/>
          <w:szCs w:val="20"/>
          <w:shd w:val="clear" w:color="auto" w:fill="FFFFFF"/>
        </w:rPr>
        <w:t>Bulletin of earthquake engineering</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17</w:t>
      </w:r>
      <w:r w:rsidRPr="0060028F">
        <w:rPr>
          <w:rFonts w:ascii="Times New Roman" w:hAnsi="Times New Roman" w:cs="Times New Roman"/>
          <w:color w:val="222222"/>
          <w:sz w:val="24"/>
          <w:szCs w:val="20"/>
          <w:shd w:val="clear" w:color="auto" w:fill="FFFFFF"/>
        </w:rPr>
        <w:t>, pp.37-54.</w:t>
      </w:r>
    </w:p>
    <w:p w14:paraId="4E9E756C"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Besse, M.E., Julia, A., Gody, A. and Veronese, T.P., 2022, October. Human Factors integration program into the equipment design of a nuclear power plant. In </w:t>
      </w:r>
      <w:r w:rsidRPr="0060028F">
        <w:rPr>
          <w:rFonts w:ascii="Times New Roman" w:hAnsi="Times New Roman" w:cs="Times New Roman"/>
          <w:i/>
          <w:iCs/>
          <w:color w:val="222222"/>
          <w:sz w:val="24"/>
          <w:szCs w:val="20"/>
          <w:shd w:val="clear" w:color="auto" w:fill="FFFFFF"/>
        </w:rPr>
        <w:t>Congrès Lambda Mu 23 «Innovations et maîtrise des risques pour un avenir durable»-23e Congrès de Maîtrise des Risques et de Sûreté de Fonctionnement, Institut pour la Maîtrise des Risques</w:t>
      </w:r>
      <w:r w:rsidRPr="0060028F">
        <w:rPr>
          <w:rFonts w:ascii="Times New Roman" w:hAnsi="Times New Roman" w:cs="Times New Roman"/>
          <w:color w:val="222222"/>
          <w:sz w:val="24"/>
          <w:szCs w:val="20"/>
          <w:shd w:val="clear" w:color="auto" w:fill="FFFFFF"/>
        </w:rPr>
        <w:t>.</w:t>
      </w:r>
    </w:p>
    <w:p w14:paraId="300B9816"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Butcher, A., Stork, A.L., Verdon, J.P., Kendall, J.M., Plenkers, K., Booth, F., Boneham, M. and Koe, A., 2021. Evaluating rock mass disturbance within open-pit excavations using seismic methods: A case study from the Hinkley Point C nuclear power station. </w:t>
      </w:r>
      <w:r w:rsidRPr="0060028F">
        <w:rPr>
          <w:rFonts w:ascii="Times New Roman" w:hAnsi="Times New Roman" w:cs="Times New Roman"/>
          <w:i/>
          <w:iCs/>
          <w:color w:val="222222"/>
          <w:sz w:val="24"/>
          <w:szCs w:val="20"/>
          <w:shd w:val="clear" w:color="auto" w:fill="FFFFFF"/>
        </w:rPr>
        <w:t>Journal of Rock Mechanics and Geotechnical Engineering</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13</w:t>
      </w:r>
      <w:r w:rsidRPr="0060028F">
        <w:rPr>
          <w:rFonts w:ascii="Times New Roman" w:hAnsi="Times New Roman" w:cs="Times New Roman"/>
          <w:color w:val="222222"/>
          <w:sz w:val="24"/>
          <w:szCs w:val="20"/>
          <w:shd w:val="clear" w:color="auto" w:fill="FFFFFF"/>
        </w:rPr>
        <w:t>(3), pp.500-512.</w:t>
      </w:r>
    </w:p>
    <w:p w14:paraId="47D65464"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Carpenter, A. and Energy, M.N., 2019. Investigating surface deformation surrounding Hinkley Point C using InSAR.</w:t>
      </w:r>
    </w:p>
    <w:p w14:paraId="0470565A"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Castor, J., Bacha, K. and Nerini, F.F., 2020. SDGs in action: A novel framework for assessing energy projects against the sustainable development goals. </w:t>
      </w:r>
      <w:r w:rsidRPr="0060028F">
        <w:rPr>
          <w:rFonts w:ascii="Times New Roman" w:hAnsi="Times New Roman" w:cs="Times New Roman"/>
          <w:i/>
          <w:iCs/>
          <w:color w:val="222222"/>
          <w:sz w:val="24"/>
          <w:szCs w:val="20"/>
          <w:shd w:val="clear" w:color="auto" w:fill="FFFFFF"/>
        </w:rPr>
        <w:t>Energy Research &amp; Social Science</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68</w:t>
      </w:r>
      <w:r w:rsidRPr="0060028F">
        <w:rPr>
          <w:rFonts w:ascii="Times New Roman" w:hAnsi="Times New Roman" w:cs="Times New Roman"/>
          <w:color w:val="222222"/>
          <w:sz w:val="24"/>
          <w:szCs w:val="20"/>
          <w:shd w:val="clear" w:color="auto" w:fill="FFFFFF"/>
        </w:rPr>
        <w:t>, p.101556.</w:t>
      </w:r>
    </w:p>
    <w:p w14:paraId="64AD5BE3" w14:textId="77777777" w:rsidR="0060028F" w:rsidRPr="0060028F" w:rsidRDefault="0060028F" w:rsidP="0060028F">
      <w:pPr>
        <w:spacing w:line="480" w:lineRule="auto"/>
        <w:jc w:val="both"/>
        <w:rPr>
          <w:rFonts w:ascii="Times New Roman" w:hAnsi="Times New Roman" w:cs="Times New Roman"/>
          <w:sz w:val="28"/>
        </w:rPr>
      </w:pPr>
      <w:r w:rsidRPr="0060028F">
        <w:rPr>
          <w:rFonts w:ascii="Times New Roman" w:hAnsi="Times New Roman" w:cs="Times New Roman"/>
          <w:color w:val="222222"/>
          <w:sz w:val="24"/>
          <w:szCs w:val="20"/>
          <w:shd w:val="clear" w:color="auto" w:fill="FFFFFF"/>
        </w:rPr>
        <w:t>Child, M., Ilonen, R., Vavilov, M., Kolehmainen, M. and Breyer, C., 2019. Scenarios for sustainable energy in Scotland. </w:t>
      </w:r>
      <w:r w:rsidRPr="0060028F">
        <w:rPr>
          <w:rFonts w:ascii="Times New Roman" w:hAnsi="Times New Roman" w:cs="Times New Roman"/>
          <w:i/>
          <w:iCs/>
          <w:color w:val="222222"/>
          <w:sz w:val="24"/>
          <w:szCs w:val="20"/>
          <w:shd w:val="clear" w:color="auto" w:fill="FFFFFF"/>
        </w:rPr>
        <w:t>Wind Energy</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22</w:t>
      </w:r>
      <w:r w:rsidRPr="0060028F">
        <w:rPr>
          <w:rFonts w:ascii="Times New Roman" w:hAnsi="Times New Roman" w:cs="Times New Roman"/>
          <w:color w:val="222222"/>
          <w:sz w:val="24"/>
          <w:szCs w:val="20"/>
          <w:shd w:val="clear" w:color="auto" w:fill="FFFFFF"/>
        </w:rPr>
        <w:t>(5), pp.666-684.</w:t>
      </w:r>
    </w:p>
    <w:p w14:paraId="69AAFF36"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lastRenderedPageBreak/>
        <w:t>Daniel, E. and Daniel, P.A., 2019. Megaprojects as complex adaptive systems: The Hinkley point C case. </w:t>
      </w:r>
      <w:r w:rsidRPr="0060028F">
        <w:rPr>
          <w:rFonts w:ascii="Times New Roman" w:hAnsi="Times New Roman" w:cs="Times New Roman"/>
          <w:i/>
          <w:iCs/>
          <w:color w:val="222222"/>
          <w:sz w:val="24"/>
          <w:szCs w:val="20"/>
          <w:shd w:val="clear" w:color="auto" w:fill="FFFFFF"/>
        </w:rPr>
        <w:t>International Journal of Project Management</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37</w:t>
      </w:r>
      <w:r w:rsidRPr="0060028F">
        <w:rPr>
          <w:rFonts w:ascii="Times New Roman" w:hAnsi="Times New Roman" w:cs="Times New Roman"/>
          <w:color w:val="222222"/>
          <w:sz w:val="24"/>
          <w:szCs w:val="20"/>
          <w:shd w:val="clear" w:color="auto" w:fill="FFFFFF"/>
        </w:rPr>
        <w:t>(8), pp.1017-1033.</w:t>
      </w:r>
    </w:p>
    <w:p w14:paraId="600D9C19"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Dyrda, J. and Morrison, R., 2021. Overview of the Hinkley Point C EPR Project ‘J0’and Beyond. In </w:t>
      </w:r>
      <w:r w:rsidRPr="0060028F">
        <w:rPr>
          <w:rFonts w:ascii="Times New Roman" w:hAnsi="Times New Roman" w:cs="Times New Roman"/>
          <w:i/>
          <w:iCs/>
          <w:color w:val="222222"/>
          <w:sz w:val="24"/>
          <w:szCs w:val="20"/>
          <w:shd w:val="clear" w:color="auto" w:fill="FFFFFF"/>
        </w:rPr>
        <w:t>EPJ Web of Conferences</w:t>
      </w:r>
      <w:r w:rsidRPr="0060028F">
        <w:rPr>
          <w:rFonts w:ascii="Times New Roman" w:hAnsi="Times New Roman" w:cs="Times New Roman"/>
          <w:color w:val="222222"/>
          <w:sz w:val="24"/>
          <w:szCs w:val="20"/>
          <w:shd w:val="clear" w:color="auto" w:fill="FFFFFF"/>
        </w:rPr>
        <w:t> (Vol. 247, p. 20001). EDP Sciences.</w:t>
      </w:r>
    </w:p>
    <w:p w14:paraId="052A50FD"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Glasson, J., Durning, B., Broderick, M. and Welch, K., 2021. Monitoring and auditing the local socio-economic and environmental impacts of the early stage construction of Hinkley Point C Nuclear Power Station, UK. </w:t>
      </w:r>
      <w:r w:rsidRPr="0060028F">
        <w:rPr>
          <w:rFonts w:ascii="Times New Roman" w:hAnsi="Times New Roman" w:cs="Times New Roman"/>
          <w:i/>
          <w:iCs/>
          <w:color w:val="222222"/>
          <w:sz w:val="24"/>
          <w:szCs w:val="20"/>
          <w:shd w:val="clear" w:color="auto" w:fill="FFFFFF"/>
        </w:rPr>
        <w:t>Impact Assessment and Project Appraisal</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39</w:t>
      </w:r>
      <w:r w:rsidRPr="0060028F">
        <w:rPr>
          <w:rFonts w:ascii="Times New Roman" w:hAnsi="Times New Roman" w:cs="Times New Roman"/>
          <w:color w:val="222222"/>
          <w:sz w:val="24"/>
          <w:szCs w:val="20"/>
          <w:shd w:val="clear" w:color="auto" w:fill="FFFFFF"/>
        </w:rPr>
        <w:t>(2), pp.84-95.</w:t>
      </w:r>
    </w:p>
    <w:p w14:paraId="4371AE96"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Lovas, D., 2021. Relevance of the Court Decision on the Hinkley Point Nuclear Power Plant in Relation to Paks II. </w:t>
      </w:r>
      <w:r w:rsidRPr="0060028F">
        <w:rPr>
          <w:rFonts w:ascii="Times New Roman" w:hAnsi="Times New Roman" w:cs="Times New Roman"/>
          <w:i/>
          <w:iCs/>
          <w:color w:val="222222"/>
          <w:sz w:val="24"/>
          <w:szCs w:val="20"/>
          <w:shd w:val="clear" w:color="auto" w:fill="FFFFFF"/>
        </w:rPr>
        <w:t>Studia Iuridica Lublinensia</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30</w:t>
      </w:r>
      <w:r w:rsidRPr="0060028F">
        <w:rPr>
          <w:rFonts w:ascii="Times New Roman" w:hAnsi="Times New Roman" w:cs="Times New Roman"/>
          <w:color w:val="222222"/>
          <w:sz w:val="24"/>
          <w:szCs w:val="20"/>
          <w:shd w:val="clear" w:color="auto" w:fill="FFFFFF"/>
        </w:rPr>
        <w:t>(2), pp.305-317.</w:t>
      </w:r>
    </w:p>
    <w:p w14:paraId="7B437E90"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Ogunmakin, B.A., Koe, A. and Jean-Philippe, M., 2021, August. Rock joint scale effects in numerical modelling-Hinkley Point C, a case study. In </w:t>
      </w:r>
      <w:r w:rsidRPr="0060028F">
        <w:rPr>
          <w:rFonts w:ascii="Times New Roman" w:hAnsi="Times New Roman" w:cs="Times New Roman"/>
          <w:i/>
          <w:iCs/>
          <w:color w:val="222222"/>
          <w:sz w:val="24"/>
          <w:szCs w:val="20"/>
          <w:shd w:val="clear" w:color="auto" w:fill="FFFFFF"/>
        </w:rPr>
        <w:t>IOP Conference Series: Earth and Environmental Science</w:t>
      </w:r>
      <w:r w:rsidRPr="0060028F">
        <w:rPr>
          <w:rFonts w:ascii="Times New Roman" w:hAnsi="Times New Roman" w:cs="Times New Roman"/>
          <w:color w:val="222222"/>
          <w:sz w:val="24"/>
          <w:szCs w:val="20"/>
          <w:shd w:val="clear" w:color="auto" w:fill="FFFFFF"/>
        </w:rPr>
        <w:t> (Vol. 833, No. 1, p. 012115). IOP Publishing.</w:t>
      </w:r>
    </w:p>
    <w:p w14:paraId="675B64DA" w14:textId="77777777" w:rsidR="0060028F" w:rsidRPr="0060028F" w:rsidRDefault="0060028F" w:rsidP="0060028F">
      <w:pPr>
        <w:spacing w:line="480" w:lineRule="auto"/>
        <w:jc w:val="both"/>
        <w:rPr>
          <w:rFonts w:ascii="Times New Roman" w:hAnsi="Times New Roman" w:cs="Times New Roman"/>
          <w:color w:val="222222"/>
          <w:sz w:val="24"/>
          <w:szCs w:val="20"/>
          <w:shd w:val="clear" w:color="auto" w:fill="FFFFFF"/>
        </w:rPr>
      </w:pPr>
      <w:r w:rsidRPr="0060028F">
        <w:rPr>
          <w:rFonts w:ascii="Times New Roman" w:hAnsi="Times New Roman" w:cs="Times New Roman"/>
          <w:color w:val="222222"/>
          <w:sz w:val="24"/>
          <w:szCs w:val="20"/>
          <w:shd w:val="clear" w:color="auto" w:fill="FFFFFF"/>
        </w:rPr>
        <w:t>Resch, G. and Suna, D., 2019. Renewable Energies versus Nuclear Power: Comparison of Financial Support Exemplified at the Case of Hinkley Point C. </w:t>
      </w:r>
      <w:r w:rsidRPr="0060028F">
        <w:rPr>
          <w:rFonts w:ascii="Times New Roman" w:hAnsi="Times New Roman" w:cs="Times New Roman"/>
          <w:i/>
          <w:iCs/>
          <w:color w:val="222222"/>
          <w:sz w:val="24"/>
          <w:szCs w:val="20"/>
          <w:shd w:val="clear" w:color="auto" w:fill="FFFFFF"/>
        </w:rPr>
        <w:t>The Technological and Economic Future of Nuclear Power</w:t>
      </w:r>
      <w:r w:rsidRPr="0060028F">
        <w:rPr>
          <w:rFonts w:ascii="Times New Roman" w:hAnsi="Times New Roman" w:cs="Times New Roman"/>
          <w:color w:val="222222"/>
          <w:sz w:val="24"/>
          <w:szCs w:val="20"/>
          <w:shd w:val="clear" w:color="auto" w:fill="FFFFFF"/>
        </w:rPr>
        <w:t>, pp.117-137.</w:t>
      </w:r>
    </w:p>
    <w:p w14:paraId="3838F9DB" w14:textId="77777777" w:rsidR="0060028F" w:rsidRPr="0060028F" w:rsidRDefault="0060028F" w:rsidP="0060028F">
      <w:pPr>
        <w:spacing w:line="480" w:lineRule="auto"/>
        <w:jc w:val="both"/>
        <w:rPr>
          <w:rFonts w:ascii="Times New Roman" w:hAnsi="Times New Roman" w:cs="Times New Roman"/>
          <w:sz w:val="28"/>
        </w:rPr>
      </w:pPr>
      <w:r w:rsidRPr="0060028F">
        <w:rPr>
          <w:rFonts w:ascii="Times New Roman" w:hAnsi="Times New Roman" w:cs="Times New Roman"/>
          <w:color w:val="222222"/>
          <w:sz w:val="24"/>
          <w:szCs w:val="20"/>
          <w:shd w:val="clear" w:color="auto" w:fill="FFFFFF"/>
        </w:rPr>
        <w:t>Sainati, T., Locatelli, G. and Smith, N., 2019. Project financing in nuclear new build, why not? The legal and regulatory barriers. </w:t>
      </w:r>
      <w:r w:rsidRPr="0060028F">
        <w:rPr>
          <w:rFonts w:ascii="Times New Roman" w:hAnsi="Times New Roman" w:cs="Times New Roman"/>
          <w:i/>
          <w:iCs/>
          <w:color w:val="222222"/>
          <w:sz w:val="24"/>
          <w:szCs w:val="20"/>
          <w:shd w:val="clear" w:color="auto" w:fill="FFFFFF"/>
        </w:rPr>
        <w:t>Energy policy</w:t>
      </w:r>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129</w:t>
      </w:r>
      <w:r w:rsidRPr="0060028F">
        <w:rPr>
          <w:rFonts w:ascii="Times New Roman" w:hAnsi="Times New Roman" w:cs="Times New Roman"/>
          <w:color w:val="222222"/>
          <w:sz w:val="24"/>
          <w:szCs w:val="20"/>
          <w:shd w:val="clear" w:color="auto" w:fill="FFFFFF"/>
        </w:rPr>
        <w:t>, pp.111-119.</w:t>
      </w:r>
    </w:p>
    <w:p w14:paraId="7CD6074B" w14:textId="77777777" w:rsidR="0060028F" w:rsidRPr="0060028F" w:rsidRDefault="0060028F" w:rsidP="0060028F">
      <w:pPr>
        <w:spacing w:line="480" w:lineRule="auto"/>
        <w:jc w:val="both"/>
        <w:rPr>
          <w:rFonts w:ascii="Times New Roman" w:hAnsi="Times New Roman" w:cs="Times New Roman"/>
          <w:sz w:val="28"/>
        </w:rPr>
      </w:pPr>
      <w:r w:rsidRPr="0060028F">
        <w:rPr>
          <w:rFonts w:ascii="Times New Roman" w:hAnsi="Times New Roman" w:cs="Times New Roman"/>
          <w:color w:val="222222"/>
          <w:sz w:val="24"/>
          <w:szCs w:val="20"/>
          <w:shd w:val="clear" w:color="auto" w:fill="FFFFFF"/>
        </w:rPr>
        <w:t xml:space="preserve">Sizewell, C. and Bradwell, B., 2020. climate change–hubris or nemesis for nuclear </w:t>
      </w:r>
      <w:proofErr w:type="gramStart"/>
      <w:r w:rsidRPr="0060028F">
        <w:rPr>
          <w:rFonts w:ascii="Times New Roman" w:hAnsi="Times New Roman" w:cs="Times New Roman"/>
          <w:color w:val="222222"/>
          <w:sz w:val="24"/>
          <w:szCs w:val="20"/>
          <w:shd w:val="clear" w:color="auto" w:fill="FFFFFF"/>
        </w:rPr>
        <w:t>power?.</w:t>
      </w:r>
      <w:proofErr w:type="gramEnd"/>
      <w:r w:rsidRPr="0060028F">
        <w:rPr>
          <w:rFonts w:ascii="Times New Roman" w:hAnsi="Times New Roman" w:cs="Times New Roman"/>
          <w:color w:val="222222"/>
          <w:sz w:val="24"/>
          <w:szCs w:val="20"/>
          <w:shd w:val="clear" w:color="auto" w:fill="FFFFFF"/>
        </w:rPr>
        <w:t> </w:t>
      </w:r>
      <w:r w:rsidRPr="0060028F">
        <w:rPr>
          <w:rFonts w:ascii="Times New Roman" w:hAnsi="Times New Roman" w:cs="Times New Roman"/>
          <w:i/>
          <w:iCs/>
          <w:color w:val="222222"/>
          <w:sz w:val="24"/>
          <w:szCs w:val="20"/>
          <w:shd w:val="clear" w:color="auto" w:fill="FFFFFF"/>
        </w:rPr>
        <w:t>Town &amp; Country Planning</w:t>
      </w:r>
      <w:r w:rsidRPr="0060028F">
        <w:rPr>
          <w:rFonts w:ascii="Times New Roman" w:hAnsi="Times New Roman" w:cs="Times New Roman"/>
          <w:color w:val="222222"/>
          <w:sz w:val="24"/>
          <w:szCs w:val="20"/>
          <w:shd w:val="clear" w:color="auto" w:fill="FFFFFF"/>
        </w:rPr>
        <w:t>, p.339.</w:t>
      </w:r>
    </w:p>
    <w:p w14:paraId="39E2C60D" w14:textId="77777777" w:rsidR="006006E9" w:rsidRPr="006006E9" w:rsidRDefault="006006E9" w:rsidP="006006E9">
      <w:pPr>
        <w:pStyle w:val="Normal1"/>
        <w:spacing w:line="480" w:lineRule="auto"/>
        <w:jc w:val="both"/>
        <w:rPr>
          <w:rFonts w:ascii="Times New Roman" w:hAnsi="Times New Roman" w:cs="Times New Roman"/>
          <w:sz w:val="24"/>
          <w:szCs w:val="24"/>
        </w:rPr>
      </w:pPr>
    </w:p>
    <w:sectPr w:rsidR="006006E9" w:rsidRPr="006006E9" w:rsidSect="006006E9">
      <w:headerReference w:type="default" r:id="rId7"/>
      <w:footerReference w:type="default" r:id="rId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2F6B3" w14:textId="77777777" w:rsidR="00AB1642" w:rsidRDefault="00AB1642" w:rsidP="00820C9D">
      <w:pPr>
        <w:spacing w:line="240" w:lineRule="auto"/>
      </w:pPr>
      <w:r>
        <w:separator/>
      </w:r>
    </w:p>
  </w:endnote>
  <w:endnote w:type="continuationSeparator" w:id="0">
    <w:p w14:paraId="4ABDE901" w14:textId="77777777" w:rsidR="00AB1642" w:rsidRDefault="00AB1642" w:rsidP="00820C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082259"/>
      <w:docPartObj>
        <w:docPartGallery w:val="Page Numbers (Bottom of Page)"/>
        <w:docPartUnique/>
      </w:docPartObj>
    </w:sdtPr>
    <w:sdtContent>
      <w:sdt>
        <w:sdtPr>
          <w:id w:val="565050523"/>
          <w:docPartObj>
            <w:docPartGallery w:val="Page Numbers (Top of Page)"/>
            <w:docPartUnique/>
          </w:docPartObj>
        </w:sdtPr>
        <w:sdtContent>
          <w:p w14:paraId="431253D3" w14:textId="77777777" w:rsidR="006006E9" w:rsidRDefault="006006E9" w:rsidP="006006E9">
            <w:pPr>
              <w:pStyle w:val="Footer"/>
              <w:spacing w:line="480" w:lineRule="auto"/>
              <w:jc w:val="right"/>
            </w:pPr>
            <w:r w:rsidRPr="006006E9">
              <w:rPr>
                <w:rFonts w:ascii="Times New Roman" w:hAnsi="Times New Roman" w:cs="Times New Roman"/>
                <w:sz w:val="20"/>
                <w:szCs w:val="20"/>
              </w:rPr>
              <w:t xml:space="preserve">Page </w:t>
            </w:r>
            <w:r w:rsidRPr="006006E9">
              <w:rPr>
                <w:rFonts w:ascii="Times New Roman" w:hAnsi="Times New Roman" w:cs="Times New Roman"/>
                <w:b/>
                <w:sz w:val="20"/>
                <w:szCs w:val="20"/>
              </w:rPr>
              <w:fldChar w:fldCharType="begin"/>
            </w:r>
            <w:r w:rsidRPr="006006E9">
              <w:rPr>
                <w:rFonts w:ascii="Times New Roman" w:hAnsi="Times New Roman" w:cs="Times New Roman"/>
                <w:b/>
                <w:sz w:val="20"/>
                <w:szCs w:val="20"/>
              </w:rPr>
              <w:instrText xml:space="preserve"> PAGE </w:instrText>
            </w:r>
            <w:r w:rsidRPr="006006E9">
              <w:rPr>
                <w:rFonts w:ascii="Times New Roman" w:hAnsi="Times New Roman" w:cs="Times New Roman"/>
                <w:b/>
                <w:sz w:val="20"/>
                <w:szCs w:val="20"/>
              </w:rPr>
              <w:fldChar w:fldCharType="separate"/>
            </w:r>
            <w:r w:rsidR="00D904CE">
              <w:rPr>
                <w:rFonts w:ascii="Times New Roman" w:hAnsi="Times New Roman" w:cs="Times New Roman"/>
                <w:b/>
                <w:noProof/>
                <w:sz w:val="20"/>
                <w:szCs w:val="20"/>
              </w:rPr>
              <w:t>11</w:t>
            </w:r>
            <w:r w:rsidRPr="006006E9">
              <w:rPr>
                <w:rFonts w:ascii="Times New Roman" w:hAnsi="Times New Roman" w:cs="Times New Roman"/>
                <w:b/>
                <w:sz w:val="20"/>
                <w:szCs w:val="20"/>
              </w:rPr>
              <w:fldChar w:fldCharType="end"/>
            </w:r>
            <w:r w:rsidRPr="006006E9">
              <w:rPr>
                <w:rFonts w:ascii="Times New Roman" w:hAnsi="Times New Roman" w:cs="Times New Roman"/>
                <w:sz w:val="20"/>
                <w:szCs w:val="20"/>
              </w:rPr>
              <w:t xml:space="preserve"> of </w:t>
            </w:r>
            <w:r w:rsidRPr="006006E9">
              <w:rPr>
                <w:rFonts w:ascii="Times New Roman" w:hAnsi="Times New Roman" w:cs="Times New Roman"/>
                <w:b/>
                <w:sz w:val="20"/>
                <w:szCs w:val="20"/>
              </w:rPr>
              <w:fldChar w:fldCharType="begin"/>
            </w:r>
            <w:r w:rsidRPr="006006E9">
              <w:rPr>
                <w:rFonts w:ascii="Times New Roman" w:hAnsi="Times New Roman" w:cs="Times New Roman"/>
                <w:b/>
                <w:sz w:val="20"/>
                <w:szCs w:val="20"/>
              </w:rPr>
              <w:instrText xml:space="preserve"> NUMPAGES  </w:instrText>
            </w:r>
            <w:r w:rsidRPr="006006E9">
              <w:rPr>
                <w:rFonts w:ascii="Times New Roman" w:hAnsi="Times New Roman" w:cs="Times New Roman"/>
                <w:b/>
                <w:sz w:val="20"/>
                <w:szCs w:val="20"/>
              </w:rPr>
              <w:fldChar w:fldCharType="separate"/>
            </w:r>
            <w:r w:rsidR="00D904CE">
              <w:rPr>
                <w:rFonts w:ascii="Times New Roman" w:hAnsi="Times New Roman" w:cs="Times New Roman"/>
                <w:b/>
                <w:noProof/>
                <w:sz w:val="20"/>
                <w:szCs w:val="20"/>
              </w:rPr>
              <w:t>11</w:t>
            </w:r>
            <w:r w:rsidRPr="006006E9">
              <w:rPr>
                <w:rFonts w:ascii="Times New Roman" w:hAnsi="Times New Roman" w:cs="Times New Roman"/>
                <w:b/>
                <w:sz w:val="20"/>
                <w:szCs w:val="20"/>
              </w:rPr>
              <w:fldChar w:fldCharType="end"/>
            </w:r>
          </w:p>
        </w:sdtContent>
      </w:sdt>
    </w:sdtContent>
  </w:sdt>
  <w:p w14:paraId="3126AA5B" w14:textId="77777777" w:rsidR="006006E9" w:rsidRDefault="00600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463FF" w14:textId="77777777" w:rsidR="00AB1642" w:rsidRDefault="00AB1642" w:rsidP="00820C9D">
      <w:pPr>
        <w:spacing w:line="240" w:lineRule="auto"/>
      </w:pPr>
      <w:r>
        <w:separator/>
      </w:r>
    </w:p>
  </w:footnote>
  <w:footnote w:type="continuationSeparator" w:id="0">
    <w:p w14:paraId="6EFEF5CD" w14:textId="77777777" w:rsidR="00AB1642" w:rsidRDefault="00AB1642" w:rsidP="00820C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2D36A" w14:textId="77777777" w:rsidR="00820C9D" w:rsidRPr="006006E9" w:rsidRDefault="006006E9" w:rsidP="006006E9">
    <w:pPr>
      <w:spacing w:line="480" w:lineRule="auto"/>
      <w:jc w:val="right"/>
      <w:rPr>
        <w:rFonts w:ascii="Times New Roman" w:hAnsi="Times New Roman" w:cs="Times New Roman"/>
        <w:b/>
        <w:sz w:val="20"/>
      </w:rPr>
    </w:pPr>
    <w:r w:rsidRPr="006006E9">
      <w:rPr>
        <w:rFonts w:ascii="Times New Roman" w:hAnsi="Times New Roman" w:cs="Times New Roman"/>
        <w:b/>
        <w:sz w:val="20"/>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D64E1"/>
    <w:multiLevelType w:val="hybridMultilevel"/>
    <w:tmpl w:val="A1D857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74586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C9D"/>
    <w:rsid w:val="00084DB6"/>
    <w:rsid w:val="004801D5"/>
    <w:rsid w:val="0060028F"/>
    <w:rsid w:val="006006E9"/>
    <w:rsid w:val="00773D62"/>
    <w:rsid w:val="00820C9D"/>
    <w:rsid w:val="00AB1642"/>
    <w:rsid w:val="00C312A2"/>
    <w:rsid w:val="00D904CE"/>
    <w:rsid w:val="00DB5F69"/>
    <w:rsid w:val="00E55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23313"/>
  <w15:docId w15:val="{588D0493-F17D-4D5D-A28D-D2629B086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20C9D"/>
    <w:pPr>
      <w:keepNext/>
      <w:keepLines/>
      <w:spacing w:before="400" w:after="120"/>
      <w:outlineLvl w:val="0"/>
    </w:pPr>
    <w:rPr>
      <w:sz w:val="40"/>
      <w:szCs w:val="40"/>
    </w:rPr>
  </w:style>
  <w:style w:type="paragraph" w:styleId="Heading2">
    <w:name w:val="heading 2"/>
    <w:basedOn w:val="Normal1"/>
    <w:next w:val="Normal1"/>
    <w:rsid w:val="00820C9D"/>
    <w:pPr>
      <w:keepNext/>
      <w:keepLines/>
      <w:spacing w:before="360" w:after="120"/>
      <w:outlineLvl w:val="1"/>
    </w:pPr>
    <w:rPr>
      <w:sz w:val="32"/>
      <w:szCs w:val="32"/>
    </w:rPr>
  </w:style>
  <w:style w:type="paragraph" w:styleId="Heading3">
    <w:name w:val="heading 3"/>
    <w:basedOn w:val="Normal1"/>
    <w:next w:val="Normal1"/>
    <w:rsid w:val="00820C9D"/>
    <w:pPr>
      <w:keepNext/>
      <w:keepLines/>
      <w:spacing w:before="320" w:after="80"/>
      <w:outlineLvl w:val="2"/>
    </w:pPr>
    <w:rPr>
      <w:color w:val="434343"/>
      <w:sz w:val="28"/>
      <w:szCs w:val="28"/>
    </w:rPr>
  </w:style>
  <w:style w:type="paragraph" w:styleId="Heading4">
    <w:name w:val="heading 4"/>
    <w:basedOn w:val="Normal1"/>
    <w:next w:val="Normal1"/>
    <w:rsid w:val="00820C9D"/>
    <w:pPr>
      <w:keepNext/>
      <w:keepLines/>
      <w:spacing w:before="280" w:after="80"/>
      <w:outlineLvl w:val="3"/>
    </w:pPr>
    <w:rPr>
      <w:color w:val="666666"/>
      <w:sz w:val="24"/>
      <w:szCs w:val="24"/>
    </w:rPr>
  </w:style>
  <w:style w:type="paragraph" w:styleId="Heading5">
    <w:name w:val="heading 5"/>
    <w:basedOn w:val="Normal1"/>
    <w:next w:val="Normal1"/>
    <w:rsid w:val="00820C9D"/>
    <w:pPr>
      <w:keepNext/>
      <w:keepLines/>
      <w:spacing w:before="240" w:after="80"/>
      <w:outlineLvl w:val="4"/>
    </w:pPr>
    <w:rPr>
      <w:color w:val="666666"/>
    </w:rPr>
  </w:style>
  <w:style w:type="paragraph" w:styleId="Heading6">
    <w:name w:val="heading 6"/>
    <w:basedOn w:val="Normal1"/>
    <w:next w:val="Normal1"/>
    <w:rsid w:val="00820C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0C9D"/>
  </w:style>
  <w:style w:type="table" w:customStyle="1" w:styleId="TableNormal1">
    <w:name w:val="Table Normal1"/>
    <w:rsid w:val="00820C9D"/>
    <w:tblPr>
      <w:tblCellMar>
        <w:top w:w="0" w:type="dxa"/>
        <w:left w:w="0" w:type="dxa"/>
        <w:bottom w:w="0" w:type="dxa"/>
        <w:right w:w="0" w:type="dxa"/>
      </w:tblCellMar>
    </w:tblPr>
  </w:style>
  <w:style w:type="paragraph" w:styleId="Title">
    <w:name w:val="Title"/>
    <w:basedOn w:val="Normal1"/>
    <w:next w:val="Normal1"/>
    <w:rsid w:val="00820C9D"/>
    <w:pPr>
      <w:keepNext/>
      <w:keepLines/>
      <w:spacing w:after="60"/>
    </w:pPr>
    <w:rPr>
      <w:sz w:val="52"/>
      <w:szCs w:val="52"/>
    </w:rPr>
  </w:style>
  <w:style w:type="paragraph" w:styleId="Subtitle">
    <w:name w:val="Subtitle"/>
    <w:basedOn w:val="Normal1"/>
    <w:next w:val="Normal1"/>
    <w:rsid w:val="00820C9D"/>
    <w:pPr>
      <w:keepNext/>
      <w:keepLines/>
      <w:spacing w:after="320"/>
    </w:pPr>
    <w:rPr>
      <w:color w:val="666666"/>
      <w:sz w:val="30"/>
      <w:szCs w:val="30"/>
    </w:rPr>
  </w:style>
  <w:style w:type="paragraph" w:styleId="Header">
    <w:name w:val="header"/>
    <w:basedOn w:val="Normal"/>
    <w:link w:val="HeaderChar"/>
    <w:uiPriority w:val="99"/>
    <w:semiHidden/>
    <w:unhideWhenUsed/>
    <w:rsid w:val="006006E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06E9"/>
  </w:style>
  <w:style w:type="paragraph" w:styleId="Footer">
    <w:name w:val="footer"/>
    <w:basedOn w:val="Normal"/>
    <w:link w:val="FooterChar"/>
    <w:uiPriority w:val="99"/>
    <w:unhideWhenUsed/>
    <w:rsid w:val="006006E9"/>
    <w:pPr>
      <w:tabs>
        <w:tab w:val="center" w:pos="4680"/>
        <w:tab w:val="right" w:pos="9360"/>
      </w:tabs>
      <w:spacing w:line="240" w:lineRule="auto"/>
    </w:pPr>
  </w:style>
  <w:style w:type="character" w:customStyle="1" w:styleId="FooterChar">
    <w:name w:val="Footer Char"/>
    <w:basedOn w:val="DefaultParagraphFont"/>
    <w:link w:val="Footer"/>
    <w:uiPriority w:val="99"/>
    <w:rsid w:val="006006E9"/>
  </w:style>
  <w:style w:type="paragraph" w:styleId="ListParagraph">
    <w:name w:val="List Paragraph"/>
    <w:basedOn w:val="Normal"/>
    <w:uiPriority w:val="34"/>
    <w:qFormat/>
    <w:rsid w:val="00600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Anton Rumenov</cp:lastModifiedBy>
  <cp:revision>41</cp:revision>
  <dcterms:created xsi:type="dcterms:W3CDTF">2023-04-05T18:58:00Z</dcterms:created>
  <dcterms:modified xsi:type="dcterms:W3CDTF">2023-04-07T10:10:00Z</dcterms:modified>
</cp:coreProperties>
</file>