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723FB78" wp14:paraId="21C0ACC4" wp14:textId="0B53BD59">
      <w:pPr>
        <w:spacing w:before="240" w:beforeAutospacing="off" w:after="240" w:afterAutospacing="off" w:line="480" w:lineRule="auto"/>
        <w:rPr>
          <w:rFonts w:ascii="Times New Roman" w:hAnsi="Times New Roman" w:eastAsia="Times New Roman" w:cs="Times New Roman"/>
          <w:b w:val="1"/>
          <w:bCs w:val="1"/>
          <w:strike w:val="0"/>
          <w:dstrike w:val="0"/>
          <w:noProof w:val="0"/>
          <w:color w:val="000000" w:themeColor="text1" w:themeTint="FF" w:themeShade="FF"/>
          <w:sz w:val="24"/>
          <w:szCs w:val="24"/>
          <w:u w:val="single"/>
          <w:lang w:val="en-US"/>
        </w:rPr>
      </w:pPr>
      <w:r w:rsidRPr="5723FB78" w:rsidR="49526DA6">
        <w:rPr>
          <w:rFonts w:ascii="Times New Roman" w:hAnsi="Times New Roman" w:eastAsia="Times New Roman" w:cs="Times New Roman"/>
          <w:b w:val="1"/>
          <w:bCs w:val="1"/>
          <w:strike w:val="0"/>
          <w:dstrike w:val="0"/>
          <w:noProof w:val="0"/>
          <w:color w:val="000000" w:themeColor="text1" w:themeTint="FF" w:themeShade="FF"/>
          <w:sz w:val="24"/>
          <w:szCs w:val="24"/>
          <w:u w:val="single"/>
          <w:lang w:val="en-US"/>
        </w:rPr>
        <w:t>Contents page</w:t>
      </w:r>
    </w:p>
    <w:p xmlns:wp14="http://schemas.microsoft.com/office/word/2010/wordml" w:rsidP="5723FB78" wp14:paraId="330C93F0" wp14:textId="51C9CFC4">
      <w:pPr>
        <w:spacing w:before="240" w:beforeAutospacing="off" w:after="240" w:afterAutospacing="off" w:line="480" w:lineRule="auto"/>
        <w:rPr>
          <w:rFonts w:ascii="Times New Roman" w:hAnsi="Times New Roman" w:eastAsia="Times New Roman" w:cs="Times New Roman"/>
          <w:b w:val="1"/>
          <w:bCs w:val="1"/>
          <w:strike w:val="0"/>
          <w:dstrike w:val="0"/>
          <w:noProof w:val="0"/>
          <w:color w:val="000000" w:themeColor="text1" w:themeTint="FF" w:themeShade="FF"/>
          <w:sz w:val="24"/>
          <w:szCs w:val="24"/>
          <w:u w:val="none"/>
          <w:lang w:val="en-US"/>
        </w:rPr>
      </w:pPr>
      <w:r w:rsidRPr="5723FB78" w:rsidR="49526DA6">
        <w:rPr>
          <w:rFonts w:ascii="Times New Roman" w:hAnsi="Times New Roman" w:eastAsia="Times New Roman" w:cs="Times New Roman"/>
          <w:b w:val="1"/>
          <w:bCs w:val="1"/>
          <w:strike w:val="0"/>
          <w:dstrike w:val="0"/>
          <w:noProof w:val="0"/>
          <w:color w:val="000000" w:themeColor="text1" w:themeTint="FF" w:themeShade="FF"/>
          <w:sz w:val="24"/>
          <w:szCs w:val="24"/>
          <w:u w:val="none"/>
          <w:lang w:val="en-US"/>
        </w:rPr>
        <w:t>Contents page</w:t>
      </w:r>
      <w:r w:rsidRPr="5723FB78" w:rsidR="713590B8">
        <w:rPr>
          <w:rFonts w:ascii="Times New Roman" w:hAnsi="Times New Roman" w:eastAsia="Times New Roman" w:cs="Times New Roman"/>
          <w:b w:val="1"/>
          <w:bCs w:val="1"/>
          <w:strike w:val="0"/>
          <w:dstrike w:val="0"/>
          <w:noProof w:val="0"/>
          <w:color w:val="000000" w:themeColor="text1" w:themeTint="FF" w:themeShade="FF"/>
          <w:sz w:val="24"/>
          <w:szCs w:val="24"/>
          <w:u w:val="none"/>
          <w:lang w:val="en-US"/>
        </w:rPr>
        <w:t xml:space="preserve"> – </w:t>
      </w:r>
      <w:r w:rsidRPr="5723FB78" w:rsidR="49526DA6">
        <w:rPr>
          <w:rFonts w:ascii="Times New Roman" w:hAnsi="Times New Roman" w:eastAsia="Times New Roman" w:cs="Times New Roman"/>
          <w:b w:val="1"/>
          <w:bCs w:val="1"/>
          <w:strike w:val="0"/>
          <w:dstrike w:val="0"/>
          <w:noProof w:val="0"/>
          <w:color w:val="000000" w:themeColor="text1" w:themeTint="FF" w:themeShade="FF"/>
          <w:sz w:val="24"/>
          <w:szCs w:val="24"/>
          <w:u w:val="none"/>
          <w:lang w:val="en-US"/>
        </w:rPr>
        <w:t>P1</w:t>
      </w:r>
      <w:r w:rsidRPr="5723FB78" w:rsidR="713590B8">
        <w:rPr>
          <w:rFonts w:ascii="Times New Roman" w:hAnsi="Times New Roman" w:eastAsia="Times New Roman" w:cs="Times New Roman"/>
          <w:b w:val="1"/>
          <w:bCs w:val="1"/>
          <w:strike w:val="0"/>
          <w:dstrike w:val="0"/>
          <w:noProof w:val="0"/>
          <w:color w:val="000000" w:themeColor="text1" w:themeTint="FF" w:themeShade="FF"/>
          <w:sz w:val="24"/>
          <w:szCs w:val="24"/>
          <w:u w:val="none"/>
          <w:lang w:val="en-US"/>
        </w:rPr>
        <w:t>, P2</w:t>
      </w:r>
    </w:p>
    <w:p xmlns:wp14="http://schemas.microsoft.com/office/word/2010/wordml" w:rsidP="5723FB78" wp14:paraId="45B8F461" wp14:textId="68C44710">
      <w:pPr>
        <w:spacing w:before="240" w:beforeAutospacing="off" w:after="240" w:afterAutospacing="off" w:line="480" w:lineRule="auto"/>
        <w:rPr>
          <w:rFonts w:ascii="Times New Roman" w:hAnsi="Times New Roman" w:eastAsia="Times New Roman" w:cs="Times New Roman"/>
          <w:b w:val="1"/>
          <w:bCs w:val="1"/>
          <w:noProof w:val="0"/>
          <w:color w:val="000000" w:themeColor="text1" w:themeTint="FF" w:themeShade="FF"/>
          <w:sz w:val="24"/>
          <w:szCs w:val="24"/>
          <w:lang w:val="en-US"/>
        </w:rPr>
      </w:pP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Introduction – P2</w:t>
      </w:r>
      <w:r w:rsidRPr="5723FB78" w:rsidR="558833A8">
        <w:rPr>
          <w:rFonts w:ascii="Times New Roman" w:hAnsi="Times New Roman" w:eastAsia="Times New Roman" w:cs="Times New Roman"/>
          <w:b w:val="1"/>
          <w:bCs w:val="1"/>
          <w:noProof w:val="0"/>
          <w:color w:val="000000" w:themeColor="text1" w:themeTint="FF" w:themeShade="FF"/>
          <w:sz w:val="24"/>
          <w:szCs w:val="24"/>
          <w:lang w:val="en-US"/>
        </w:rPr>
        <w:t>,</w:t>
      </w:r>
    </w:p>
    <w:p xmlns:wp14="http://schemas.microsoft.com/office/word/2010/wordml" w:rsidP="5723FB78" wp14:paraId="7B7FFA9B" wp14:textId="0F18D92A">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Aim and Objectives – P2, P3</w:t>
      </w:r>
    </w:p>
    <w:p xmlns:wp14="http://schemas.microsoft.com/office/word/2010/wordml" w:rsidP="5723FB78" wp14:paraId="3F8E52A6" wp14:textId="02B39C0D">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Main Body– P</w:t>
      </w:r>
      <w:r w:rsidRPr="5723FB78" w:rsidR="49D84B16">
        <w:rPr>
          <w:rFonts w:ascii="Times New Roman" w:hAnsi="Times New Roman" w:eastAsia="Times New Roman" w:cs="Times New Roman"/>
          <w:b w:val="1"/>
          <w:bCs w:val="1"/>
          <w:noProof w:val="0"/>
          <w:color w:val="000000" w:themeColor="text1" w:themeTint="FF" w:themeShade="FF"/>
          <w:sz w:val="24"/>
          <w:szCs w:val="24"/>
          <w:lang w:val="en-US"/>
        </w:rPr>
        <w:t>4</w:t>
      </w:r>
    </w:p>
    <w:p xmlns:wp14="http://schemas.microsoft.com/office/word/2010/wordml" w:rsidP="5723FB78" wp14:paraId="6D15D92B" wp14:textId="6D364418">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Theme 1 – P</w:t>
      </w:r>
      <w:r w:rsidRPr="5723FB78" w:rsidR="149D1072">
        <w:rPr>
          <w:rFonts w:ascii="Times New Roman" w:hAnsi="Times New Roman" w:eastAsia="Times New Roman" w:cs="Times New Roman"/>
          <w:b w:val="1"/>
          <w:bCs w:val="1"/>
          <w:noProof w:val="0"/>
          <w:color w:val="000000" w:themeColor="text1" w:themeTint="FF" w:themeShade="FF"/>
          <w:sz w:val="24"/>
          <w:szCs w:val="24"/>
          <w:lang w:val="en-US"/>
        </w:rPr>
        <w:t>4</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 P</w:t>
      </w:r>
      <w:r w:rsidRPr="5723FB78" w:rsidR="576E56E3">
        <w:rPr>
          <w:rFonts w:ascii="Times New Roman" w:hAnsi="Times New Roman" w:eastAsia="Times New Roman" w:cs="Times New Roman"/>
          <w:b w:val="1"/>
          <w:bCs w:val="1"/>
          <w:noProof w:val="0"/>
          <w:color w:val="000000" w:themeColor="text1" w:themeTint="FF" w:themeShade="FF"/>
          <w:sz w:val="24"/>
          <w:szCs w:val="24"/>
          <w:lang w:val="en-US"/>
        </w:rPr>
        <w:t>5</w:t>
      </w:r>
    </w:p>
    <w:p xmlns:wp14="http://schemas.microsoft.com/office/word/2010/wordml" w:rsidP="5723FB78" wp14:paraId="5F322ED3" wp14:textId="3E574AE3">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Theme 2</w:t>
      </w:r>
      <w:r w:rsidRPr="5723FB78" w:rsidR="50CEE76B">
        <w:rPr>
          <w:rFonts w:ascii="Times New Roman" w:hAnsi="Times New Roman" w:eastAsia="Times New Roman" w:cs="Times New Roman"/>
          <w:b w:val="1"/>
          <w:bCs w:val="1"/>
          <w:noProof w:val="0"/>
          <w:color w:val="000000" w:themeColor="text1" w:themeTint="FF" w:themeShade="FF"/>
          <w:sz w:val="24"/>
          <w:szCs w:val="24"/>
          <w:lang w:val="en-US"/>
        </w:rPr>
        <w:t xml:space="preserve"> – P</w:t>
      </w:r>
      <w:r w:rsidRPr="5723FB78" w:rsidR="7127C3A4">
        <w:rPr>
          <w:rFonts w:ascii="Times New Roman" w:hAnsi="Times New Roman" w:eastAsia="Times New Roman" w:cs="Times New Roman"/>
          <w:b w:val="1"/>
          <w:bCs w:val="1"/>
          <w:noProof w:val="0"/>
          <w:color w:val="000000" w:themeColor="text1" w:themeTint="FF" w:themeShade="FF"/>
          <w:sz w:val="24"/>
          <w:szCs w:val="24"/>
          <w:lang w:val="en-US"/>
        </w:rPr>
        <w:t>5</w:t>
      </w:r>
      <w:r w:rsidRPr="5723FB78" w:rsidR="50CEE76B">
        <w:rPr>
          <w:rFonts w:ascii="Times New Roman" w:hAnsi="Times New Roman" w:eastAsia="Times New Roman" w:cs="Times New Roman"/>
          <w:b w:val="1"/>
          <w:bCs w:val="1"/>
          <w:noProof w:val="0"/>
          <w:color w:val="000000" w:themeColor="text1" w:themeTint="FF" w:themeShade="FF"/>
          <w:sz w:val="24"/>
          <w:szCs w:val="24"/>
          <w:lang w:val="en-US"/>
        </w:rPr>
        <w:t>, P</w:t>
      </w:r>
      <w:r w:rsidRPr="5723FB78" w:rsidR="5304EA24">
        <w:rPr>
          <w:rFonts w:ascii="Times New Roman" w:hAnsi="Times New Roman" w:eastAsia="Times New Roman" w:cs="Times New Roman"/>
          <w:b w:val="1"/>
          <w:bCs w:val="1"/>
          <w:noProof w:val="0"/>
          <w:color w:val="000000" w:themeColor="text1" w:themeTint="FF" w:themeShade="FF"/>
          <w:sz w:val="24"/>
          <w:szCs w:val="24"/>
          <w:lang w:val="en-US"/>
        </w:rPr>
        <w:t>6, P7</w:t>
      </w:r>
    </w:p>
    <w:p xmlns:wp14="http://schemas.microsoft.com/office/word/2010/wordml" w:rsidP="5723FB78" wp14:paraId="4BE304C2" wp14:textId="7BA4BE02">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Theme 3</w:t>
      </w:r>
      <w:r w:rsidRPr="5723FB78" w:rsidR="43A90FA4">
        <w:rPr>
          <w:rFonts w:ascii="Times New Roman" w:hAnsi="Times New Roman" w:eastAsia="Times New Roman" w:cs="Times New Roman"/>
          <w:b w:val="1"/>
          <w:bCs w:val="1"/>
          <w:noProof w:val="0"/>
          <w:color w:val="000000" w:themeColor="text1" w:themeTint="FF" w:themeShade="FF"/>
          <w:sz w:val="24"/>
          <w:szCs w:val="24"/>
          <w:lang w:val="en-US"/>
        </w:rPr>
        <w:t xml:space="preserve"> – P</w:t>
      </w:r>
      <w:r w:rsidRPr="5723FB78" w:rsidR="77CB08A7">
        <w:rPr>
          <w:rFonts w:ascii="Times New Roman" w:hAnsi="Times New Roman" w:eastAsia="Times New Roman" w:cs="Times New Roman"/>
          <w:b w:val="1"/>
          <w:bCs w:val="1"/>
          <w:noProof w:val="0"/>
          <w:color w:val="000000" w:themeColor="text1" w:themeTint="FF" w:themeShade="FF"/>
          <w:sz w:val="24"/>
          <w:szCs w:val="24"/>
          <w:lang w:val="en-US"/>
        </w:rPr>
        <w:t>7</w:t>
      </w:r>
      <w:r w:rsidRPr="5723FB78" w:rsidR="43A90FA4">
        <w:rPr>
          <w:rFonts w:ascii="Times New Roman" w:hAnsi="Times New Roman" w:eastAsia="Times New Roman" w:cs="Times New Roman"/>
          <w:b w:val="1"/>
          <w:bCs w:val="1"/>
          <w:noProof w:val="0"/>
          <w:color w:val="000000" w:themeColor="text1" w:themeTint="FF" w:themeShade="FF"/>
          <w:sz w:val="24"/>
          <w:szCs w:val="24"/>
          <w:lang w:val="en-US"/>
        </w:rPr>
        <w:t>, P</w:t>
      </w:r>
      <w:r w:rsidRPr="5723FB78" w:rsidR="23E0B7AD">
        <w:rPr>
          <w:rFonts w:ascii="Times New Roman" w:hAnsi="Times New Roman" w:eastAsia="Times New Roman" w:cs="Times New Roman"/>
          <w:b w:val="1"/>
          <w:bCs w:val="1"/>
          <w:noProof w:val="0"/>
          <w:color w:val="000000" w:themeColor="text1" w:themeTint="FF" w:themeShade="FF"/>
          <w:sz w:val="24"/>
          <w:szCs w:val="24"/>
          <w:lang w:val="en-US"/>
        </w:rPr>
        <w:t>8</w:t>
      </w:r>
    </w:p>
    <w:p xmlns:wp14="http://schemas.microsoft.com/office/word/2010/wordml" w:rsidP="5723FB78" wp14:paraId="55582C1F" wp14:textId="48E49234">
      <w:pPr>
        <w:spacing w:before="240" w:beforeAutospacing="off" w:after="240" w:afterAutospacing="off" w:line="480" w:lineRule="auto"/>
        <w:rPr>
          <w:rFonts w:ascii="Times New Roman" w:hAnsi="Times New Roman" w:eastAsia="Times New Roman" w:cs="Times New Roman"/>
          <w:b w:val="1"/>
          <w:bCs w:val="1"/>
          <w:noProof w:val="0"/>
          <w:color w:val="000000" w:themeColor="text1" w:themeTint="FF" w:themeShade="FF"/>
          <w:sz w:val="24"/>
          <w:szCs w:val="24"/>
          <w:lang w:val="en-US"/>
        </w:rPr>
      </w:pP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Theme 4</w:t>
      </w:r>
      <w:r w:rsidRPr="5723FB78" w:rsidR="5EBB0195">
        <w:rPr>
          <w:rFonts w:ascii="Times New Roman" w:hAnsi="Times New Roman" w:eastAsia="Times New Roman" w:cs="Times New Roman"/>
          <w:b w:val="1"/>
          <w:bCs w:val="1"/>
          <w:noProof w:val="0"/>
          <w:color w:val="000000" w:themeColor="text1" w:themeTint="FF" w:themeShade="FF"/>
          <w:sz w:val="24"/>
          <w:szCs w:val="24"/>
          <w:lang w:val="en-US"/>
        </w:rPr>
        <w:t xml:space="preserve"> – P</w:t>
      </w:r>
      <w:r w:rsidRPr="5723FB78" w:rsidR="4227E276">
        <w:rPr>
          <w:rFonts w:ascii="Times New Roman" w:hAnsi="Times New Roman" w:eastAsia="Times New Roman" w:cs="Times New Roman"/>
          <w:b w:val="1"/>
          <w:bCs w:val="1"/>
          <w:noProof w:val="0"/>
          <w:color w:val="000000" w:themeColor="text1" w:themeTint="FF" w:themeShade="FF"/>
          <w:sz w:val="24"/>
          <w:szCs w:val="24"/>
          <w:lang w:val="en-US"/>
        </w:rPr>
        <w:t>8, P9</w:t>
      </w:r>
      <w:r w:rsidRPr="5723FB78" w:rsidR="5EBB0195">
        <w:rPr>
          <w:rFonts w:ascii="Times New Roman" w:hAnsi="Times New Roman" w:eastAsia="Times New Roman" w:cs="Times New Roman"/>
          <w:b w:val="1"/>
          <w:bCs w:val="1"/>
          <w:noProof w:val="0"/>
          <w:color w:val="000000" w:themeColor="text1" w:themeTint="FF" w:themeShade="FF"/>
          <w:sz w:val="24"/>
          <w:szCs w:val="24"/>
          <w:lang w:val="en-US"/>
        </w:rPr>
        <w:t xml:space="preserve"> </w:t>
      </w:r>
    </w:p>
    <w:p xmlns:wp14="http://schemas.microsoft.com/office/word/2010/wordml" w:rsidP="5723FB78" wp14:paraId="30B92A5D" wp14:textId="1EC9E19E">
      <w:pPr>
        <w:spacing w:before="240" w:beforeAutospacing="off" w:after="240" w:afterAutospacing="off" w:line="480" w:lineRule="auto"/>
        <w:rPr>
          <w:rFonts w:ascii="Times New Roman" w:hAnsi="Times New Roman" w:eastAsia="Times New Roman" w:cs="Times New Roman"/>
          <w:b w:val="1"/>
          <w:bCs w:val="1"/>
          <w:noProof w:val="0"/>
          <w:color w:val="000000" w:themeColor="text1" w:themeTint="FF" w:themeShade="FF"/>
          <w:sz w:val="24"/>
          <w:szCs w:val="24"/>
          <w:lang w:val="en-US"/>
        </w:rPr>
      </w:pP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 xml:space="preserve">Theme 5 - </w:t>
      </w:r>
      <w:r w:rsidRPr="5723FB78" w:rsidR="57B6912C">
        <w:rPr>
          <w:rFonts w:ascii="Times New Roman" w:hAnsi="Times New Roman" w:eastAsia="Times New Roman" w:cs="Times New Roman"/>
          <w:b w:val="1"/>
          <w:bCs w:val="1"/>
          <w:noProof w:val="0"/>
          <w:color w:val="000000" w:themeColor="text1" w:themeTint="FF" w:themeShade="FF"/>
          <w:sz w:val="24"/>
          <w:szCs w:val="24"/>
          <w:lang w:val="en-US"/>
        </w:rPr>
        <w:t>P</w:t>
      </w:r>
      <w:r w:rsidRPr="5723FB78" w:rsidR="11E340EF">
        <w:rPr>
          <w:rFonts w:ascii="Times New Roman" w:hAnsi="Times New Roman" w:eastAsia="Times New Roman" w:cs="Times New Roman"/>
          <w:b w:val="1"/>
          <w:bCs w:val="1"/>
          <w:noProof w:val="0"/>
          <w:color w:val="000000" w:themeColor="text1" w:themeTint="FF" w:themeShade="FF"/>
          <w:sz w:val="24"/>
          <w:szCs w:val="24"/>
          <w:lang w:val="en-US"/>
        </w:rPr>
        <w:t>10</w:t>
      </w:r>
      <w:r w:rsidRPr="5723FB78" w:rsidR="57B6912C">
        <w:rPr>
          <w:rFonts w:ascii="Times New Roman" w:hAnsi="Times New Roman" w:eastAsia="Times New Roman" w:cs="Times New Roman"/>
          <w:b w:val="1"/>
          <w:bCs w:val="1"/>
          <w:noProof w:val="0"/>
          <w:color w:val="000000" w:themeColor="text1" w:themeTint="FF" w:themeShade="FF"/>
          <w:sz w:val="24"/>
          <w:szCs w:val="24"/>
          <w:lang w:val="en-US"/>
        </w:rPr>
        <w:t>, P</w:t>
      </w:r>
      <w:r w:rsidRPr="5723FB78" w:rsidR="4F9AFA00">
        <w:rPr>
          <w:rFonts w:ascii="Times New Roman" w:hAnsi="Times New Roman" w:eastAsia="Times New Roman" w:cs="Times New Roman"/>
          <w:b w:val="1"/>
          <w:bCs w:val="1"/>
          <w:noProof w:val="0"/>
          <w:color w:val="000000" w:themeColor="text1" w:themeTint="FF" w:themeShade="FF"/>
          <w:sz w:val="24"/>
          <w:szCs w:val="24"/>
          <w:lang w:val="en-US"/>
        </w:rPr>
        <w:t>11</w:t>
      </w:r>
    </w:p>
    <w:p xmlns:wp14="http://schemas.microsoft.com/office/word/2010/wordml" w:rsidP="5723FB78" wp14:paraId="51A1F672" wp14:textId="7CFF7A19">
      <w:pPr>
        <w:spacing w:before="240" w:beforeAutospacing="off" w:after="240" w:afterAutospacing="off" w:line="480" w:lineRule="auto"/>
        <w:rPr>
          <w:rFonts w:ascii="Times New Roman" w:hAnsi="Times New Roman" w:eastAsia="Times New Roman" w:cs="Times New Roman"/>
          <w:b w:val="1"/>
          <w:bCs w:val="1"/>
          <w:noProof w:val="0"/>
          <w:color w:val="000000" w:themeColor="text1" w:themeTint="FF" w:themeShade="FF"/>
          <w:sz w:val="24"/>
          <w:szCs w:val="24"/>
          <w:lang w:val="en-US"/>
        </w:rPr>
      </w:pP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 xml:space="preserve">Theme 6 - </w:t>
      </w:r>
      <w:r w:rsidRPr="5723FB78" w:rsidR="1680A26E">
        <w:rPr>
          <w:rFonts w:ascii="Times New Roman" w:hAnsi="Times New Roman" w:eastAsia="Times New Roman" w:cs="Times New Roman"/>
          <w:b w:val="1"/>
          <w:bCs w:val="1"/>
          <w:noProof w:val="0"/>
          <w:color w:val="000000" w:themeColor="text1" w:themeTint="FF" w:themeShade="FF"/>
          <w:sz w:val="24"/>
          <w:szCs w:val="24"/>
          <w:lang w:val="en-US"/>
        </w:rPr>
        <w:t>P</w:t>
      </w:r>
      <w:r w:rsidRPr="5723FB78" w:rsidR="29790F7F">
        <w:rPr>
          <w:rFonts w:ascii="Times New Roman" w:hAnsi="Times New Roman" w:eastAsia="Times New Roman" w:cs="Times New Roman"/>
          <w:b w:val="1"/>
          <w:bCs w:val="1"/>
          <w:noProof w:val="0"/>
          <w:color w:val="000000" w:themeColor="text1" w:themeTint="FF" w:themeShade="FF"/>
          <w:sz w:val="24"/>
          <w:szCs w:val="24"/>
          <w:lang w:val="en-US"/>
        </w:rPr>
        <w:t>11</w:t>
      </w:r>
      <w:r w:rsidRPr="5723FB78" w:rsidR="73C4F58F">
        <w:rPr>
          <w:rFonts w:ascii="Times New Roman" w:hAnsi="Times New Roman" w:eastAsia="Times New Roman" w:cs="Times New Roman"/>
          <w:b w:val="1"/>
          <w:bCs w:val="1"/>
          <w:noProof w:val="0"/>
          <w:color w:val="000000" w:themeColor="text1" w:themeTint="FF" w:themeShade="FF"/>
          <w:sz w:val="24"/>
          <w:szCs w:val="24"/>
          <w:lang w:val="en-US"/>
        </w:rPr>
        <w:t xml:space="preserve">, </w:t>
      </w:r>
      <w:r w:rsidRPr="5723FB78" w:rsidR="1680A26E">
        <w:rPr>
          <w:rFonts w:ascii="Times New Roman" w:hAnsi="Times New Roman" w:eastAsia="Times New Roman" w:cs="Times New Roman"/>
          <w:b w:val="1"/>
          <w:bCs w:val="1"/>
          <w:noProof w:val="0"/>
          <w:color w:val="000000" w:themeColor="text1" w:themeTint="FF" w:themeShade="FF"/>
          <w:sz w:val="24"/>
          <w:szCs w:val="24"/>
          <w:lang w:val="en-US"/>
        </w:rPr>
        <w:t xml:space="preserve"> P</w:t>
      </w:r>
      <w:r w:rsidRPr="5723FB78" w:rsidR="038BC6C7">
        <w:rPr>
          <w:rFonts w:ascii="Times New Roman" w:hAnsi="Times New Roman" w:eastAsia="Times New Roman" w:cs="Times New Roman"/>
          <w:b w:val="1"/>
          <w:bCs w:val="1"/>
          <w:noProof w:val="0"/>
          <w:color w:val="000000" w:themeColor="text1" w:themeTint="FF" w:themeShade="FF"/>
          <w:sz w:val="24"/>
          <w:szCs w:val="24"/>
          <w:lang w:val="en-US"/>
        </w:rPr>
        <w:t>12</w:t>
      </w:r>
    </w:p>
    <w:p xmlns:wp14="http://schemas.microsoft.com/office/word/2010/wordml" w:rsidP="5723FB78" wp14:paraId="6838E0B9" wp14:textId="69DBFF83">
      <w:pPr>
        <w:spacing w:before="240" w:beforeAutospacing="off" w:after="240" w:afterAutospacing="off" w:line="480" w:lineRule="auto"/>
        <w:rPr>
          <w:rFonts w:ascii="Times New Roman" w:hAnsi="Times New Roman" w:eastAsia="Times New Roman" w:cs="Times New Roman"/>
          <w:b w:val="1"/>
          <w:bCs w:val="1"/>
          <w:noProof w:val="0"/>
          <w:color w:val="000000" w:themeColor="text1" w:themeTint="FF" w:themeShade="FF"/>
          <w:sz w:val="24"/>
          <w:szCs w:val="24"/>
          <w:lang w:val="en-US"/>
        </w:rPr>
      </w:pP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Theme 7</w:t>
      </w:r>
      <w:r w:rsidRPr="5723FB78" w:rsidR="02B9991F">
        <w:rPr>
          <w:rFonts w:ascii="Times New Roman" w:hAnsi="Times New Roman" w:eastAsia="Times New Roman" w:cs="Times New Roman"/>
          <w:b w:val="1"/>
          <w:bCs w:val="1"/>
          <w:noProof w:val="0"/>
          <w:color w:val="000000" w:themeColor="text1" w:themeTint="FF" w:themeShade="FF"/>
          <w:sz w:val="24"/>
          <w:szCs w:val="24"/>
          <w:lang w:val="en-US"/>
        </w:rPr>
        <w:t xml:space="preserve"> –P</w:t>
      </w:r>
      <w:r w:rsidRPr="5723FB78" w:rsidR="0D68A20E">
        <w:rPr>
          <w:rFonts w:ascii="Times New Roman" w:hAnsi="Times New Roman" w:eastAsia="Times New Roman" w:cs="Times New Roman"/>
          <w:b w:val="1"/>
          <w:bCs w:val="1"/>
          <w:noProof w:val="0"/>
          <w:color w:val="000000" w:themeColor="text1" w:themeTint="FF" w:themeShade="FF"/>
          <w:sz w:val="24"/>
          <w:szCs w:val="24"/>
          <w:lang w:val="en-US"/>
        </w:rPr>
        <w:t>12</w:t>
      </w:r>
      <w:r w:rsidRPr="5723FB78" w:rsidR="02B9991F">
        <w:rPr>
          <w:rFonts w:ascii="Times New Roman" w:hAnsi="Times New Roman" w:eastAsia="Times New Roman" w:cs="Times New Roman"/>
          <w:b w:val="1"/>
          <w:bCs w:val="1"/>
          <w:noProof w:val="0"/>
          <w:color w:val="000000" w:themeColor="text1" w:themeTint="FF" w:themeShade="FF"/>
          <w:sz w:val="24"/>
          <w:szCs w:val="24"/>
          <w:lang w:val="en-US"/>
        </w:rPr>
        <w:t>, P</w:t>
      </w:r>
      <w:r w:rsidRPr="5723FB78" w:rsidR="7C8EF0C1">
        <w:rPr>
          <w:rFonts w:ascii="Times New Roman" w:hAnsi="Times New Roman" w:eastAsia="Times New Roman" w:cs="Times New Roman"/>
          <w:b w:val="1"/>
          <w:bCs w:val="1"/>
          <w:noProof w:val="0"/>
          <w:color w:val="000000" w:themeColor="text1" w:themeTint="FF" w:themeShade="FF"/>
          <w:sz w:val="24"/>
          <w:szCs w:val="24"/>
          <w:lang w:val="en-US"/>
        </w:rPr>
        <w:t>13</w:t>
      </w:r>
    </w:p>
    <w:p xmlns:wp14="http://schemas.microsoft.com/office/word/2010/wordml" w:rsidP="5723FB78" wp14:paraId="15F1EC9B" wp14:textId="0354C2F6">
      <w:pPr>
        <w:spacing w:line="480" w:lineRule="auto"/>
        <w:rPr>
          <w:rFonts w:ascii="Times New Roman" w:hAnsi="Times New Roman" w:eastAsia="Times New Roman" w:cs="Times New Roman"/>
          <w:b w:val="1"/>
          <w:bCs w:val="1"/>
          <w:noProof w:val="0"/>
          <w:sz w:val="24"/>
          <w:szCs w:val="24"/>
          <w:lang w:val="en-US"/>
        </w:rPr>
      </w:pPr>
      <w:r w:rsidRPr="5723FB78" w:rsidR="49526DA6">
        <w:rPr>
          <w:rFonts w:ascii="Times New Roman" w:hAnsi="Times New Roman" w:eastAsia="Times New Roman" w:cs="Times New Roman"/>
          <w:b w:val="1"/>
          <w:bCs w:val="1"/>
          <w:noProof w:val="0"/>
          <w:sz w:val="24"/>
          <w:szCs w:val="24"/>
          <w:lang w:val="en-US"/>
        </w:rPr>
        <w:t xml:space="preserve">Integrated Synthesis Across </w:t>
      </w:r>
      <w:r w:rsidRPr="5723FB78" w:rsidR="49526DA6">
        <w:rPr>
          <w:rFonts w:ascii="Times New Roman" w:hAnsi="Times New Roman" w:eastAsia="Times New Roman" w:cs="Times New Roman"/>
          <w:b w:val="1"/>
          <w:bCs w:val="1"/>
          <w:noProof w:val="0"/>
          <w:sz w:val="24"/>
          <w:szCs w:val="24"/>
          <w:lang w:val="en-US"/>
        </w:rPr>
        <w:t>The</w:t>
      </w:r>
      <w:r w:rsidRPr="5723FB78" w:rsidR="49526DA6">
        <w:rPr>
          <w:rFonts w:ascii="Times New Roman" w:hAnsi="Times New Roman" w:eastAsia="Times New Roman" w:cs="Times New Roman"/>
          <w:b w:val="1"/>
          <w:bCs w:val="1"/>
          <w:noProof w:val="0"/>
          <w:sz w:val="24"/>
          <w:szCs w:val="24"/>
          <w:lang w:val="en-US"/>
        </w:rPr>
        <w:t xml:space="preserve"> Seven Themes - </w:t>
      </w:r>
      <w:r w:rsidRPr="5723FB78" w:rsidR="104F0A5E">
        <w:rPr>
          <w:rFonts w:ascii="Times New Roman" w:hAnsi="Times New Roman" w:eastAsia="Times New Roman" w:cs="Times New Roman"/>
          <w:b w:val="1"/>
          <w:bCs w:val="1"/>
          <w:noProof w:val="0"/>
          <w:sz w:val="24"/>
          <w:szCs w:val="24"/>
          <w:lang w:val="en-US"/>
        </w:rPr>
        <w:t>P</w:t>
      </w:r>
      <w:r w:rsidRPr="5723FB78" w:rsidR="1FFA37E6">
        <w:rPr>
          <w:rFonts w:ascii="Times New Roman" w:hAnsi="Times New Roman" w:eastAsia="Times New Roman" w:cs="Times New Roman"/>
          <w:b w:val="1"/>
          <w:bCs w:val="1"/>
          <w:noProof w:val="0"/>
          <w:sz w:val="24"/>
          <w:szCs w:val="24"/>
          <w:lang w:val="en-US"/>
        </w:rPr>
        <w:t>13, P14</w:t>
      </w:r>
    </w:p>
    <w:p xmlns:wp14="http://schemas.microsoft.com/office/word/2010/wordml" w:rsidP="5723FB78" wp14:paraId="1292FD98" wp14:textId="7DA4B79A">
      <w:pPr>
        <w:spacing w:line="480" w:lineRule="auto"/>
        <w:rPr>
          <w:rFonts w:ascii="Times New Roman" w:hAnsi="Times New Roman" w:eastAsia="Times New Roman" w:cs="Times New Roman"/>
          <w:b w:val="1"/>
          <w:bCs w:val="1"/>
          <w:noProof w:val="0"/>
          <w:sz w:val="24"/>
          <w:szCs w:val="24"/>
          <w:lang w:val="en-US"/>
        </w:rPr>
      </w:pPr>
      <w:r w:rsidRPr="5723FB78" w:rsidR="49526DA6">
        <w:rPr>
          <w:rFonts w:ascii="Times New Roman" w:hAnsi="Times New Roman" w:eastAsia="Times New Roman" w:cs="Times New Roman"/>
          <w:b w:val="1"/>
          <w:bCs w:val="1"/>
          <w:noProof w:val="0"/>
          <w:sz w:val="24"/>
          <w:szCs w:val="24"/>
          <w:lang w:val="en-US"/>
        </w:rPr>
        <w:t>Conclusion and Gaps in the Market</w:t>
      </w:r>
      <w:r w:rsidRPr="5723FB78" w:rsidR="2828294A">
        <w:rPr>
          <w:rFonts w:ascii="Times New Roman" w:hAnsi="Times New Roman" w:eastAsia="Times New Roman" w:cs="Times New Roman"/>
          <w:b w:val="1"/>
          <w:bCs w:val="1"/>
          <w:noProof w:val="0"/>
          <w:sz w:val="24"/>
          <w:szCs w:val="24"/>
          <w:lang w:val="en-US"/>
        </w:rPr>
        <w:t xml:space="preserve"> – P</w:t>
      </w:r>
      <w:r w:rsidRPr="5723FB78" w:rsidR="4DA16540">
        <w:rPr>
          <w:rFonts w:ascii="Times New Roman" w:hAnsi="Times New Roman" w:eastAsia="Times New Roman" w:cs="Times New Roman"/>
          <w:b w:val="1"/>
          <w:bCs w:val="1"/>
          <w:noProof w:val="0"/>
          <w:sz w:val="24"/>
          <w:szCs w:val="24"/>
          <w:lang w:val="en-US"/>
        </w:rPr>
        <w:t xml:space="preserve">14, </w:t>
      </w:r>
      <w:r w:rsidRPr="5723FB78" w:rsidR="2828294A">
        <w:rPr>
          <w:rFonts w:ascii="Times New Roman" w:hAnsi="Times New Roman" w:eastAsia="Times New Roman" w:cs="Times New Roman"/>
          <w:b w:val="1"/>
          <w:bCs w:val="1"/>
          <w:noProof w:val="0"/>
          <w:sz w:val="24"/>
          <w:szCs w:val="24"/>
          <w:lang w:val="en-US"/>
        </w:rPr>
        <w:t xml:space="preserve"> P</w:t>
      </w:r>
      <w:r w:rsidRPr="5723FB78" w:rsidR="2828294A">
        <w:rPr>
          <w:rFonts w:ascii="Times New Roman" w:hAnsi="Times New Roman" w:eastAsia="Times New Roman" w:cs="Times New Roman"/>
          <w:b w:val="1"/>
          <w:bCs w:val="1"/>
          <w:noProof w:val="0"/>
          <w:sz w:val="24"/>
          <w:szCs w:val="24"/>
          <w:lang w:val="en-US"/>
        </w:rPr>
        <w:t>1</w:t>
      </w:r>
      <w:r w:rsidRPr="5723FB78" w:rsidR="27BC4171">
        <w:rPr>
          <w:rFonts w:ascii="Times New Roman" w:hAnsi="Times New Roman" w:eastAsia="Times New Roman" w:cs="Times New Roman"/>
          <w:b w:val="1"/>
          <w:bCs w:val="1"/>
          <w:noProof w:val="0"/>
          <w:sz w:val="24"/>
          <w:szCs w:val="24"/>
          <w:lang w:val="en-US"/>
        </w:rPr>
        <w:t>5</w:t>
      </w:r>
    </w:p>
    <w:p xmlns:wp14="http://schemas.microsoft.com/office/word/2010/wordml" w:rsidP="5723FB78" wp14:paraId="7D4209A3" wp14:textId="514601E3">
      <w:pPr>
        <w:spacing w:line="480" w:lineRule="auto"/>
        <w:rPr>
          <w:rFonts w:ascii="Times New Roman" w:hAnsi="Times New Roman" w:eastAsia="Times New Roman" w:cs="Times New Roman"/>
          <w:b w:val="1"/>
          <w:bCs w:val="1"/>
          <w:noProof w:val="0"/>
          <w:sz w:val="24"/>
          <w:szCs w:val="24"/>
          <w:lang w:val="en-US"/>
        </w:rPr>
      </w:pPr>
      <w:r w:rsidRPr="5723FB78" w:rsidR="2828294A">
        <w:rPr>
          <w:rFonts w:ascii="Times New Roman" w:hAnsi="Times New Roman" w:eastAsia="Times New Roman" w:cs="Times New Roman"/>
          <w:b w:val="1"/>
          <w:bCs w:val="1"/>
          <w:noProof w:val="0"/>
          <w:sz w:val="24"/>
          <w:szCs w:val="24"/>
          <w:lang w:val="en-US"/>
        </w:rPr>
        <w:t>Reference List</w:t>
      </w:r>
      <w:r w:rsidRPr="5723FB78" w:rsidR="283616DE">
        <w:rPr>
          <w:rFonts w:ascii="Times New Roman" w:hAnsi="Times New Roman" w:eastAsia="Times New Roman" w:cs="Times New Roman"/>
          <w:b w:val="1"/>
          <w:bCs w:val="1"/>
          <w:noProof w:val="0"/>
          <w:sz w:val="24"/>
          <w:szCs w:val="24"/>
          <w:lang w:val="en-US"/>
        </w:rPr>
        <w:t xml:space="preserve"> – P</w:t>
      </w:r>
      <w:r w:rsidRPr="5723FB78" w:rsidR="4F5B70D0">
        <w:rPr>
          <w:rFonts w:ascii="Times New Roman" w:hAnsi="Times New Roman" w:eastAsia="Times New Roman" w:cs="Times New Roman"/>
          <w:b w:val="1"/>
          <w:bCs w:val="1"/>
          <w:noProof w:val="0"/>
          <w:sz w:val="24"/>
          <w:szCs w:val="24"/>
          <w:lang w:val="en-US"/>
        </w:rPr>
        <w:t>16, P17, P18, P19, P20, P21</w:t>
      </w:r>
    </w:p>
    <w:p xmlns:wp14="http://schemas.microsoft.com/office/word/2010/wordml" w:rsidP="5723FB78" wp14:paraId="3EDAB7AB" wp14:textId="38687F86">
      <w:pPr>
        <w:spacing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b w:val="1"/>
          <w:bCs w:val="1"/>
          <w:strike w:val="0"/>
          <w:dstrike w:val="0"/>
          <w:noProof w:val="0"/>
          <w:color w:val="000000" w:themeColor="text1" w:themeTint="FF" w:themeShade="FF"/>
          <w:sz w:val="24"/>
          <w:szCs w:val="24"/>
          <w:u w:val="single"/>
          <w:lang w:val="en-US"/>
        </w:rPr>
        <w:t>Literature review</w:t>
      </w:r>
    </w:p>
    <w:p xmlns:wp14="http://schemas.microsoft.com/office/word/2010/wordml" w:rsidP="5723FB78" wp14:paraId="1B7D8B1D" wp14:textId="5716AE7F">
      <w:pPr>
        <w:spacing w:before="240" w:beforeAutospacing="off" w:after="240" w:afterAutospacing="off" w:line="480" w:lineRule="auto"/>
        <w:rPr>
          <w:rFonts w:ascii="Times New Roman" w:hAnsi="Times New Roman" w:eastAsia="Times New Roman" w:cs="Times New Roman"/>
          <w:b w:val="1"/>
          <w:bCs w:val="1"/>
          <w:noProof w:val="0"/>
          <w:color w:val="000000" w:themeColor="text1" w:themeTint="FF" w:themeShade="FF"/>
          <w:sz w:val="24"/>
          <w:szCs w:val="24"/>
          <w:lang w:val="en-US"/>
        </w:rPr>
      </w:pPr>
    </w:p>
    <w:p xmlns:wp14="http://schemas.microsoft.com/office/word/2010/wordml" w:rsidP="5723FB78" wp14:paraId="01B733CE" wp14:textId="09B4C0FC">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Introduction</w:t>
      </w:r>
    </w:p>
    <w:p xmlns:wp14="http://schemas.microsoft.com/office/word/2010/wordml" w:rsidP="5723FB78" wp14:paraId="42797874" wp14:textId="16F7F042">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This literature review examines Uni Play, a mobile application designed to improve physical, </w:t>
      </w:r>
      <w:r w:rsidRPr="5723FB78" w:rsidR="49526DA6">
        <w:rPr>
          <w:rFonts w:ascii="Times New Roman" w:hAnsi="Times New Roman" w:eastAsia="Times New Roman" w:cs="Times New Roman"/>
          <w:noProof w:val="0"/>
          <w:color w:val="000000" w:themeColor="text1" w:themeTint="FF" w:themeShade="FF"/>
          <w:sz w:val="24"/>
          <w:szCs w:val="24"/>
          <w:lang w:val="en-US"/>
        </w:rPr>
        <w:t>mental</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social well-being among university students by connecting like-minded peers through casual, low-pressure sporting activities (Skivington et al., 2021; Huang et al., 2024). The rationale for Uni Play is grounded in evidence that mental health symptoms are common among university students and can disrupt day to day functioning, </w:t>
      </w:r>
      <w:r w:rsidRPr="5723FB78" w:rsidR="49526DA6">
        <w:rPr>
          <w:rFonts w:ascii="Times New Roman" w:hAnsi="Times New Roman" w:eastAsia="Times New Roman" w:cs="Times New Roman"/>
          <w:noProof w:val="0"/>
          <w:color w:val="000000" w:themeColor="text1" w:themeTint="FF" w:themeShade="FF"/>
          <w:sz w:val="24"/>
          <w:szCs w:val="24"/>
          <w:lang w:val="en-US"/>
        </w:rPr>
        <w:t>engagement</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educational outcomes (Paiva et al., 2025). In the UK context, loneliness and isolation are also highly prevalent in student samples and are associated with multiple psychiatric risk indicators, which strengthens the case for interventions that rebuild connection and belonging (Akram et al., 2025).</w:t>
      </w:r>
    </w:p>
    <w:p xmlns:wp14="http://schemas.microsoft.com/office/word/2010/wordml" w:rsidP="5723FB78" wp14:paraId="5CDBA286" wp14:textId="7CB72DF7">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Aim and Objectives</w:t>
      </w:r>
    </w:p>
    <w:p xmlns:wp14="http://schemas.microsoft.com/office/word/2010/wordml" w:rsidP="5723FB78" wp14:paraId="1ABC8D75" wp14:textId="68F9981B">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The aim of this literature review is to critically assess whether Uni Play, a low pressure mobile app that connects students with peers for casual sport, is a realistic and workable way to improve university students’ physical activity, mental wellbeing and social connectedness, by bringing together evidence on need, likely mechanisms of impact and implementation in higher education settings (Skivington et al., 2021; Donnelly et al., 2024; He et al., 2024).</w:t>
      </w:r>
    </w:p>
    <w:p xmlns:wp14="http://schemas.microsoft.com/office/word/2010/wordml" w:rsidP="5723FB78" wp14:paraId="07A176F5" wp14:textId="0DAF60B9">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The first objective is to locate and justify the most relevant evidence for Uni Play by carrying out a transparent search across at least three academic databases, applying clear inclusion and exclusion criteria </w:t>
      </w:r>
      <w:r w:rsidRPr="5723FB78" w:rsidR="49526DA6">
        <w:rPr>
          <w:rFonts w:ascii="Times New Roman" w:hAnsi="Times New Roman" w:eastAsia="Times New Roman" w:cs="Times New Roman"/>
          <w:noProof w:val="0"/>
          <w:color w:val="000000" w:themeColor="text1" w:themeTint="FF" w:themeShade="FF"/>
          <w:sz w:val="24"/>
          <w:szCs w:val="24"/>
          <w:lang w:val="en-US"/>
        </w:rPr>
        <w:t>centred</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on university students and casual or low pressure physical activity and documenting the screening process using a Preferred Reporting Items for Systematic Reviews and Meta-Analyses (PRISMA) flow approach so the review can be followed and reproduced (Page et al., 2021).</w:t>
      </w:r>
    </w:p>
    <w:p xmlns:wp14="http://schemas.microsoft.com/office/word/2010/wordml" w:rsidP="5723FB78" wp14:paraId="41311B4B" wp14:textId="73B895D5">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The second objective is to test whether the outcomes Uni Play is trying to influence are supported by existing research, by extracting and comparing measurable indicators across included studies such as participation or intensity of physical activity, mental health outcomes such as stress, anxiety depressive symptoms or wellbeing, and social outcomes such as loneliness, belonging or social support then </w:t>
      </w:r>
      <w:r w:rsidRPr="5723FB78" w:rsidR="49526DA6">
        <w:rPr>
          <w:rFonts w:ascii="Times New Roman" w:hAnsi="Times New Roman" w:eastAsia="Times New Roman" w:cs="Times New Roman"/>
          <w:noProof w:val="0"/>
          <w:color w:val="000000" w:themeColor="text1" w:themeTint="FF" w:themeShade="FF"/>
          <w:sz w:val="24"/>
          <w:szCs w:val="24"/>
          <w:lang w:val="en-US"/>
        </w:rPr>
        <w:t>synthesising</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where findings are consistent and where they conflict in line with the heterogeneity highlighted in recent student focused evidence syntheses (Huang, 2024; Donnelly et al., 2024).</w:t>
      </w:r>
    </w:p>
    <w:p xmlns:wp14="http://schemas.microsoft.com/office/word/2010/wordml" w:rsidP="5723FB78" wp14:paraId="2B6FEBD6" wp14:textId="66DD0D43">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The third objective is to measure how credible and usable the evidence is in real university settings by appraising study quality using design appropriate tools, including Risk of Bias 2 (</w:t>
      </w:r>
      <w:r w:rsidRPr="5723FB78" w:rsidR="49526DA6">
        <w:rPr>
          <w:rFonts w:ascii="Times New Roman" w:hAnsi="Times New Roman" w:eastAsia="Times New Roman" w:cs="Times New Roman"/>
          <w:noProof w:val="0"/>
          <w:color w:val="000000" w:themeColor="text1" w:themeTint="FF" w:themeShade="FF"/>
          <w:sz w:val="24"/>
          <w:szCs w:val="24"/>
          <w:lang w:val="en-US"/>
        </w:rPr>
        <w:t>RoB</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2) for </w:t>
      </w:r>
      <w:r w:rsidRPr="5723FB78" w:rsidR="49526DA6">
        <w:rPr>
          <w:rFonts w:ascii="Times New Roman" w:hAnsi="Times New Roman" w:eastAsia="Times New Roman" w:cs="Times New Roman"/>
          <w:noProof w:val="0"/>
          <w:color w:val="000000" w:themeColor="text1" w:themeTint="FF" w:themeShade="FF"/>
          <w:sz w:val="24"/>
          <w:szCs w:val="24"/>
          <w:lang w:val="en-US"/>
        </w:rPr>
        <w:t>randomised</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trials, and translating the findings into a short logic model that sets out Uni Play’s most plausible mechanisms and the minimum conditions needed for the app to have real world impact consistent with complex intervention guidance and with evidence that app based interventions often produce mixed results when design and delivery are weak (Sterne et al., 2019; Skivington et al., 2021; He et al., 2024).</w:t>
      </w:r>
    </w:p>
    <w:p xmlns:wp14="http://schemas.microsoft.com/office/word/2010/wordml" w:rsidP="5723FB78" wp14:paraId="4F01A3AA" wp14:textId="6913FC06">
      <w:pPr>
        <w:pStyle w:val="Normal"/>
        <w:spacing w:before="240" w:beforeAutospacing="off" w:after="240" w:afterAutospacing="off" w:line="480" w:lineRule="auto"/>
        <w:rPr>
          <w:rFonts w:ascii="Times New Roman" w:hAnsi="Times New Roman" w:eastAsia="Times New Roman" w:cs="Times New Roman"/>
          <w:b w:val="1"/>
          <w:bCs w:val="1"/>
          <w:strike w:val="0"/>
          <w:dstrike w:val="0"/>
          <w:noProof w:val="0"/>
          <w:color w:val="000000" w:themeColor="text1" w:themeTint="FF" w:themeShade="FF"/>
          <w:sz w:val="24"/>
          <w:szCs w:val="24"/>
          <w:u w:val="single"/>
          <w:lang w:val="en-US"/>
        </w:rPr>
      </w:pPr>
    </w:p>
    <w:p xmlns:wp14="http://schemas.microsoft.com/office/word/2010/wordml" w:rsidP="5723FB78" wp14:paraId="1FDCC03E" wp14:textId="0386B38B">
      <w:pPr>
        <w:pStyle w:val="Normal"/>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b w:val="1"/>
          <w:bCs w:val="1"/>
          <w:strike w:val="0"/>
          <w:dstrike w:val="0"/>
          <w:noProof w:val="0"/>
          <w:color w:val="000000" w:themeColor="text1" w:themeTint="FF" w:themeShade="FF"/>
          <w:sz w:val="24"/>
          <w:szCs w:val="24"/>
          <w:u w:val="single"/>
          <w:lang w:val="en-US"/>
        </w:rPr>
        <w:t>Main Body</w:t>
      </w:r>
    </w:p>
    <w:p xmlns:wp14="http://schemas.microsoft.com/office/word/2010/wordml" w:rsidP="5723FB78" wp14:paraId="0534D441" wp14:textId="041D2E1E">
      <w:pPr>
        <w:spacing w:line="480" w:lineRule="auto"/>
        <w:rPr>
          <w:rFonts w:ascii="Times New Roman" w:hAnsi="Times New Roman" w:eastAsia="Times New Roman" w:cs="Times New Roman"/>
          <w:noProof w:val="0"/>
          <w:sz w:val="24"/>
          <w:szCs w:val="24"/>
          <w:lang w:val="en-GB"/>
        </w:rPr>
      </w:pPr>
      <w:r w:rsidRPr="5723FB78" w:rsidR="49526DA6">
        <w:rPr>
          <w:rFonts w:ascii="Times New Roman" w:hAnsi="Times New Roman" w:eastAsia="Times New Roman" w:cs="Times New Roman"/>
          <w:b w:val="1"/>
          <w:bCs w:val="1"/>
          <w:noProof w:val="0"/>
          <w:sz w:val="24"/>
          <w:szCs w:val="24"/>
          <w:lang w:val="en-US"/>
        </w:rPr>
        <w:t>Theme 1 Student mental health and functioning in higher education</w:t>
      </w:r>
    </w:p>
    <w:p xmlns:wp14="http://schemas.microsoft.com/office/word/2010/wordml" w:rsidP="5723FB78" wp14:paraId="01FFEF7B" wp14:textId="7865E69E">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Across higher education, student mental health is widely framed as a determinant of learning, </w:t>
      </w:r>
      <w:r w:rsidRPr="5723FB78" w:rsidR="49526DA6">
        <w:rPr>
          <w:rFonts w:ascii="Times New Roman" w:hAnsi="Times New Roman" w:eastAsia="Times New Roman" w:cs="Times New Roman"/>
          <w:noProof w:val="0"/>
          <w:color w:val="000000" w:themeColor="text1" w:themeTint="FF" w:themeShade="FF"/>
          <w:sz w:val="24"/>
          <w:szCs w:val="24"/>
          <w:lang w:val="en-US"/>
        </w:rPr>
        <w:t>engagement</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retention because distress can disrupt concentration, sleep, </w:t>
      </w:r>
      <w:r w:rsidRPr="5723FB78" w:rsidR="49526DA6">
        <w:rPr>
          <w:rFonts w:ascii="Times New Roman" w:hAnsi="Times New Roman" w:eastAsia="Times New Roman" w:cs="Times New Roman"/>
          <w:noProof w:val="0"/>
          <w:color w:val="000000" w:themeColor="text1" w:themeTint="FF" w:themeShade="FF"/>
          <w:sz w:val="24"/>
          <w:szCs w:val="24"/>
          <w:lang w:val="en-US"/>
        </w:rPr>
        <w:t>routine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social participation, with downstream consequences for performance and continuation (Leow et al., 2024; Paiva et al., 2025). However, the evidence base is methodologically uneven, with prevalence and severity estimates </w:t>
      </w:r>
      <w:r w:rsidRPr="5723FB78" w:rsidR="49526DA6">
        <w:rPr>
          <w:rFonts w:ascii="Times New Roman" w:hAnsi="Times New Roman" w:eastAsia="Times New Roman" w:cs="Times New Roman"/>
          <w:noProof w:val="0"/>
          <w:color w:val="000000" w:themeColor="text1" w:themeTint="FF" w:themeShade="FF"/>
          <w:sz w:val="24"/>
          <w:szCs w:val="24"/>
          <w:lang w:val="en-US"/>
        </w:rPr>
        <w:t>highly sensitive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to sampling frames, time windows and measurement choices, complicating needs assessment and inflating certainty about patterns across institutions (Paiva et al., 2025; Faro et al., 2025). Critical health scholarship further </w:t>
      </w:r>
      <w:r w:rsidRPr="5723FB78" w:rsidR="49526DA6">
        <w:rPr>
          <w:rFonts w:ascii="Times New Roman" w:hAnsi="Times New Roman" w:eastAsia="Times New Roman" w:cs="Times New Roman"/>
          <w:noProof w:val="0"/>
          <w:color w:val="000000" w:themeColor="text1" w:themeTint="FF" w:themeShade="FF"/>
          <w:sz w:val="24"/>
          <w:szCs w:val="24"/>
          <w:lang w:val="en-US"/>
        </w:rPr>
        <w:t>emphasises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that health and illness are shaped by institutional norms and political assumptions about wellbeing, productivity, </w:t>
      </w:r>
      <w:r w:rsidRPr="5723FB78" w:rsidR="49526DA6">
        <w:rPr>
          <w:rFonts w:ascii="Times New Roman" w:hAnsi="Times New Roman" w:eastAsia="Times New Roman" w:cs="Times New Roman"/>
          <w:noProof w:val="0"/>
          <w:color w:val="000000" w:themeColor="text1" w:themeTint="FF" w:themeShade="FF"/>
          <w:sz w:val="24"/>
          <w:szCs w:val="24"/>
          <w:lang w:val="en-US"/>
        </w:rPr>
        <w:t>access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disability, influencing which forms of distress are </w:t>
      </w:r>
      <w:r w:rsidRPr="5723FB78" w:rsidR="49526DA6">
        <w:rPr>
          <w:rFonts w:ascii="Times New Roman" w:hAnsi="Times New Roman" w:eastAsia="Times New Roman" w:cs="Times New Roman"/>
          <w:noProof w:val="0"/>
          <w:color w:val="000000" w:themeColor="text1" w:themeTint="FF" w:themeShade="FF"/>
          <w:sz w:val="24"/>
          <w:szCs w:val="24"/>
          <w:lang w:val="en-US"/>
        </w:rPr>
        <w:t>recognised</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supported within higher education (Rodríguez Muñoz, 2020). This matters for Uni Play because universities may privilege interventions that appear efficient or measurable while under-</w:t>
      </w:r>
      <w:r w:rsidRPr="5723FB78" w:rsidR="49526DA6">
        <w:rPr>
          <w:rFonts w:ascii="Times New Roman" w:hAnsi="Times New Roman" w:eastAsia="Times New Roman" w:cs="Times New Roman"/>
          <w:noProof w:val="0"/>
          <w:color w:val="000000" w:themeColor="text1" w:themeTint="FF" w:themeShade="FF"/>
          <w:sz w:val="24"/>
          <w:szCs w:val="24"/>
          <w:lang w:val="en-US"/>
        </w:rPr>
        <w:t>recognising</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relational and </w:t>
      </w:r>
      <w:r w:rsidRPr="5723FB78" w:rsidR="49526DA6">
        <w:rPr>
          <w:rFonts w:ascii="Times New Roman" w:hAnsi="Times New Roman" w:eastAsia="Times New Roman" w:cs="Times New Roman"/>
          <w:noProof w:val="0"/>
          <w:color w:val="000000" w:themeColor="text1" w:themeTint="FF" w:themeShade="FF"/>
          <w:sz w:val="24"/>
          <w:szCs w:val="24"/>
          <w:lang w:val="en-US"/>
        </w:rPr>
        <w:t>collective-care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needs outside clinical or deficit models (Rodríguez Muñoz, 2020). Consequently, this theme examines both prevalence and how measurement and institutional framings shape what counts as improvement, including whether functional recovery and belonging are treated as core outcomes (Paiva et al., 2025; Akram et al., 2025; Faro et al., 2025).</w:t>
      </w:r>
    </w:p>
    <w:p xmlns:wp14="http://schemas.microsoft.com/office/word/2010/wordml" w:rsidP="5723FB78" wp14:paraId="57154294" wp14:textId="720F91AC">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A consistent starting point is that depression, anxiety, </w:t>
      </w:r>
      <w:r w:rsidRPr="5723FB78" w:rsidR="49526DA6">
        <w:rPr>
          <w:rFonts w:ascii="Times New Roman" w:hAnsi="Times New Roman" w:eastAsia="Times New Roman" w:cs="Times New Roman"/>
          <w:noProof w:val="0"/>
          <w:color w:val="000000" w:themeColor="text1" w:themeTint="FF" w:themeShade="FF"/>
          <w:sz w:val="24"/>
          <w:szCs w:val="24"/>
          <w:lang w:val="en-US"/>
        </w:rPr>
        <w:t>stress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loneliness are common in student populations and </w:t>
      </w:r>
      <w:r w:rsidRPr="5723FB78" w:rsidR="49526DA6">
        <w:rPr>
          <w:rFonts w:ascii="Times New Roman" w:hAnsi="Times New Roman" w:eastAsia="Times New Roman" w:cs="Times New Roman"/>
          <w:noProof w:val="0"/>
          <w:color w:val="000000" w:themeColor="text1" w:themeTint="FF" w:themeShade="FF"/>
          <w:sz w:val="24"/>
          <w:szCs w:val="24"/>
          <w:lang w:val="en-US"/>
        </w:rPr>
        <w:t>plausibly linked</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to poorer academic and social functioning, yet reliance on screening instruments and convenience samples risks overstating prevalence and precision (Paiva et al., 2025; Akram et al., 2025). Paiva et al.’s umbrella review </w:t>
      </w:r>
      <w:r w:rsidRPr="5723FB78" w:rsidR="49526DA6">
        <w:rPr>
          <w:rFonts w:ascii="Times New Roman" w:hAnsi="Times New Roman" w:eastAsia="Times New Roman" w:cs="Times New Roman"/>
          <w:noProof w:val="0"/>
          <w:color w:val="000000" w:themeColor="text1" w:themeTint="FF" w:themeShade="FF"/>
          <w:sz w:val="24"/>
          <w:szCs w:val="24"/>
          <w:lang w:val="en-US"/>
        </w:rPr>
        <w:t>consolidates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findings across meta-analyses but shows substantial variation by measures and assessment windows, suggesting high prevalence is partly a methodological artefact rather than a stable population property (Paiva et al., 2025). For Uni Play, this implies </w:t>
      </w:r>
      <w:r w:rsidRPr="5723FB78" w:rsidR="49526DA6">
        <w:rPr>
          <w:rFonts w:ascii="Times New Roman" w:hAnsi="Times New Roman" w:eastAsia="Times New Roman" w:cs="Times New Roman"/>
          <w:noProof w:val="0"/>
          <w:color w:val="000000" w:themeColor="text1" w:themeTint="FF" w:themeShade="FF"/>
          <w:sz w:val="24"/>
          <w:szCs w:val="24"/>
          <w:lang w:val="en-US"/>
        </w:rPr>
        <w:t>apparent</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between-university differences may reflect inconsistent </w:t>
      </w:r>
      <w:r w:rsidRPr="5723FB78" w:rsidR="49526DA6">
        <w:rPr>
          <w:rFonts w:ascii="Times New Roman" w:hAnsi="Times New Roman" w:eastAsia="Times New Roman" w:cs="Times New Roman"/>
          <w:noProof w:val="0"/>
          <w:color w:val="000000" w:themeColor="text1" w:themeTint="FF" w:themeShade="FF"/>
          <w:sz w:val="24"/>
          <w:szCs w:val="24"/>
          <w:lang w:val="en-US"/>
        </w:rPr>
        <w:t>operationalisation</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response bias, meaning intervention effects could also appear to vary due to instrument choice rather than context (Paiva et al., 2025; Faro et al., 2025).</w:t>
      </w:r>
    </w:p>
    <w:p xmlns:wp14="http://schemas.microsoft.com/office/word/2010/wordml" w:rsidP="5723FB78" wp14:paraId="345ED2E3" wp14:textId="562C057F">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UK evidence </w:t>
      </w:r>
      <w:r w:rsidRPr="5723FB78" w:rsidR="49526DA6">
        <w:rPr>
          <w:rFonts w:ascii="Times New Roman" w:hAnsi="Times New Roman" w:eastAsia="Times New Roman" w:cs="Times New Roman"/>
          <w:noProof w:val="0"/>
          <w:color w:val="000000" w:themeColor="text1" w:themeTint="FF" w:themeShade="FF"/>
          <w:sz w:val="24"/>
          <w:szCs w:val="24"/>
          <w:lang w:val="en-US"/>
        </w:rPr>
        <w:t>indicates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loneliness is prominent and associated with psychiatric symptoms, but cross-sectional designs cannot </w:t>
      </w:r>
      <w:r w:rsidRPr="5723FB78" w:rsidR="49526DA6">
        <w:rPr>
          <w:rFonts w:ascii="Times New Roman" w:hAnsi="Times New Roman" w:eastAsia="Times New Roman" w:cs="Times New Roman"/>
          <w:noProof w:val="0"/>
          <w:color w:val="000000" w:themeColor="text1" w:themeTint="FF" w:themeShade="FF"/>
          <w:sz w:val="24"/>
          <w:szCs w:val="24"/>
          <w:lang w:val="en-US"/>
        </w:rPr>
        <w:t>determine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whether loneliness drives distress, distress drives loneliness, or both reflect unmeasured factors such as housing insecurity, financial </w:t>
      </w:r>
      <w:r w:rsidRPr="5723FB78" w:rsidR="49526DA6">
        <w:rPr>
          <w:rFonts w:ascii="Times New Roman" w:hAnsi="Times New Roman" w:eastAsia="Times New Roman" w:cs="Times New Roman"/>
          <w:noProof w:val="0"/>
          <w:color w:val="000000" w:themeColor="text1" w:themeTint="FF" w:themeShade="FF"/>
          <w:sz w:val="24"/>
          <w:szCs w:val="24"/>
          <w:lang w:val="en-US"/>
        </w:rPr>
        <w:t>strain</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or prior mental health history (Akram et al., 2025; Paiva et al., 2025). Evidence linking distress with non-continuation similarly requires caution because symptom scores are often treated as disorder and trajectories may be biased by attrition among more distressed students (Leow et al., 2024; Paiva et al., 2025). </w:t>
      </w:r>
      <w:r w:rsidRPr="5723FB78" w:rsidR="49526DA6">
        <w:rPr>
          <w:rFonts w:ascii="Times New Roman" w:hAnsi="Times New Roman" w:eastAsia="Times New Roman" w:cs="Times New Roman"/>
          <w:noProof w:val="0"/>
          <w:color w:val="000000" w:themeColor="text1" w:themeTint="FF" w:themeShade="FF"/>
          <w:sz w:val="24"/>
          <w:szCs w:val="24"/>
          <w:lang w:val="en-US"/>
        </w:rPr>
        <w:t>Accordingly</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the synthesis will separate symptom change from functional outcomes, </w:t>
      </w:r>
      <w:r w:rsidRPr="5723FB78" w:rsidR="49526DA6">
        <w:rPr>
          <w:rFonts w:ascii="Times New Roman" w:hAnsi="Times New Roman" w:eastAsia="Times New Roman" w:cs="Times New Roman"/>
          <w:noProof w:val="0"/>
          <w:color w:val="000000" w:themeColor="text1" w:themeTint="FF" w:themeShade="FF"/>
          <w:sz w:val="24"/>
          <w:szCs w:val="24"/>
          <w:lang w:val="en-US"/>
        </w:rPr>
        <w:t>prioritise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loneliness and functioning as plausible proximal targets, and interpret screening-score change cautiously where follow-up is short or inference about directionality is limited (Mason Stephens et al., 2025; Faro et al., 2025; Paiva et al., 2025).</w:t>
      </w:r>
    </w:p>
    <w:p xmlns:wp14="http://schemas.microsoft.com/office/word/2010/wordml" w:rsidP="5723FB78" wp14:paraId="2209F093" wp14:textId="30E421C9">
      <w:pPr>
        <w:spacing w:line="480" w:lineRule="auto"/>
        <w:rPr>
          <w:rFonts w:ascii="Times New Roman" w:hAnsi="Times New Roman" w:eastAsia="Times New Roman" w:cs="Times New Roman"/>
          <w:noProof w:val="0"/>
          <w:sz w:val="24"/>
          <w:szCs w:val="24"/>
          <w:lang w:val="en-GB"/>
        </w:rPr>
      </w:pPr>
    </w:p>
    <w:p xmlns:wp14="http://schemas.microsoft.com/office/word/2010/wordml" w:rsidP="5723FB78" wp14:paraId="2684A1C8" wp14:textId="1D181BC7">
      <w:pPr>
        <w:spacing w:line="480" w:lineRule="auto"/>
        <w:rPr>
          <w:rFonts w:ascii="Times New Roman" w:hAnsi="Times New Roman" w:eastAsia="Times New Roman" w:cs="Times New Roman"/>
          <w:noProof w:val="0"/>
          <w:sz w:val="24"/>
          <w:szCs w:val="24"/>
          <w:lang w:val="en-GB"/>
        </w:rPr>
      </w:pPr>
      <w:r w:rsidRPr="5723FB78" w:rsidR="49526DA6">
        <w:rPr>
          <w:rFonts w:ascii="Times New Roman" w:hAnsi="Times New Roman" w:eastAsia="Times New Roman" w:cs="Times New Roman"/>
          <w:b w:val="1"/>
          <w:bCs w:val="1"/>
          <w:noProof w:val="0"/>
          <w:sz w:val="24"/>
          <w:szCs w:val="24"/>
          <w:lang w:val="en-US"/>
        </w:rPr>
        <w:t>Theme 2 Physical activity as a mental health intervention</w:t>
      </w:r>
    </w:p>
    <w:p xmlns:wp14="http://schemas.microsoft.com/office/word/2010/wordml" w:rsidP="5723FB78" wp14:paraId="1866F97B" wp14:textId="676D3F7F">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Across public health and clinical psychology, physical activity is </w:t>
      </w:r>
      <w:r w:rsidRPr="5723FB78" w:rsidR="49526DA6">
        <w:rPr>
          <w:rFonts w:ascii="Times New Roman" w:hAnsi="Times New Roman" w:eastAsia="Times New Roman" w:cs="Times New Roman"/>
          <w:noProof w:val="0"/>
          <w:color w:val="000000" w:themeColor="text1" w:themeTint="FF" w:themeShade="FF"/>
          <w:sz w:val="24"/>
          <w:szCs w:val="24"/>
          <w:lang w:val="en-US"/>
        </w:rPr>
        <w:t>frequently</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proposed as a scalable strategy for improving mental health because it can influence mood, stress regulation and routine and offers a low-stigma route to support outside clinical settings (</w:t>
      </w:r>
      <w:r w:rsidRPr="5723FB78" w:rsidR="49526DA6">
        <w:rPr>
          <w:rFonts w:ascii="Times New Roman" w:hAnsi="Times New Roman" w:eastAsia="Times New Roman" w:cs="Times New Roman"/>
          <w:noProof w:val="0"/>
          <w:color w:val="000000" w:themeColor="text1" w:themeTint="FF" w:themeShade="FF"/>
          <w:sz w:val="24"/>
          <w:szCs w:val="24"/>
          <w:lang w:val="en-US"/>
        </w:rPr>
        <w:t>Noetel</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et al., 2024; Skivington et al., 2021). Yet the evidence base shows heterogeneous effects shaped by dose, adherence, </w:t>
      </w:r>
      <w:r w:rsidRPr="5723FB78" w:rsidR="49526DA6">
        <w:rPr>
          <w:rFonts w:ascii="Times New Roman" w:hAnsi="Times New Roman" w:eastAsia="Times New Roman" w:cs="Times New Roman"/>
          <w:noProof w:val="0"/>
          <w:color w:val="000000" w:themeColor="text1" w:themeTint="FF" w:themeShade="FF"/>
          <w:sz w:val="24"/>
          <w:szCs w:val="24"/>
          <w:lang w:val="en-US"/>
        </w:rPr>
        <w:t>supervision</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participant characteristics, limiting simple translation into university-wide provision (Huang et al., 2024; Liu et al., 2025). Applied exercise programming guidance </w:t>
      </w:r>
      <w:r w:rsidRPr="5723FB78" w:rsidR="49526DA6">
        <w:rPr>
          <w:rFonts w:ascii="Times New Roman" w:hAnsi="Times New Roman" w:eastAsia="Times New Roman" w:cs="Times New Roman"/>
          <w:noProof w:val="0"/>
          <w:color w:val="000000" w:themeColor="text1" w:themeTint="FF" w:themeShade="FF"/>
          <w:sz w:val="24"/>
          <w:szCs w:val="24"/>
          <w:lang w:val="en-US"/>
        </w:rPr>
        <w:t>emphasises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that benefits depend on prescription and progression, including matching intensity and volume to participant capability, implying Uni Play must support repeat attendance and adequate exposure rather than relying on access alone (Bushman, 2024).</w:t>
      </w:r>
    </w:p>
    <w:p xmlns:wp14="http://schemas.microsoft.com/office/word/2010/wordml" w:rsidP="5723FB78" wp14:paraId="4900071D" wp14:textId="35D6D3E4">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Student-focused meta-analyses suggest physical activity interventions reduce anxiety, </w:t>
      </w:r>
      <w:r w:rsidRPr="5723FB78" w:rsidR="49526DA6">
        <w:rPr>
          <w:rFonts w:ascii="Times New Roman" w:hAnsi="Times New Roman" w:eastAsia="Times New Roman" w:cs="Times New Roman"/>
          <w:noProof w:val="0"/>
          <w:color w:val="000000" w:themeColor="text1" w:themeTint="FF" w:themeShade="FF"/>
          <w:sz w:val="24"/>
          <w:szCs w:val="24"/>
          <w:lang w:val="en-US"/>
        </w:rPr>
        <w:t>depression</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stress, but high heterogeneity and low certainty mean pooled effects may mask wide variation and remain sensitive to analytic decisions and small-study biases (Huang et al., 2024; Liu et al., 2025). Huang et al. report beneficial pooled effects but highlight limited theory use and under-reporting of fidelity, meaning the field often cannot distinguish whether benefits are driven by activity dose, social contact, </w:t>
      </w:r>
      <w:r w:rsidRPr="5723FB78" w:rsidR="49526DA6">
        <w:rPr>
          <w:rFonts w:ascii="Times New Roman" w:hAnsi="Times New Roman" w:eastAsia="Times New Roman" w:cs="Times New Roman"/>
          <w:noProof w:val="0"/>
          <w:color w:val="000000" w:themeColor="text1" w:themeTint="FF" w:themeShade="FF"/>
          <w:sz w:val="24"/>
          <w:szCs w:val="24"/>
          <w:lang w:val="en-US"/>
        </w:rPr>
        <w:t>expectancy</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or novelty (Huang et al., 2024). Liu et al. </w:t>
      </w:r>
      <w:r w:rsidRPr="5723FB78" w:rsidR="49526DA6">
        <w:rPr>
          <w:rFonts w:ascii="Times New Roman" w:hAnsi="Times New Roman" w:eastAsia="Times New Roman" w:cs="Times New Roman"/>
          <w:noProof w:val="0"/>
          <w:color w:val="000000" w:themeColor="text1" w:themeTint="FF" w:themeShade="FF"/>
          <w:sz w:val="24"/>
          <w:szCs w:val="24"/>
          <w:lang w:val="en-US"/>
        </w:rPr>
        <w:t>identify</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moderators such as frequency, </w:t>
      </w:r>
      <w:r w:rsidRPr="5723FB78" w:rsidR="49526DA6">
        <w:rPr>
          <w:rFonts w:ascii="Times New Roman" w:hAnsi="Times New Roman" w:eastAsia="Times New Roman" w:cs="Times New Roman"/>
          <w:noProof w:val="0"/>
          <w:color w:val="000000" w:themeColor="text1" w:themeTint="FF" w:themeShade="FF"/>
          <w:sz w:val="24"/>
          <w:szCs w:val="24"/>
          <w:lang w:val="en-US"/>
        </w:rPr>
        <w:t>duration</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modality, </w:t>
      </w:r>
      <w:r w:rsidRPr="5723FB78" w:rsidR="49526DA6">
        <w:rPr>
          <w:rFonts w:ascii="Times New Roman" w:hAnsi="Times New Roman" w:eastAsia="Times New Roman" w:cs="Times New Roman"/>
          <w:noProof w:val="0"/>
          <w:color w:val="000000" w:themeColor="text1" w:themeTint="FF" w:themeShade="FF"/>
          <w:sz w:val="24"/>
          <w:szCs w:val="24"/>
          <w:lang w:val="en-US"/>
        </w:rPr>
        <w:t>indicating</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that design decisions are constitutive of effect and that Uni Play’s low-pressure format may produce smaller or more variable impacts if attendance and progression are weak (Liu et al., 2025). Although broader depression evidence supports exercise as a treatment </w:t>
      </w:r>
      <w:r w:rsidRPr="5723FB78" w:rsidR="49526DA6">
        <w:rPr>
          <w:rFonts w:ascii="Times New Roman" w:hAnsi="Times New Roman" w:eastAsia="Times New Roman" w:cs="Times New Roman"/>
          <w:noProof w:val="0"/>
          <w:color w:val="000000" w:themeColor="text1" w:themeTint="FF" w:themeShade="FF"/>
          <w:sz w:val="24"/>
          <w:szCs w:val="24"/>
          <w:lang w:val="en-US"/>
        </w:rPr>
        <w:t>option</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transfer should be cautious given differences in baseline severity, intensity targets, </w:t>
      </w:r>
      <w:r w:rsidRPr="5723FB78" w:rsidR="49526DA6">
        <w:rPr>
          <w:rFonts w:ascii="Times New Roman" w:hAnsi="Times New Roman" w:eastAsia="Times New Roman" w:cs="Times New Roman"/>
          <w:noProof w:val="0"/>
          <w:color w:val="000000" w:themeColor="text1" w:themeTint="FF" w:themeShade="FF"/>
          <w:sz w:val="24"/>
          <w:szCs w:val="24"/>
          <w:lang w:val="en-US"/>
        </w:rPr>
        <w:t>supervision</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adherence in student settings (</w:t>
      </w:r>
      <w:r w:rsidRPr="5723FB78" w:rsidR="49526DA6">
        <w:rPr>
          <w:rFonts w:ascii="Times New Roman" w:hAnsi="Times New Roman" w:eastAsia="Times New Roman" w:cs="Times New Roman"/>
          <w:noProof w:val="0"/>
          <w:color w:val="000000" w:themeColor="text1" w:themeTint="FF" w:themeShade="FF"/>
          <w:sz w:val="24"/>
          <w:szCs w:val="24"/>
          <w:lang w:val="en-US"/>
        </w:rPr>
        <w:t>Noetel</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et al., 2024; Huang et al., 2024).</w:t>
      </w:r>
    </w:p>
    <w:p xmlns:wp14="http://schemas.microsoft.com/office/word/2010/wordml" w:rsidP="5723FB78" wp14:paraId="45C96A44" wp14:textId="0050692E">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UK mapping evidence suggests physical activity provision for mental health is variably described and not reported in replicable ways, implying implementation and evaluation gaps may be as limiting as efficacy uncertainty (</w:t>
      </w:r>
      <w:r w:rsidRPr="5723FB78" w:rsidR="49526DA6">
        <w:rPr>
          <w:rFonts w:ascii="Times New Roman" w:hAnsi="Times New Roman" w:eastAsia="Times New Roman" w:cs="Times New Roman"/>
          <w:noProof w:val="0"/>
          <w:color w:val="000000" w:themeColor="text1" w:themeTint="FF" w:themeShade="FF"/>
          <w:sz w:val="24"/>
          <w:szCs w:val="24"/>
          <w:lang w:val="en-US"/>
        </w:rPr>
        <w:t>Malagodi</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et al., 2024; Huang et al., 2024). For Uni Play, this means attendance, </w:t>
      </w:r>
      <w:r w:rsidRPr="5723FB78" w:rsidR="49526DA6">
        <w:rPr>
          <w:rFonts w:ascii="Times New Roman" w:hAnsi="Times New Roman" w:eastAsia="Times New Roman" w:cs="Times New Roman"/>
          <w:noProof w:val="0"/>
          <w:color w:val="000000" w:themeColor="text1" w:themeTint="FF" w:themeShade="FF"/>
          <w:sz w:val="24"/>
          <w:szCs w:val="24"/>
          <w:lang w:val="en-US"/>
        </w:rPr>
        <w:t>adherence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dose should be treated as central explanatory variables, because symptom outcomes cannot be interpreted without exposure data (Huang et al., 2024; </w:t>
      </w:r>
      <w:r w:rsidRPr="5723FB78" w:rsidR="49526DA6">
        <w:rPr>
          <w:rFonts w:ascii="Times New Roman" w:hAnsi="Times New Roman" w:eastAsia="Times New Roman" w:cs="Times New Roman"/>
          <w:noProof w:val="0"/>
          <w:color w:val="000000" w:themeColor="text1" w:themeTint="FF" w:themeShade="FF"/>
          <w:sz w:val="24"/>
          <w:szCs w:val="24"/>
          <w:lang w:val="en-US"/>
        </w:rPr>
        <w:t>Malagodi</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et al., 2024). The review will therefore extract participation and adherence indicators alongside mental health </w:t>
      </w:r>
      <w:r w:rsidRPr="5723FB78" w:rsidR="49526DA6">
        <w:rPr>
          <w:rFonts w:ascii="Times New Roman" w:hAnsi="Times New Roman" w:eastAsia="Times New Roman" w:cs="Times New Roman"/>
          <w:noProof w:val="0"/>
          <w:color w:val="000000" w:themeColor="text1" w:themeTint="FF" w:themeShade="FF"/>
          <w:sz w:val="24"/>
          <w:szCs w:val="24"/>
          <w:lang w:val="en-US"/>
        </w:rPr>
        <w:t>outcomes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so any benefits are interpreted against attendance rather than assumed from intervention availability (Huang et al., 2024; Liu et al., 2025; </w:t>
      </w:r>
      <w:r w:rsidRPr="5723FB78" w:rsidR="49526DA6">
        <w:rPr>
          <w:rFonts w:ascii="Times New Roman" w:hAnsi="Times New Roman" w:eastAsia="Times New Roman" w:cs="Times New Roman"/>
          <w:noProof w:val="0"/>
          <w:color w:val="000000" w:themeColor="text1" w:themeTint="FF" w:themeShade="FF"/>
          <w:sz w:val="24"/>
          <w:szCs w:val="24"/>
          <w:lang w:val="en-US"/>
        </w:rPr>
        <w:t>Malagodi</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et al., 2024).</w:t>
      </w:r>
    </w:p>
    <w:p xmlns:wp14="http://schemas.microsoft.com/office/word/2010/wordml" w:rsidP="5723FB78" wp14:paraId="20730B3D" wp14:textId="40FC6003">
      <w:pPr>
        <w:spacing w:line="480" w:lineRule="auto"/>
        <w:rPr>
          <w:rFonts w:ascii="Times New Roman" w:hAnsi="Times New Roman" w:eastAsia="Times New Roman" w:cs="Times New Roman"/>
          <w:noProof w:val="0"/>
          <w:sz w:val="24"/>
          <w:szCs w:val="24"/>
          <w:lang w:val="en-GB"/>
        </w:rPr>
      </w:pPr>
      <w:r w:rsidRPr="5723FB78" w:rsidR="49526DA6">
        <w:rPr>
          <w:rFonts w:ascii="Times New Roman" w:hAnsi="Times New Roman" w:eastAsia="Times New Roman" w:cs="Times New Roman"/>
          <w:b w:val="1"/>
          <w:bCs w:val="1"/>
          <w:noProof w:val="0"/>
          <w:sz w:val="24"/>
          <w:szCs w:val="24"/>
          <w:lang w:val="en-US"/>
        </w:rPr>
        <w:t>Theme 3 Social connection, loneliness and belonging as mechanisms and outcomes</w:t>
      </w:r>
    </w:p>
    <w:p xmlns:wp14="http://schemas.microsoft.com/office/word/2010/wordml" w:rsidP="5723FB78" wp14:paraId="599BA2DA" wp14:textId="3FFCFB2B">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Across social and health psychology, social connection is positioned as a determinant of wellbeing because belonging and support can buffer stress during transitions such as starting university (Haslam et al., 2018; Jetten et al., 2017). However, group settings are not uniformly beneficial and can reproduce exclusion and threat when norms privilege competence, </w:t>
      </w:r>
      <w:r w:rsidRPr="5723FB78" w:rsidR="49526DA6">
        <w:rPr>
          <w:rFonts w:ascii="Times New Roman" w:hAnsi="Times New Roman" w:eastAsia="Times New Roman" w:cs="Times New Roman"/>
          <w:noProof w:val="0"/>
          <w:color w:val="000000" w:themeColor="text1" w:themeTint="FF" w:themeShade="FF"/>
          <w:sz w:val="24"/>
          <w:szCs w:val="24"/>
          <w:lang w:val="en-US"/>
        </w:rPr>
        <w:t>status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or performance, creating a clear risk in sport-related contexts (Steffens et al., 2021; Jackman et al., 2024). This theme therefore tests whether Uni Play’s social mechanism is plausible given mixed evidence on inclusion and the quality of social experience.</w:t>
      </w:r>
    </w:p>
    <w:p xmlns:wp14="http://schemas.microsoft.com/office/word/2010/wordml" w:rsidP="5723FB78" wp14:paraId="769E1AD3" wp14:textId="6DDB47C2">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The literature suggests social connection may link activity to wellbeing, yet sport settings can simultaneously offer affiliation and reproduce exclusion through evaluative norms, comparison and subtle gatekeeping that deter less confident participants (Jackman et al., 2024; Steffens et al., 2021). This matters because Uni Play depends on connection being experienced as safe and affirming, but contact is not inherently protective and may increase threat when competence norms dominate (Haslam et al., 2018; Jetten et al., 2017). Systematic review evidence shows belonging is defined and measured inconsistently, undermining comparability and allowing </w:t>
      </w:r>
      <w:r w:rsidRPr="5723FB78" w:rsidR="49526DA6">
        <w:rPr>
          <w:rFonts w:ascii="Times New Roman" w:hAnsi="Times New Roman" w:eastAsia="Times New Roman" w:cs="Times New Roman"/>
          <w:noProof w:val="0"/>
          <w:color w:val="000000" w:themeColor="text1" w:themeTint="FF" w:themeShade="FF"/>
          <w:sz w:val="24"/>
          <w:szCs w:val="24"/>
          <w:lang w:val="en-US"/>
        </w:rPr>
        <w:t>apparentsuccess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to hinge on proxy </w:t>
      </w:r>
      <w:r w:rsidRPr="5723FB78" w:rsidR="49526DA6">
        <w:rPr>
          <w:rFonts w:ascii="Times New Roman" w:hAnsi="Times New Roman" w:eastAsia="Times New Roman" w:cs="Times New Roman"/>
          <w:noProof w:val="0"/>
          <w:color w:val="000000" w:themeColor="text1" w:themeTint="FF" w:themeShade="FF"/>
          <w:sz w:val="24"/>
          <w:szCs w:val="24"/>
          <w:lang w:val="en-US"/>
        </w:rPr>
        <w:t>selection</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rather than deeper inclusion (Dias </w:t>
      </w:r>
      <w:r w:rsidRPr="5723FB78" w:rsidR="49526DA6">
        <w:rPr>
          <w:rFonts w:ascii="Times New Roman" w:hAnsi="Times New Roman" w:eastAsia="Times New Roman" w:cs="Times New Roman"/>
          <w:noProof w:val="0"/>
          <w:color w:val="000000" w:themeColor="text1" w:themeTint="FF" w:themeShade="FF"/>
          <w:sz w:val="24"/>
          <w:szCs w:val="24"/>
          <w:lang w:val="en-US"/>
        </w:rPr>
        <w:t>Broens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et al., 2024). Counselling research similarly finds that wellness and wellbeing constructs are inconsistently </w:t>
      </w:r>
      <w:r w:rsidRPr="5723FB78" w:rsidR="49526DA6">
        <w:rPr>
          <w:rFonts w:ascii="Times New Roman" w:hAnsi="Times New Roman" w:eastAsia="Times New Roman" w:cs="Times New Roman"/>
          <w:noProof w:val="0"/>
          <w:color w:val="000000" w:themeColor="text1" w:themeTint="FF" w:themeShade="FF"/>
          <w:sz w:val="24"/>
          <w:szCs w:val="24"/>
          <w:lang w:val="en-US"/>
        </w:rPr>
        <w:t>theorised</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w:t>
      </w:r>
      <w:r w:rsidRPr="5723FB78" w:rsidR="49526DA6">
        <w:rPr>
          <w:rFonts w:ascii="Times New Roman" w:hAnsi="Times New Roman" w:eastAsia="Times New Roman" w:cs="Times New Roman"/>
          <w:noProof w:val="0"/>
          <w:color w:val="000000" w:themeColor="text1" w:themeTint="FF" w:themeShade="FF"/>
          <w:sz w:val="24"/>
          <w:szCs w:val="24"/>
          <w:lang w:val="en-US"/>
        </w:rPr>
        <w:t>operationalised</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weakening synthesis and confidence in mechanism claims (Nice et al., 2023). Uni Play’s evaluation therefore needs distinct social outcomes such as loneliness, belonging and perceived social support rather than treating wellness as a catch-all (Nice et al., 2023; Dias </w:t>
      </w:r>
      <w:r w:rsidRPr="5723FB78" w:rsidR="49526DA6">
        <w:rPr>
          <w:rFonts w:ascii="Times New Roman" w:hAnsi="Times New Roman" w:eastAsia="Times New Roman" w:cs="Times New Roman"/>
          <w:noProof w:val="0"/>
          <w:color w:val="000000" w:themeColor="text1" w:themeTint="FF" w:themeShade="FF"/>
          <w:sz w:val="24"/>
          <w:szCs w:val="24"/>
          <w:lang w:val="en-US"/>
        </w:rPr>
        <w:t>Broens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et al., 2024).</w:t>
      </w:r>
    </w:p>
    <w:p xmlns:wp14="http://schemas.microsoft.com/office/word/2010/wordml" w:rsidP="5723FB78" wp14:paraId="1D50112C" wp14:textId="3EFED9C7">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Sport-specific synthesis </w:t>
      </w:r>
      <w:r w:rsidRPr="5723FB78" w:rsidR="49526DA6">
        <w:rPr>
          <w:rFonts w:ascii="Times New Roman" w:hAnsi="Times New Roman" w:eastAsia="Times New Roman" w:cs="Times New Roman"/>
          <w:noProof w:val="0"/>
          <w:color w:val="000000" w:themeColor="text1" w:themeTint="FF" w:themeShade="FF"/>
          <w:sz w:val="24"/>
          <w:szCs w:val="24"/>
          <w:lang w:val="en-US"/>
        </w:rPr>
        <w:t>indicates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sport can reduce loneliness via shared purpose and repeated contact but can also heighten loneliness during transitions, injury, </w:t>
      </w:r>
      <w:r w:rsidRPr="5723FB78" w:rsidR="49526DA6">
        <w:rPr>
          <w:rFonts w:ascii="Times New Roman" w:hAnsi="Times New Roman" w:eastAsia="Times New Roman" w:cs="Times New Roman"/>
          <w:noProof w:val="0"/>
          <w:color w:val="000000" w:themeColor="text1" w:themeTint="FF" w:themeShade="FF"/>
          <w:sz w:val="24"/>
          <w:szCs w:val="24"/>
          <w:lang w:val="en-US"/>
        </w:rPr>
        <w:t>pressure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comparison, implying stronger boundary conditions than “sport is socially beneficial” narratives often suggest (Jackman et al., 2024). Longitudinal evidence further indicates bidirectionality between activity and loneliness, complicating causal claims and raising selection concerns (</w:t>
      </w:r>
      <w:r w:rsidRPr="5723FB78" w:rsidR="49526DA6">
        <w:rPr>
          <w:rFonts w:ascii="Times New Roman" w:hAnsi="Times New Roman" w:eastAsia="Times New Roman" w:cs="Times New Roman"/>
          <w:noProof w:val="0"/>
          <w:color w:val="000000" w:themeColor="text1" w:themeTint="FF" w:themeShade="FF"/>
          <w:sz w:val="24"/>
          <w:szCs w:val="24"/>
          <w:lang w:val="en-US"/>
        </w:rPr>
        <w:t>Surkalim</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et al., 2024). For Uni Play, the implication is that extraction should separate quantity of contact from quality of belonging and support, and translate evidence into minimum conditions </w:t>
      </w:r>
      <w:r w:rsidRPr="5723FB78" w:rsidR="49526DA6">
        <w:rPr>
          <w:rFonts w:ascii="Times New Roman" w:hAnsi="Times New Roman" w:eastAsia="Times New Roman" w:cs="Times New Roman"/>
          <w:noProof w:val="0"/>
          <w:color w:val="000000" w:themeColor="text1" w:themeTint="FF" w:themeShade="FF"/>
          <w:sz w:val="24"/>
          <w:szCs w:val="24"/>
          <w:lang w:val="en-US"/>
        </w:rPr>
        <w:t>centred</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on repeated, psychologically safe group experiences rather than one-off introductions (Haslam et al., 2018; Dias </w:t>
      </w:r>
      <w:r w:rsidRPr="5723FB78" w:rsidR="49526DA6">
        <w:rPr>
          <w:rFonts w:ascii="Times New Roman" w:hAnsi="Times New Roman" w:eastAsia="Times New Roman" w:cs="Times New Roman"/>
          <w:noProof w:val="0"/>
          <w:color w:val="000000" w:themeColor="text1" w:themeTint="FF" w:themeShade="FF"/>
          <w:sz w:val="24"/>
          <w:szCs w:val="24"/>
          <w:lang w:val="en-US"/>
        </w:rPr>
        <w:t>Broens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et al., 2024; Ahn et al., 2024; </w:t>
      </w:r>
      <w:r w:rsidRPr="5723FB78" w:rsidR="49526DA6">
        <w:rPr>
          <w:rFonts w:ascii="Times New Roman" w:hAnsi="Times New Roman" w:eastAsia="Times New Roman" w:cs="Times New Roman"/>
          <w:noProof w:val="0"/>
          <w:color w:val="000000" w:themeColor="text1" w:themeTint="FF" w:themeShade="FF"/>
          <w:sz w:val="24"/>
          <w:szCs w:val="24"/>
          <w:lang w:val="en-US"/>
        </w:rPr>
        <w:t>Surkalim</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et al., 2024).</w:t>
      </w:r>
    </w:p>
    <w:p xmlns:wp14="http://schemas.microsoft.com/office/word/2010/wordml" w:rsidP="5723FB78" wp14:paraId="4A25E986" wp14:textId="51C4DA40">
      <w:pPr>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xmlns:wp14="http://schemas.microsoft.com/office/word/2010/wordml" w:rsidP="5723FB78" wp14:paraId="76FB616F" wp14:textId="5C7744CD">
      <w:pPr>
        <w:spacing w:before="240" w:beforeAutospacing="off" w:after="240" w:afterAutospacing="off" w:line="480" w:lineRule="auto"/>
        <w:rPr>
          <w:rFonts w:ascii="Times New Roman" w:hAnsi="Times New Roman" w:eastAsia="Times New Roman" w:cs="Times New Roman"/>
          <w:noProof w:val="0"/>
          <w:sz w:val="24"/>
          <w:szCs w:val="24"/>
          <w:lang w:val="en-GB"/>
        </w:rPr>
      </w:pPr>
      <w:r w:rsidRPr="5723FB78" w:rsidR="49526DA6">
        <w:rPr>
          <w:rFonts w:ascii="Times New Roman" w:hAnsi="Times New Roman" w:eastAsia="Times New Roman" w:cs="Times New Roman"/>
          <w:b w:val="1"/>
          <w:bCs w:val="1"/>
          <w:noProof w:val="0"/>
          <w:sz w:val="24"/>
          <w:szCs w:val="24"/>
          <w:lang w:val="en-US"/>
        </w:rPr>
        <w:t>Theme 4 Barriers to participation and the case for low-pressure provision</w:t>
      </w:r>
    </w:p>
    <w:p xmlns:wp14="http://schemas.microsoft.com/office/word/2010/wordml" w:rsidP="5723FB78" wp14:paraId="7B397174" wp14:textId="0252AE97">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Across </w:t>
      </w:r>
      <w:r w:rsidRPr="5723FB78" w:rsidR="49526DA6">
        <w:rPr>
          <w:rFonts w:ascii="Times New Roman" w:hAnsi="Times New Roman" w:eastAsia="Times New Roman" w:cs="Times New Roman"/>
          <w:noProof w:val="0"/>
          <w:color w:val="000000" w:themeColor="text1" w:themeTint="FF" w:themeShade="FF"/>
          <w:sz w:val="24"/>
          <w:szCs w:val="24"/>
          <w:lang w:val="en-US"/>
        </w:rPr>
        <w:t>behaviour</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change research, participation is shaped by capability, </w:t>
      </w:r>
      <w:r w:rsidRPr="5723FB78" w:rsidR="49526DA6">
        <w:rPr>
          <w:rFonts w:ascii="Times New Roman" w:hAnsi="Times New Roman" w:eastAsia="Times New Roman" w:cs="Times New Roman"/>
          <w:noProof w:val="0"/>
          <w:color w:val="000000" w:themeColor="text1" w:themeTint="FF" w:themeShade="FF"/>
          <w:sz w:val="24"/>
          <w:szCs w:val="24"/>
          <w:lang w:val="en-US"/>
        </w:rPr>
        <w:t>opportunity</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motivation, meaning </w:t>
      </w:r>
      <w:r w:rsidRPr="5723FB78" w:rsidR="49526DA6">
        <w:rPr>
          <w:rFonts w:ascii="Times New Roman" w:hAnsi="Times New Roman" w:eastAsia="Times New Roman" w:cs="Times New Roman"/>
          <w:noProof w:val="0"/>
          <w:color w:val="000000" w:themeColor="text1" w:themeTint="FF" w:themeShade="FF"/>
          <w:sz w:val="24"/>
          <w:szCs w:val="24"/>
          <w:lang w:val="en-US"/>
        </w:rPr>
        <w:t>favourable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attitudes rarely translate into </w:t>
      </w:r>
      <w:r w:rsidRPr="5723FB78" w:rsidR="49526DA6">
        <w:rPr>
          <w:rFonts w:ascii="Times New Roman" w:hAnsi="Times New Roman" w:eastAsia="Times New Roman" w:cs="Times New Roman"/>
          <w:noProof w:val="0"/>
          <w:color w:val="000000" w:themeColor="text1" w:themeTint="FF" w:themeShade="FF"/>
          <w:sz w:val="24"/>
          <w:szCs w:val="24"/>
          <w:lang w:val="en-US"/>
        </w:rPr>
        <w:t>behaviour</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when time, access, </w:t>
      </w:r>
      <w:r w:rsidRPr="5723FB78" w:rsidR="49526DA6">
        <w:rPr>
          <w:rFonts w:ascii="Times New Roman" w:hAnsi="Times New Roman" w:eastAsia="Times New Roman" w:cs="Times New Roman"/>
          <w:noProof w:val="0"/>
          <w:color w:val="000000" w:themeColor="text1" w:themeTint="FF" w:themeShade="FF"/>
          <w:sz w:val="24"/>
          <w:szCs w:val="24"/>
          <w:lang w:val="en-US"/>
        </w:rPr>
        <w:t>confidence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social context constrain action (Michie, van Stralen and West, 2011; Keyworth et al., 2020). In student populations, these constraints are amplified by timetabling pressures, commuting, caring responsibilities and disrupted peer networks, making even low-cost activities difficult to </w:t>
      </w:r>
      <w:r w:rsidRPr="5723FB78" w:rsidR="49526DA6">
        <w:rPr>
          <w:rFonts w:ascii="Times New Roman" w:hAnsi="Times New Roman" w:eastAsia="Times New Roman" w:cs="Times New Roman"/>
          <w:noProof w:val="0"/>
          <w:color w:val="000000" w:themeColor="text1" w:themeTint="FF" w:themeShade="FF"/>
          <w:sz w:val="24"/>
          <w:szCs w:val="24"/>
          <w:lang w:val="en-US"/>
        </w:rPr>
        <w:t>initiate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sustain (Keyworth et al., 2020; Shelton et al., 2024). This theme therefore assesses feasibility barriers and justifies focusing on casual, non-competitive </w:t>
      </w:r>
      <w:r w:rsidRPr="5723FB78" w:rsidR="49526DA6">
        <w:rPr>
          <w:rFonts w:ascii="Times New Roman" w:hAnsi="Times New Roman" w:eastAsia="Times New Roman" w:cs="Times New Roman"/>
          <w:noProof w:val="0"/>
          <w:color w:val="000000" w:themeColor="text1" w:themeTint="FF" w:themeShade="FF"/>
          <w:sz w:val="24"/>
          <w:szCs w:val="24"/>
          <w:lang w:val="en-US"/>
        </w:rPr>
        <w:t>provision</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comparable to Uni Play.</w:t>
      </w:r>
    </w:p>
    <w:p xmlns:wp14="http://schemas.microsoft.com/office/word/2010/wordml" w:rsidP="5723FB78" wp14:paraId="38BEADFF" wp14:textId="5BBDDE59">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COM-B is useful for explaining why intentions do not translate into attendance, but barrier models can be over-applied as if participation is primarily logistical rather than also shaped by identity and social threat (Michie, </w:t>
      </w:r>
      <w:r w:rsidRPr="5723FB78" w:rsidR="49526DA6">
        <w:rPr>
          <w:rFonts w:ascii="Times New Roman" w:hAnsi="Times New Roman" w:eastAsia="Times New Roman" w:cs="Times New Roman"/>
          <w:noProof w:val="0"/>
          <w:color w:val="000000" w:themeColor="text1" w:themeTint="FF" w:themeShade="FF"/>
          <w:sz w:val="24"/>
          <w:szCs w:val="24"/>
          <w:lang w:val="en-US"/>
        </w:rPr>
        <w:t>Atkins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West, 2014; Michie, van Stralen and West, 2011). Evidence suggests stigma and fear of judgement following negative sport experiences suppress participation even when opportunities exist, implying low-pressure provision must be psychologically safe as well as convenient (Shelton et al., 2024; Steffens et al., 2021). SDT provides a basis for low-pressure provision through autonomy, </w:t>
      </w:r>
      <w:r w:rsidRPr="5723FB78" w:rsidR="49526DA6">
        <w:rPr>
          <w:rFonts w:ascii="Times New Roman" w:hAnsi="Times New Roman" w:eastAsia="Times New Roman" w:cs="Times New Roman"/>
          <w:noProof w:val="0"/>
          <w:color w:val="000000" w:themeColor="text1" w:themeTint="FF" w:themeShade="FF"/>
          <w:sz w:val="24"/>
          <w:szCs w:val="24"/>
          <w:lang w:val="en-US"/>
        </w:rPr>
        <w:t>competence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relatedness, yet it is </w:t>
      </w:r>
      <w:r w:rsidRPr="5723FB78" w:rsidR="49526DA6">
        <w:rPr>
          <w:rFonts w:ascii="Times New Roman" w:hAnsi="Times New Roman" w:eastAsia="Times New Roman" w:cs="Times New Roman"/>
          <w:noProof w:val="0"/>
          <w:color w:val="000000" w:themeColor="text1" w:themeTint="FF" w:themeShade="FF"/>
          <w:sz w:val="24"/>
          <w:szCs w:val="24"/>
          <w:lang w:val="en-US"/>
        </w:rPr>
        <w:t>criticised</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when it </w:t>
      </w:r>
      <w:r w:rsidRPr="5723FB78" w:rsidR="49526DA6">
        <w:rPr>
          <w:rFonts w:ascii="Times New Roman" w:hAnsi="Times New Roman" w:eastAsia="Times New Roman" w:cs="Times New Roman"/>
          <w:noProof w:val="0"/>
          <w:color w:val="000000" w:themeColor="text1" w:themeTint="FF" w:themeShade="FF"/>
          <w:sz w:val="24"/>
          <w:szCs w:val="24"/>
          <w:lang w:val="en-US"/>
        </w:rPr>
        <w:t>individualises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responsibility and underplays structural constraints that unequally shape students’ capacity to </w:t>
      </w:r>
      <w:r w:rsidRPr="5723FB78" w:rsidR="49526DA6">
        <w:rPr>
          <w:rFonts w:ascii="Times New Roman" w:hAnsi="Times New Roman" w:eastAsia="Times New Roman" w:cs="Times New Roman"/>
          <w:noProof w:val="0"/>
          <w:color w:val="000000" w:themeColor="text1" w:themeTint="FF" w:themeShade="FF"/>
          <w:sz w:val="24"/>
          <w:szCs w:val="24"/>
          <w:lang w:val="en-US"/>
        </w:rPr>
        <w:t>participate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(Ryan and Deci, 2017; Cerin et al., 2023). This matters because an app may reduce coordination friction while leaving time, </w:t>
      </w:r>
      <w:r w:rsidRPr="5723FB78" w:rsidR="49526DA6">
        <w:rPr>
          <w:rFonts w:ascii="Times New Roman" w:hAnsi="Times New Roman" w:eastAsia="Times New Roman" w:cs="Times New Roman"/>
          <w:noProof w:val="0"/>
          <w:color w:val="000000" w:themeColor="text1" w:themeTint="FF" w:themeShade="FF"/>
          <w:sz w:val="24"/>
          <w:szCs w:val="24"/>
          <w:lang w:val="en-US"/>
        </w:rPr>
        <w:t>cost</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access barriers intact, creating differential benefit concentrated among students with more resources (Shelton et al., 2024; Cerin et al., 2023).</w:t>
      </w:r>
    </w:p>
    <w:p xmlns:wp14="http://schemas.microsoft.com/office/word/2010/wordml" w:rsidP="5723FB78" wp14:paraId="228FCB11" wp14:textId="5940CFFA">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For Uni Play, low pressure must be </w:t>
      </w:r>
      <w:r w:rsidRPr="5723FB78" w:rsidR="49526DA6">
        <w:rPr>
          <w:rFonts w:ascii="Times New Roman" w:hAnsi="Times New Roman" w:eastAsia="Times New Roman" w:cs="Times New Roman"/>
          <w:noProof w:val="0"/>
          <w:color w:val="000000" w:themeColor="text1" w:themeTint="FF" w:themeShade="FF"/>
          <w:sz w:val="24"/>
          <w:szCs w:val="24"/>
          <w:lang w:val="en-US"/>
        </w:rPr>
        <w:t>operationalised</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into features that reduce social risk, including ability-fit matching, explicit norms and feedback mechanisms that detect exclusion early, because negative first experiences can reinforce avoidance and reduce future participation (Steffens et al., 2021; Jackman et al., 2024). The logic model will therefore evaluate whether interventions address both opportunity barriers and identity threat through matching and inclusive norms, since feasibility depends on sustaining engagement beyond </w:t>
      </w:r>
      <w:r w:rsidRPr="5723FB78" w:rsidR="49526DA6">
        <w:rPr>
          <w:rFonts w:ascii="Times New Roman" w:hAnsi="Times New Roman" w:eastAsia="Times New Roman" w:cs="Times New Roman"/>
          <w:noProof w:val="0"/>
          <w:color w:val="000000" w:themeColor="text1" w:themeTint="FF" w:themeShade="FF"/>
          <w:sz w:val="24"/>
          <w:szCs w:val="24"/>
          <w:lang w:val="en-US"/>
        </w:rPr>
        <w:t>initial</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uptake (Michie, van Stralen and West, 2011; Shelton et al., 2024; Steffens et al., 2021).</w:t>
      </w:r>
    </w:p>
    <w:p xmlns:wp14="http://schemas.microsoft.com/office/word/2010/wordml" w:rsidP="5723FB78" wp14:paraId="2ADEF071" wp14:textId="08C2F7FB">
      <w:pPr>
        <w:spacing w:line="480" w:lineRule="auto"/>
        <w:rPr>
          <w:rFonts w:ascii="Times New Roman" w:hAnsi="Times New Roman" w:eastAsia="Times New Roman" w:cs="Times New Roman"/>
          <w:noProof w:val="0"/>
          <w:sz w:val="24"/>
          <w:szCs w:val="24"/>
          <w:lang w:val="en-GB"/>
        </w:rPr>
      </w:pPr>
    </w:p>
    <w:p xmlns:wp14="http://schemas.microsoft.com/office/word/2010/wordml" w:rsidP="5723FB78" wp14:paraId="61174EAE" wp14:textId="75B8E212">
      <w:pPr>
        <w:spacing w:line="480" w:lineRule="auto"/>
        <w:rPr>
          <w:rFonts w:ascii="Times New Roman" w:hAnsi="Times New Roman" w:eastAsia="Times New Roman" w:cs="Times New Roman"/>
          <w:noProof w:val="0"/>
          <w:sz w:val="24"/>
          <w:szCs w:val="24"/>
          <w:lang w:val="en-GB"/>
        </w:rPr>
      </w:pPr>
      <w:r w:rsidRPr="5723FB78" w:rsidR="49526DA6">
        <w:rPr>
          <w:rFonts w:ascii="Times New Roman" w:hAnsi="Times New Roman" w:eastAsia="Times New Roman" w:cs="Times New Roman"/>
          <w:b w:val="1"/>
          <w:bCs w:val="1"/>
          <w:noProof w:val="0"/>
          <w:sz w:val="24"/>
          <w:szCs w:val="24"/>
          <w:lang w:val="en-US"/>
        </w:rPr>
        <w:t>Theme 5 Digital intervention design and engagement as a validity problem</w:t>
      </w:r>
    </w:p>
    <w:p xmlns:wp14="http://schemas.microsoft.com/office/word/2010/wordml" w:rsidP="5723FB78" wp14:paraId="61A848E2" wp14:textId="581DBA78">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Across digital health, scalability is often assumed to be a primary advantage of app-based interventions, yet evidence repeatedly shows reach does not guarantee sustained engagement or meaningful </w:t>
      </w:r>
      <w:r w:rsidRPr="5723FB78" w:rsidR="49526DA6">
        <w:rPr>
          <w:rFonts w:ascii="Times New Roman" w:hAnsi="Times New Roman" w:eastAsia="Times New Roman" w:cs="Times New Roman"/>
          <w:noProof w:val="0"/>
          <w:color w:val="000000" w:themeColor="text1" w:themeTint="FF" w:themeShade="FF"/>
          <w:sz w:val="24"/>
          <w:szCs w:val="24"/>
          <w:lang w:val="en-US"/>
        </w:rPr>
        <w:t>behaviour</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change (Yardley et al., 2016; Perski et al., 2017). A persistent methodological problem is that engagement is inconsistently defined, enabling studies to overstate impact through superficial usage indicators rather than tracking offline </w:t>
      </w:r>
      <w:r w:rsidRPr="5723FB78" w:rsidR="49526DA6">
        <w:rPr>
          <w:rFonts w:ascii="Times New Roman" w:hAnsi="Times New Roman" w:eastAsia="Times New Roman" w:cs="Times New Roman"/>
          <w:noProof w:val="0"/>
          <w:color w:val="000000" w:themeColor="text1" w:themeTint="FF" w:themeShade="FF"/>
          <w:sz w:val="24"/>
          <w:szCs w:val="24"/>
          <w:lang w:val="en-US"/>
        </w:rPr>
        <w:t>behaviour</w:t>
      </w:r>
      <w:r w:rsidRPr="5723FB78" w:rsidR="49526DA6">
        <w:rPr>
          <w:rFonts w:ascii="Times New Roman" w:hAnsi="Times New Roman" w:eastAsia="Times New Roman" w:cs="Times New Roman"/>
          <w:noProof w:val="0"/>
          <w:color w:val="000000" w:themeColor="text1" w:themeTint="FF" w:themeShade="FF"/>
          <w:sz w:val="24"/>
          <w:szCs w:val="24"/>
          <w:lang w:val="en-US"/>
        </w:rPr>
        <w:t>(Eaton et al., 2024; Milne Ives et al., 2025). This theme therefore defines engagement in a way that is valid for Uni Play’s offline goals and specifies extractable engagement indicators.</w:t>
      </w:r>
    </w:p>
    <w:p xmlns:wp14="http://schemas.microsoft.com/office/word/2010/wordml" w:rsidP="5723FB78" wp14:paraId="17B46164" wp14:textId="7716465D">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Digital health research shows engagement is inconsistently reported, and this inconsistency allows weak studies to privilege app metrics over </w:t>
      </w:r>
      <w:r w:rsidRPr="5723FB78" w:rsidR="49526DA6">
        <w:rPr>
          <w:rFonts w:ascii="Times New Roman" w:hAnsi="Times New Roman" w:eastAsia="Times New Roman" w:cs="Times New Roman"/>
          <w:noProof w:val="0"/>
          <w:color w:val="000000" w:themeColor="text1" w:themeTint="FF" w:themeShade="FF"/>
          <w:sz w:val="24"/>
          <w:szCs w:val="24"/>
          <w:lang w:val="en-US"/>
        </w:rPr>
        <w:t>behavioural</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endpoints, obscuring whether interventions change lived </w:t>
      </w:r>
      <w:r w:rsidRPr="5723FB78" w:rsidR="49526DA6">
        <w:rPr>
          <w:rFonts w:ascii="Times New Roman" w:hAnsi="Times New Roman" w:eastAsia="Times New Roman" w:cs="Times New Roman"/>
          <w:noProof w:val="0"/>
          <w:color w:val="000000" w:themeColor="text1" w:themeTint="FF" w:themeShade="FF"/>
          <w:sz w:val="24"/>
          <w:szCs w:val="24"/>
          <w:lang w:val="en-US"/>
        </w:rPr>
        <w:t>behaviour</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(Eaton et al., 2024; Smith et al., 2025). This matters for Uni Play because downloads and logins may reflect curiosity rather than commitment, and matching may not translate into attendance if friction, </w:t>
      </w:r>
      <w:r w:rsidRPr="5723FB78" w:rsidR="49526DA6">
        <w:rPr>
          <w:rFonts w:ascii="Times New Roman" w:hAnsi="Times New Roman" w:eastAsia="Times New Roman" w:cs="Times New Roman"/>
          <w:noProof w:val="0"/>
          <w:color w:val="000000" w:themeColor="text1" w:themeTint="FF" w:themeShade="FF"/>
          <w:sz w:val="24"/>
          <w:szCs w:val="24"/>
          <w:lang w:val="en-US"/>
        </w:rPr>
        <w:t>anxiety</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or mismatch </w:t>
      </w:r>
      <w:r w:rsidRPr="5723FB78" w:rsidR="49526DA6">
        <w:rPr>
          <w:rFonts w:ascii="Times New Roman" w:hAnsi="Times New Roman" w:eastAsia="Times New Roman" w:cs="Times New Roman"/>
          <w:noProof w:val="0"/>
          <w:color w:val="000000" w:themeColor="text1" w:themeTint="FF" w:themeShade="FF"/>
          <w:sz w:val="24"/>
          <w:szCs w:val="24"/>
          <w:lang w:val="en-US"/>
        </w:rPr>
        <w:t>emerges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at the point of joining sessions (Milne Ives et al., 2025; Perski et al., 2017). App-based interventions show mixed effects when design and delivery misalign with users’ contexts, yet context is often treated descriptively rather than analytically, limiting insight into why engagement fails (He et al., 2024; Milne Ives et al., 2025). Engagement is also sometimes framed as an individual deficit rather than a design outcome, risking implicit user-blame and underinvestment in iterative improvement (Yardley et al., 2016; Perski et al., 2017).</w:t>
      </w:r>
    </w:p>
    <w:p xmlns:wp14="http://schemas.microsoft.com/office/word/2010/wordml" w:rsidP="5723FB78" wp14:paraId="544F90FB" wp14:textId="6D6E4D07">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For Uni Play, engagement should be </w:t>
      </w:r>
      <w:r w:rsidRPr="5723FB78" w:rsidR="49526DA6">
        <w:rPr>
          <w:rFonts w:ascii="Times New Roman" w:hAnsi="Times New Roman" w:eastAsia="Times New Roman" w:cs="Times New Roman"/>
          <w:noProof w:val="0"/>
          <w:color w:val="000000" w:themeColor="text1" w:themeTint="FF" w:themeShade="FF"/>
          <w:sz w:val="24"/>
          <w:szCs w:val="24"/>
          <w:lang w:val="en-US"/>
        </w:rPr>
        <w:t>conceptualised</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as a staged pathway from onboarding and matching to offline attendance, repeat attendance and maintenance, because different drop-off points imply different </w:t>
      </w:r>
      <w:r w:rsidRPr="5723FB78" w:rsidR="49526DA6">
        <w:rPr>
          <w:rFonts w:ascii="Times New Roman" w:hAnsi="Times New Roman" w:eastAsia="Times New Roman" w:cs="Times New Roman"/>
          <w:noProof w:val="0"/>
          <w:color w:val="000000" w:themeColor="text1" w:themeTint="FF" w:themeShade="FF"/>
          <w:sz w:val="24"/>
          <w:szCs w:val="24"/>
          <w:lang w:val="en-US"/>
        </w:rPr>
        <w:t>designproblems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(Eaton et al., 2024; Milne Ives et al., 2025). </w:t>
      </w:r>
      <w:r w:rsidRPr="5723FB78" w:rsidR="49526DA6">
        <w:rPr>
          <w:rFonts w:ascii="Times New Roman" w:hAnsi="Times New Roman" w:eastAsia="Times New Roman" w:cs="Times New Roman"/>
          <w:noProof w:val="0"/>
          <w:color w:val="000000" w:themeColor="text1" w:themeTint="FF" w:themeShade="FF"/>
          <w:sz w:val="24"/>
          <w:szCs w:val="24"/>
          <w:lang w:val="en-US"/>
        </w:rPr>
        <w:t>Accordingly</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extraction will capture these stages </w:t>
      </w:r>
      <w:r w:rsidRPr="5723FB78" w:rsidR="49526DA6">
        <w:rPr>
          <w:rFonts w:ascii="Times New Roman" w:hAnsi="Times New Roman" w:eastAsia="Times New Roman" w:cs="Times New Roman"/>
          <w:noProof w:val="0"/>
          <w:color w:val="000000" w:themeColor="text1" w:themeTint="FF" w:themeShade="FF"/>
          <w:sz w:val="24"/>
          <w:szCs w:val="24"/>
          <w:lang w:val="en-US"/>
        </w:rPr>
        <w:t>where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reported and avoid treating digital usage alone as evidence of </w:t>
      </w:r>
      <w:r w:rsidRPr="5723FB78" w:rsidR="49526DA6">
        <w:rPr>
          <w:rFonts w:ascii="Times New Roman" w:hAnsi="Times New Roman" w:eastAsia="Times New Roman" w:cs="Times New Roman"/>
          <w:noProof w:val="0"/>
          <w:color w:val="000000" w:themeColor="text1" w:themeTint="FF" w:themeShade="FF"/>
          <w:sz w:val="24"/>
          <w:szCs w:val="24"/>
          <w:lang w:val="en-US"/>
        </w:rPr>
        <w:t>behavioural</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change or real-world impact (Yardley et al., 2016; Perski et al., 2017; Milne Ives et al., 2025).</w:t>
      </w:r>
    </w:p>
    <w:p xmlns:wp14="http://schemas.microsoft.com/office/word/2010/wordml" w:rsidP="5723FB78" wp14:paraId="53CE4BEC" wp14:textId="196C96C5">
      <w:pPr>
        <w:spacing w:line="480" w:lineRule="auto"/>
        <w:rPr>
          <w:rFonts w:ascii="Times New Roman" w:hAnsi="Times New Roman" w:eastAsia="Times New Roman" w:cs="Times New Roman"/>
          <w:noProof w:val="0"/>
          <w:sz w:val="24"/>
          <w:szCs w:val="24"/>
          <w:lang w:val="en-GB"/>
        </w:rPr>
      </w:pPr>
    </w:p>
    <w:p xmlns:wp14="http://schemas.microsoft.com/office/word/2010/wordml" w:rsidP="5723FB78" wp14:paraId="452DC623" wp14:textId="33CAD84C">
      <w:pPr>
        <w:spacing w:line="480" w:lineRule="auto"/>
        <w:rPr>
          <w:rFonts w:ascii="Times New Roman" w:hAnsi="Times New Roman" w:eastAsia="Times New Roman" w:cs="Times New Roman"/>
          <w:noProof w:val="0"/>
          <w:sz w:val="24"/>
          <w:szCs w:val="24"/>
          <w:lang w:val="en-GB"/>
        </w:rPr>
      </w:pPr>
      <w:r w:rsidRPr="5723FB78" w:rsidR="49526DA6">
        <w:rPr>
          <w:rFonts w:ascii="Times New Roman" w:hAnsi="Times New Roman" w:eastAsia="Times New Roman" w:cs="Times New Roman"/>
          <w:b w:val="1"/>
          <w:bCs w:val="1"/>
          <w:noProof w:val="0"/>
          <w:sz w:val="24"/>
          <w:szCs w:val="24"/>
          <w:lang w:val="en-US"/>
        </w:rPr>
        <w:t xml:space="preserve">Theme 6 Mechanisms linking activity to mood, </w:t>
      </w:r>
      <w:r w:rsidRPr="5723FB78" w:rsidR="49526DA6">
        <w:rPr>
          <w:rFonts w:ascii="Times New Roman" w:hAnsi="Times New Roman" w:eastAsia="Times New Roman" w:cs="Times New Roman"/>
          <w:b w:val="1"/>
          <w:bCs w:val="1"/>
          <w:noProof w:val="0"/>
          <w:sz w:val="24"/>
          <w:szCs w:val="24"/>
          <w:lang w:val="en-US"/>
        </w:rPr>
        <w:t>motivation</w:t>
      </w:r>
      <w:r w:rsidRPr="5723FB78" w:rsidR="49526DA6">
        <w:rPr>
          <w:rFonts w:ascii="Times New Roman" w:hAnsi="Times New Roman" w:eastAsia="Times New Roman" w:cs="Times New Roman"/>
          <w:b w:val="1"/>
          <w:bCs w:val="1"/>
          <w:noProof w:val="0"/>
          <w:sz w:val="24"/>
          <w:szCs w:val="24"/>
          <w:lang w:val="en-US"/>
        </w:rPr>
        <w:t xml:space="preserve"> and functioning</w:t>
      </w:r>
    </w:p>
    <w:p xmlns:wp14="http://schemas.microsoft.com/office/word/2010/wordml" w:rsidP="5723FB78" wp14:paraId="0E15268E" wp14:textId="73A3DD2F">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Across exercise science and psychology, links between activity and wellbeing are </w:t>
      </w:r>
      <w:r w:rsidRPr="5723FB78" w:rsidR="49526DA6">
        <w:rPr>
          <w:rFonts w:ascii="Times New Roman" w:hAnsi="Times New Roman" w:eastAsia="Times New Roman" w:cs="Times New Roman"/>
          <w:noProof w:val="0"/>
          <w:color w:val="000000" w:themeColor="text1" w:themeTint="FF" w:themeShade="FF"/>
          <w:sz w:val="24"/>
          <w:szCs w:val="24"/>
          <w:lang w:val="en-US"/>
        </w:rPr>
        <w:t>recognised</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as multi-factorial, spanning biological, </w:t>
      </w:r>
      <w:r w:rsidRPr="5723FB78" w:rsidR="49526DA6">
        <w:rPr>
          <w:rFonts w:ascii="Times New Roman" w:hAnsi="Times New Roman" w:eastAsia="Times New Roman" w:cs="Times New Roman"/>
          <w:noProof w:val="0"/>
          <w:color w:val="000000" w:themeColor="text1" w:themeTint="FF" w:themeShade="FF"/>
          <w:sz w:val="24"/>
          <w:szCs w:val="24"/>
          <w:lang w:val="en-US"/>
        </w:rPr>
        <w:t>cognitive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social processes, which cautions against single-cause rationales in applied intervention design (Yang, 2025; Huang et al., 2024). In student settings, where adherence and social context vary, psychosocial mechanisms such as relatedness, belonging and identity may be especially influential in </w:t>
      </w:r>
      <w:r w:rsidRPr="5723FB78" w:rsidR="49526DA6">
        <w:rPr>
          <w:rFonts w:ascii="Times New Roman" w:hAnsi="Times New Roman" w:eastAsia="Times New Roman" w:cs="Times New Roman"/>
          <w:noProof w:val="0"/>
          <w:color w:val="000000" w:themeColor="text1" w:themeTint="FF" w:themeShade="FF"/>
          <w:sz w:val="24"/>
          <w:szCs w:val="24"/>
          <w:lang w:val="en-US"/>
        </w:rPr>
        <w:t>determining</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whether activity translates into sustained wellbeing change (Haslam et al., 2018; Steffens et al., 2021). This theme </w:t>
      </w:r>
      <w:r w:rsidRPr="5723FB78" w:rsidR="49526DA6">
        <w:rPr>
          <w:rFonts w:ascii="Times New Roman" w:hAnsi="Times New Roman" w:eastAsia="Times New Roman" w:cs="Times New Roman"/>
          <w:noProof w:val="0"/>
          <w:color w:val="000000" w:themeColor="text1" w:themeTint="FF" w:themeShade="FF"/>
          <w:sz w:val="24"/>
          <w:szCs w:val="24"/>
          <w:lang w:val="en-US"/>
        </w:rPr>
        <w:t>identifies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mediators extractable from the literature and supports cautious interpretation by triangulating plausible pathways relevant to Uni Play.</w:t>
      </w:r>
    </w:p>
    <w:p xmlns:wp14="http://schemas.microsoft.com/office/word/2010/wordml" w:rsidP="5723FB78" wp14:paraId="22381F09" wp14:textId="6A8737E9">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Mechanistic accounts often over-</w:t>
      </w:r>
      <w:r w:rsidRPr="5723FB78" w:rsidR="49526DA6">
        <w:rPr>
          <w:rFonts w:ascii="Times New Roman" w:hAnsi="Times New Roman" w:eastAsia="Times New Roman" w:cs="Times New Roman"/>
          <w:noProof w:val="0"/>
          <w:color w:val="000000" w:themeColor="text1" w:themeTint="FF" w:themeShade="FF"/>
          <w:sz w:val="24"/>
          <w:szCs w:val="24"/>
          <w:lang w:val="en-US"/>
        </w:rPr>
        <w:t>emphasise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singular physiological explanations, risking overconfidence and under-specification of how students experience change in low-pressure, socially mediated settings (Yang, 2025). Evidence on neuroplasticity and psychosocial pathways suggests Uni Play should frame mechanisms pluralistically and acknowledge heterogeneity in how benefits may occur across students (Yang, 2025; Huang et al., 2024). Claims that exercise increases motivation and academic performance should also be treated cautiously because associations may reflect </w:t>
      </w:r>
      <w:r w:rsidRPr="5723FB78" w:rsidR="49526DA6">
        <w:rPr>
          <w:rFonts w:ascii="Times New Roman" w:hAnsi="Times New Roman" w:eastAsia="Times New Roman" w:cs="Times New Roman"/>
          <w:noProof w:val="0"/>
          <w:color w:val="000000" w:themeColor="text1" w:themeTint="FF" w:themeShade="FF"/>
          <w:sz w:val="24"/>
          <w:szCs w:val="24"/>
          <w:lang w:val="en-US"/>
        </w:rPr>
        <w:t>selection</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confounding, and academic outcomes are rarely tested with designs that isolate activity from broader support factors (Trott et al., 2024). SDT predicts stronger adherence and wellbeing when autonomy, competence and relatedness are supported, yet much of the evidence relies on concurrent self-report, raising common method bias concerns and limiting mediation claims (Ryan and Deci, 2017; Rhodes et al., 2020). Social identity approaches similarly predict benefits when valued group identification and psychologically safe norms develop, but these processes may require continuity and norm-setting that short interventions often lack (Haslam et al., 2018; Jetten et al., 2017).</w:t>
      </w:r>
    </w:p>
    <w:p xmlns:wp14="http://schemas.microsoft.com/office/word/2010/wordml" w:rsidP="5723FB78" wp14:paraId="71ED1E65" wp14:textId="2E6982C1">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For Uni Play, outcomes should not be interpreted through activity minutes alone, because improvements may </w:t>
      </w:r>
      <w:r w:rsidRPr="5723FB78" w:rsidR="49526DA6">
        <w:rPr>
          <w:rFonts w:ascii="Times New Roman" w:hAnsi="Times New Roman" w:eastAsia="Times New Roman" w:cs="Times New Roman"/>
          <w:noProof w:val="0"/>
          <w:color w:val="000000" w:themeColor="text1" w:themeTint="FF" w:themeShade="FF"/>
          <w:sz w:val="24"/>
          <w:szCs w:val="24"/>
          <w:lang w:val="en-US"/>
        </w:rPr>
        <w:t>plausibly occur</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via belonging and support even when activity change is modest, while </w:t>
      </w:r>
      <w:r w:rsidRPr="5723FB78" w:rsidR="49526DA6">
        <w:rPr>
          <w:rFonts w:ascii="Times New Roman" w:hAnsi="Times New Roman" w:eastAsia="Times New Roman" w:cs="Times New Roman"/>
          <w:noProof w:val="0"/>
          <w:color w:val="000000" w:themeColor="text1" w:themeTint="FF" w:themeShade="FF"/>
          <w:sz w:val="24"/>
          <w:szCs w:val="24"/>
          <w:lang w:val="en-US"/>
        </w:rPr>
        <w:t>recognising</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that such gains depend on deliberate design for repeated contact and inclusive norms (Steffens et al., 2021; Haslam et al., 2018). </w:t>
      </w:r>
      <w:r w:rsidRPr="5723FB78" w:rsidR="49526DA6">
        <w:rPr>
          <w:rFonts w:ascii="Times New Roman" w:hAnsi="Times New Roman" w:eastAsia="Times New Roman" w:cs="Times New Roman"/>
          <w:noProof w:val="0"/>
          <w:color w:val="000000" w:themeColor="text1" w:themeTint="FF" w:themeShade="FF"/>
          <w:sz w:val="24"/>
          <w:szCs w:val="24"/>
          <w:lang w:val="en-US"/>
        </w:rPr>
        <w:t>Accordingly</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the review will extract mediator evidence </w:t>
      </w:r>
      <w:r w:rsidRPr="5723FB78" w:rsidR="49526DA6">
        <w:rPr>
          <w:rFonts w:ascii="Times New Roman" w:hAnsi="Times New Roman" w:eastAsia="Times New Roman" w:cs="Times New Roman"/>
          <w:noProof w:val="0"/>
          <w:color w:val="000000" w:themeColor="text1" w:themeTint="FF" w:themeShade="FF"/>
          <w:sz w:val="24"/>
          <w:szCs w:val="24"/>
          <w:lang w:val="en-US"/>
        </w:rPr>
        <w:t>where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reported and avoid reductionist explanations when interpreting Uni Play’s </w:t>
      </w:r>
      <w:r w:rsidRPr="5723FB78" w:rsidR="49526DA6">
        <w:rPr>
          <w:rFonts w:ascii="Times New Roman" w:hAnsi="Times New Roman" w:eastAsia="Times New Roman" w:cs="Times New Roman"/>
          <w:noProof w:val="0"/>
          <w:color w:val="000000" w:themeColor="text1" w:themeTint="FF" w:themeShade="FF"/>
          <w:sz w:val="24"/>
          <w:szCs w:val="24"/>
          <w:lang w:val="en-US"/>
        </w:rPr>
        <w:t>likely pathways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of impact (Hagger and Hamilton, 2021; Huang et al., 2024; Haslam et al., 2018).</w:t>
      </w:r>
    </w:p>
    <w:p xmlns:wp14="http://schemas.microsoft.com/office/word/2010/wordml" w:rsidP="5723FB78" wp14:paraId="0ADC75AB" wp14:textId="58BB4D11">
      <w:pPr>
        <w:spacing w:line="480" w:lineRule="auto"/>
        <w:rPr>
          <w:rFonts w:ascii="Times New Roman" w:hAnsi="Times New Roman" w:eastAsia="Times New Roman" w:cs="Times New Roman"/>
          <w:noProof w:val="0"/>
          <w:sz w:val="24"/>
          <w:szCs w:val="24"/>
          <w:lang w:val="en-GB"/>
        </w:rPr>
      </w:pPr>
    </w:p>
    <w:p xmlns:wp14="http://schemas.microsoft.com/office/word/2010/wordml" w:rsidP="5723FB78" wp14:paraId="17A1CD54" wp14:textId="4F4EFF05">
      <w:pPr>
        <w:spacing w:line="480" w:lineRule="auto"/>
        <w:rPr>
          <w:rFonts w:ascii="Times New Roman" w:hAnsi="Times New Roman" w:eastAsia="Times New Roman" w:cs="Times New Roman"/>
          <w:noProof w:val="0"/>
          <w:sz w:val="24"/>
          <w:szCs w:val="24"/>
          <w:lang w:val="en-GB"/>
        </w:rPr>
      </w:pPr>
      <w:r w:rsidRPr="5723FB78" w:rsidR="49526DA6">
        <w:rPr>
          <w:rFonts w:ascii="Times New Roman" w:hAnsi="Times New Roman" w:eastAsia="Times New Roman" w:cs="Times New Roman"/>
          <w:b w:val="1"/>
          <w:bCs w:val="1"/>
          <w:noProof w:val="0"/>
          <w:sz w:val="24"/>
          <w:szCs w:val="24"/>
          <w:lang w:val="en-US"/>
        </w:rPr>
        <w:t>Theme 7 Implementation, evaluation and scale up in higher education</w:t>
      </w:r>
    </w:p>
    <w:p xmlns:wp14="http://schemas.microsoft.com/office/word/2010/wordml" w:rsidP="5723FB78" wp14:paraId="1DFB9BE8" wp14:textId="3AA78EA1">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Across complex intervention research, effectiveness depends on context, </w:t>
      </w:r>
      <w:r w:rsidRPr="5723FB78" w:rsidR="49526DA6">
        <w:rPr>
          <w:rFonts w:ascii="Times New Roman" w:hAnsi="Times New Roman" w:eastAsia="Times New Roman" w:cs="Times New Roman"/>
          <w:noProof w:val="0"/>
          <w:color w:val="000000" w:themeColor="text1" w:themeTint="FF" w:themeShade="FF"/>
          <w:sz w:val="24"/>
          <w:szCs w:val="24"/>
          <w:lang w:val="en-US"/>
        </w:rPr>
        <w:t>implementation</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adaptation, meaning interventions that succeed in controlled studies may fail at scale if fidelity, </w:t>
      </w:r>
      <w:r w:rsidRPr="5723FB78" w:rsidR="49526DA6">
        <w:rPr>
          <w:rFonts w:ascii="Times New Roman" w:hAnsi="Times New Roman" w:eastAsia="Times New Roman" w:cs="Times New Roman"/>
          <w:noProof w:val="0"/>
          <w:color w:val="000000" w:themeColor="text1" w:themeTint="FF" w:themeShade="FF"/>
          <w:sz w:val="24"/>
          <w:szCs w:val="24"/>
          <w:lang w:val="en-US"/>
        </w:rPr>
        <w:t>reach</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delivery conditions are not </w:t>
      </w:r>
      <w:r w:rsidRPr="5723FB78" w:rsidR="49526DA6">
        <w:rPr>
          <w:rFonts w:ascii="Times New Roman" w:hAnsi="Times New Roman" w:eastAsia="Times New Roman" w:cs="Times New Roman"/>
          <w:noProof w:val="0"/>
          <w:color w:val="000000" w:themeColor="text1" w:themeTint="FF" w:themeShade="FF"/>
          <w:sz w:val="24"/>
          <w:szCs w:val="24"/>
          <w:lang w:val="en-US"/>
        </w:rPr>
        <w:t>maintained</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(Skivington et al., 2021; de Magalhães Jorge et al., 2025). In higher education, variation in student demographics, commuting patterns, sport culture and support provision creates plausible site-to-site differences in reach and outcomes, strengthening the case for implementation-focused evaluation (Skivington et al., 2021; </w:t>
      </w:r>
      <w:r w:rsidRPr="5723FB78" w:rsidR="49526DA6">
        <w:rPr>
          <w:rFonts w:ascii="Times New Roman" w:hAnsi="Times New Roman" w:eastAsia="Times New Roman" w:cs="Times New Roman"/>
          <w:noProof w:val="0"/>
          <w:color w:val="000000" w:themeColor="text1" w:themeTint="FF" w:themeShade="FF"/>
          <w:sz w:val="24"/>
          <w:szCs w:val="24"/>
          <w:lang w:val="en-US"/>
        </w:rPr>
        <w:t>Malagodi</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et al., 2024). This theme sets out how evidence will be judged for credibility and usability and translated into minimum delivery conditions for Uni Play.</w:t>
      </w:r>
    </w:p>
    <w:p xmlns:wp14="http://schemas.microsoft.com/office/word/2010/wordml" w:rsidP="5723FB78" wp14:paraId="44741973" wp14:textId="2E7297C9">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Complex intervention guidance highlights context as a determinant of whether mechanisms activate, yet many studies still treat context as noise, undermining confidence in scale-up claims (Skivington et al., 2021; de Magalhães Jorge et al., 2025). Pooled benefits can be driven by weak control conditions, short follow-up and selective reporting, and positive findings may persist even when adherence is low or fidelity is poorly documented, raising the risk that effects reflect short-term enthusiasm rather than durable change (Huang et al., 2024; Liu et al., 2025). </w:t>
      </w:r>
      <w:r w:rsidRPr="5723FB78" w:rsidR="49526DA6">
        <w:rPr>
          <w:rFonts w:ascii="Times New Roman" w:hAnsi="Times New Roman" w:eastAsia="Times New Roman" w:cs="Times New Roman"/>
          <w:noProof w:val="0"/>
          <w:color w:val="000000" w:themeColor="text1" w:themeTint="FF" w:themeShade="FF"/>
          <w:sz w:val="24"/>
          <w:szCs w:val="24"/>
          <w:lang w:val="en-US"/>
        </w:rPr>
        <w:t>RoB</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2 reduces over-interpretation, but appraisal should also attend to implementation integrity and equity, since an internally valid intervention may still be unscalable or inequitable in reach (Sterne et al., 2019; Skivington et al., 2021). PRISMA improves reproducibility but cannot </w:t>
      </w:r>
      <w:r w:rsidRPr="5723FB78" w:rsidR="49526DA6">
        <w:rPr>
          <w:rFonts w:ascii="Times New Roman" w:hAnsi="Times New Roman" w:eastAsia="Times New Roman" w:cs="Times New Roman"/>
          <w:noProof w:val="0"/>
          <w:color w:val="000000" w:themeColor="text1" w:themeTint="FF" w:themeShade="FF"/>
          <w:sz w:val="24"/>
          <w:szCs w:val="24"/>
          <w:lang w:val="en-US"/>
        </w:rPr>
        <w:t>eliminate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publication bias or feasibility-study self-selection that may inflate acceptability (Page et al., 2021; Eaton et al., 2024).</w:t>
      </w:r>
    </w:p>
    <w:p xmlns:wp14="http://schemas.microsoft.com/office/word/2010/wordml" w:rsidP="5723FB78" wp14:paraId="7E9C1A67" wp14:textId="6A9716B5">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For Uni Play, evaluation should include reach, </w:t>
      </w:r>
      <w:r w:rsidRPr="5723FB78" w:rsidR="49526DA6">
        <w:rPr>
          <w:rFonts w:ascii="Times New Roman" w:hAnsi="Times New Roman" w:eastAsia="Times New Roman" w:cs="Times New Roman"/>
          <w:noProof w:val="0"/>
          <w:color w:val="000000" w:themeColor="text1" w:themeTint="FF" w:themeShade="FF"/>
          <w:sz w:val="24"/>
          <w:szCs w:val="24"/>
          <w:lang w:val="en-US"/>
        </w:rPr>
        <w:t>adoption</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maintenance alongside wellbeing outcomes, because average effects may mask </w:t>
      </w:r>
      <w:r w:rsidRPr="5723FB78" w:rsidR="49526DA6">
        <w:rPr>
          <w:rFonts w:ascii="Times New Roman" w:hAnsi="Times New Roman" w:eastAsia="Times New Roman" w:cs="Times New Roman"/>
          <w:noProof w:val="0"/>
          <w:color w:val="000000" w:themeColor="text1" w:themeTint="FF" w:themeShade="FF"/>
          <w:sz w:val="24"/>
          <w:szCs w:val="24"/>
          <w:lang w:val="en-US"/>
        </w:rPr>
        <w:t>polarisation</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where already-active students benefit while </w:t>
      </w:r>
      <w:r w:rsidRPr="5723FB78" w:rsidR="49526DA6">
        <w:rPr>
          <w:rFonts w:ascii="Times New Roman" w:hAnsi="Times New Roman" w:eastAsia="Times New Roman" w:cs="Times New Roman"/>
          <w:noProof w:val="0"/>
          <w:color w:val="000000" w:themeColor="text1" w:themeTint="FF" w:themeShade="FF"/>
          <w:sz w:val="24"/>
          <w:szCs w:val="24"/>
          <w:lang w:val="en-US"/>
        </w:rPr>
        <w:t>marginalised</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students disengage (Skivington et al., 2021; Eaton et al., 2024). The appraisal will be translated into a Uni Play logic model combining PRISMA-guided selection with design-appropriate quality assessment, including </w:t>
      </w:r>
      <w:r w:rsidRPr="5723FB78" w:rsidR="49526DA6">
        <w:rPr>
          <w:rFonts w:ascii="Times New Roman" w:hAnsi="Times New Roman" w:eastAsia="Times New Roman" w:cs="Times New Roman"/>
          <w:noProof w:val="0"/>
          <w:color w:val="000000" w:themeColor="text1" w:themeTint="FF" w:themeShade="FF"/>
          <w:sz w:val="24"/>
          <w:szCs w:val="24"/>
          <w:lang w:val="en-US"/>
        </w:rPr>
        <w:t>RoB</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2 for trials, to specify minimum delivery conditions under which Uni Play could credibly work across diverse university contexts (Page et al., 2021; Sterne et al., 2019; Skivington et al., 2021; He et al., 2024).</w:t>
      </w:r>
    </w:p>
    <w:p xmlns:wp14="http://schemas.microsoft.com/office/word/2010/wordml" w:rsidP="5723FB78" wp14:paraId="169E8528" wp14:textId="1CAE597E">
      <w:pPr>
        <w:spacing w:before="240" w:beforeAutospacing="off" w:after="240" w:afterAutospacing="off" w:line="480" w:lineRule="auto"/>
        <w:rPr>
          <w:rFonts w:ascii="Times New Roman" w:hAnsi="Times New Roman" w:eastAsia="Times New Roman" w:cs="Times New Roman"/>
          <w:noProof w:val="0"/>
          <w:sz w:val="24"/>
          <w:szCs w:val="24"/>
          <w:lang w:val="en-GB"/>
        </w:rPr>
      </w:pPr>
      <w:r w:rsidRPr="5723FB78" w:rsidR="49526DA6">
        <w:rPr>
          <w:rFonts w:ascii="Times New Roman" w:hAnsi="Times New Roman" w:eastAsia="Times New Roman" w:cs="Times New Roman"/>
          <w:b w:val="1"/>
          <w:bCs w:val="1"/>
          <w:noProof w:val="0"/>
          <w:sz w:val="24"/>
          <w:szCs w:val="24"/>
          <w:lang w:val="en-US"/>
        </w:rPr>
        <w:t xml:space="preserve">Integrated Synthesis Across </w:t>
      </w:r>
      <w:r w:rsidRPr="5723FB78" w:rsidR="49526DA6">
        <w:rPr>
          <w:rFonts w:ascii="Times New Roman" w:hAnsi="Times New Roman" w:eastAsia="Times New Roman" w:cs="Times New Roman"/>
          <w:b w:val="1"/>
          <w:bCs w:val="1"/>
          <w:noProof w:val="0"/>
          <w:sz w:val="24"/>
          <w:szCs w:val="24"/>
          <w:lang w:val="en-US"/>
        </w:rPr>
        <w:t>The</w:t>
      </w:r>
      <w:r w:rsidRPr="5723FB78" w:rsidR="49526DA6">
        <w:rPr>
          <w:rFonts w:ascii="Times New Roman" w:hAnsi="Times New Roman" w:eastAsia="Times New Roman" w:cs="Times New Roman"/>
          <w:b w:val="1"/>
          <w:bCs w:val="1"/>
          <w:noProof w:val="0"/>
          <w:sz w:val="24"/>
          <w:szCs w:val="24"/>
          <w:lang w:val="en-US"/>
        </w:rPr>
        <w:t xml:space="preserve"> Seven Themes</w:t>
      </w:r>
    </w:p>
    <w:p xmlns:wp14="http://schemas.microsoft.com/office/word/2010/wordml" w:rsidP="5723FB78" wp14:paraId="2379E316" wp14:textId="2BE6DD3F">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Across themes, the literature supports the need for interventions targeting student distress and loneliness, but the strength of the case is moderated by substantial measurement variability, heavy reliance on cross-sectional designs and potential selection bias in student samples, which limits causal confidence and makes careful outcome selection central to meeting Objective 2 (Paiva et al., 2025; Dias </w:t>
      </w:r>
      <w:r w:rsidRPr="5723FB78" w:rsidR="49526DA6">
        <w:rPr>
          <w:rFonts w:ascii="Times New Roman" w:hAnsi="Times New Roman" w:eastAsia="Times New Roman" w:cs="Times New Roman"/>
          <w:noProof w:val="0"/>
          <w:color w:val="000000" w:themeColor="text1" w:themeTint="FF" w:themeShade="FF"/>
          <w:sz w:val="24"/>
          <w:szCs w:val="24"/>
          <w:lang w:val="en-US"/>
        </w:rPr>
        <w:t>Broens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et al., 2024). Physical activity interventions appear promising, yet heterogeneity, limited fidelity reporting and weak mediator testing mean Uni Play should avoid deterministic claims and instead specify what mechanisms it intends to activate and what minimum delivery conditions are </w:t>
      </w:r>
      <w:r w:rsidRPr="5723FB78" w:rsidR="49526DA6">
        <w:rPr>
          <w:rFonts w:ascii="Times New Roman" w:hAnsi="Times New Roman" w:eastAsia="Times New Roman" w:cs="Times New Roman"/>
          <w:noProof w:val="0"/>
          <w:color w:val="000000" w:themeColor="text1" w:themeTint="FF" w:themeShade="FF"/>
          <w:sz w:val="24"/>
          <w:szCs w:val="24"/>
          <w:lang w:val="en-US"/>
        </w:rPr>
        <w:t>required</w:t>
      </w:r>
      <w:r w:rsidRPr="5723FB78" w:rsidR="49526DA6">
        <w:rPr>
          <w:rFonts w:ascii="Times New Roman" w:hAnsi="Times New Roman" w:eastAsia="Times New Roman" w:cs="Times New Roman"/>
          <w:noProof w:val="0"/>
          <w:color w:val="000000" w:themeColor="text1" w:themeTint="FF" w:themeShade="FF"/>
          <w:sz w:val="24"/>
          <w:szCs w:val="24"/>
          <w:lang w:val="en-US"/>
        </w:rPr>
        <w:t>, consistent with Objective 3 (Huang et al., 2024; Liu et al., 2025).</w:t>
      </w:r>
    </w:p>
    <w:p xmlns:wp14="http://schemas.microsoft.com/office/word/2010/wordml" w:rsidP="5723FB78" wp14:paraId="7092D1C2" wp14:textId="0F4AA96E">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Social connectedness is a plausible mechanism and outcome, but sport can reproduce exclusion, implying that Uni Play’s value hinges on whether its design reduces social threat and supports psychologically safe belonging rather than simply increasing opportunities for contact (Jackman et al., 2024; Steffens et al., 2021). Digital intervention evidence further suggests that app use is a poor proxy for </w:t>
      </w:r>
      <w:r w:rsidRPr="5723FB78" w:rsidR="49526DA6">
        <w:rPr>
          <w:rFonts w:ascii="Times New Roman" w:hAnsi="Times New Roman" w:eastAsia="Times New Roman" w:cs="Times New Roman"/>
          <w:noProof w:val="0"/>
          <w:color w:val="000000" w:themeColor="text1" w:themeTint="FF" w:themeShade="FF"/>
          <w:sz w:val="24"/>
          <w:szCs w:val="24"/>
          <w:lang w:val="en-US"/>
        </w:rPr>
        <w:t>behavioural</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change, so evaluation must </w:t>
      </w:r>
      <w:r w:rsidRPr="5723FB78" w:rsidR="49526DA6">
        <w:rPr>
          <w:rFonts w:ascii="Times New Roman" w:hAnsi="Times New Roman" w:eastAsia="Times New Roman" w:cs="Times New Roman"/>
          <w:noProof w:val="0"/>
          <w:color w:val="000000" w:themeColor="text1" w:themeTint="FF" w:themeShade="FF"/>
          <w:sz w:val="24"/>
          <w:szCs w:val="24"/>
          <w:lang w:val="en-US"/>
        </w:rPr>
        <w:t>prioritiseoffline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participation, </w:t>
      </w:r>
      <w:r w:rsidRPr="5723FB78" w:rsidR="49526DA6">
        <w:rPr>
          <w:rFonts w:ascii="Times New Roman" w:hAnsi="Times New Roman" w:eastAsia="Times New Roman" w:cs="Times New Roman"/>
          <w:noProof w:val="0"/>
          <w:color w:val="000000" w:themeColor="text1" w:themeTint="FF" w:themeShade="FF"/>
          <w:sz w:val="24"/>
          <w:szCs w:val="24"/>
          <w:lang w:val="en-US"/>
        </w:rPr>
        <w:t>maintenance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equity of reach, while using qualitative feedback to explain disengagement rather than treating it as user failure (Milne Ives et al., 2025; Yardley et al., 2016). Overall, the evidence positions Uni Play as plausible but conditional, with credibility dependent on rigorous synthesis methods, explicit measurement choices, robust bias appraisal and a logic model that articulates mechanisms and minimum conditions, rather than assuming that an app for sport will translate into sustained wellbeing gains (Skivington et al., 2021; Page et al., 2021; Sterne et al., 2019; He et al., 2024).</w:t>
      </w:r>
    </w:p>
    <w:p xmlns:wp14="http://schemas.microsoft.com/office/word/2010/wordml" w:rsidP="5723FB78" wp14:paraId="5C5BC7E5" wp14:textId="775C7666">
      <w:pPr>
        <w:spacing w:line="480" w:lineRule="auto"/>
        <w:rPr>
          <w:rFonts w:ascii="Times New Roman" w:hAnsi="Times New Roman" w:eastAsia="Times New Roman" w:cs="Times New Roman"/>
          <w:noProof w:val="0"/>
          <w:sz w:val="24"/>
          <w:szCs w:val="24"/>
          <w:lang w:val="en-GB"/>
        </w:rPr>
      </w:pPr>
    </w:p>
    <w:p xmlns:wp14="http://schemas.microsoft.com/office/word/2010/wordml" w:rsidP="5723FB78" wp14:paraId="60016C60" wp14:textId="6714D9FC">
      <w:pPr>
        <w:pStyle w:val="Normal"/>
        <w:spacing w:line="480" w:lineRule="auto"/>
        <w:rPr>
          <w:rFonts w:ascii="Times New Roman" w:hAnsi="Times New Roman" w:eastAsia="Times New Roman" w:cs="Times New Roman"/>
          <w:noProof w:val="0"/>
          <w:sz w:val="24"/>
          <w:szCs w:val="24"/>
          <w:lang w:val="en-GB"/>
        </w:rPr>
      </w:pPr>
      <w:r w:rsidRPr="5723FB78" w:rsidR="49526DA6">
        <w:rPr>
          <w:rFonts w:ascii="Times New Roman" w:hAnsi="Times New Roman" w:eastAsia="Times New Roman" w:cs="Times New Roman"/>
          <w:b w:val="1"/>
          <w:bCs w:val="1"/>
          <w:noProof w:val="0"/>
          <w:sz w:val="24"/>
          <w:szCs w:val="24"/>
          <w:lang w:val="en-US"/>
        </w:rPr>
        <w:t xml:space="preserve">Conclusion and Gaps </w:t>
      </w:r>
      <w:r w:rsidRPr="5723FB78" w:rsidR="49526DA6">
        <w:rPr>
          <w:rFonts w:ascii="Times New Roman" w:hAnsi="Times New Roman" w:eastAsia="Times New Roman" w:cs="Times New Roman"/>
          <w:b w:val="1"/>
          <w:bCs w:val="1"/>
          <w:noProof w:val="0"/>
          <w:sz w:val="24"/>
          <w:szCs w:val="24"/>
          <w:lang w:val="en-US"/>
        </w:rPr>
        <w:t>In</w:t>
      </w:r>
      <w:r w:rsidRPr="5723FB78" w:rsidR="49526DA6">
        <w:rPr>
          <w:rFonts w:ascii="Times New Roman" w:hAnsi="Times New Roman" w:eastAsia="Times New Roman" w:cs="Times New Roman"/>
          <w:b w:val="1"/>
          <w:bCs w:val="1"/>
          <w:noProof w:val="0"/>
          <w:sz w:val="24"/>
          <w:szCs w:val="24"/>
          <w:lang w:val="en-US"/>
        </w:rPr>
        <w:t xml:space="preserve"> </w:t>
      </w:r>
      <w:r w:rsidRPr="5723FB78" w:rsidR="49526DA6">
        <w:rPr>
          <w:rFonts w:ascii="Times New Roman" w:hAnsi="Times New Roman" w:eastAsia="Times New Roman" w:cs="Times New Roman"/>
          <w:b w:val="1"/>
          <w:bCs w:val="1"/>
          <w:noProof w:val="0"/>
          <w:sz w:val="24"/>
          <w:szCs w:val="24"/>
          <w:lang w:val="en-US"/>
        </w:rPr>
        <w:t>The</w:t>
      </w:r>
      <w:r w:rsidRPr="5723FB78" w:rsidR="49526DA6">
        <w:rPr>
          <w:rFonts w:ascii="Times New Roman" w:hAnsi="Times New Roman" w:eastAsia="Times New Roman" w:cs="Times New Roman"/>
          <w:b w:val="1"/>
          <w:bCs w:val="1"/>
          <w:noProof w:val="0"/>
          <w:sz w:val="24"/>
          <w:szCs w:val="24"/>
          <w:lang w:val="en-US"/>
        </w:rPr>
        <w:t xml:space="preserve"> Market</w:t>
      </w:r>
    </w:p>
    <w:p xmlns:wp14="http://schemas.microsoft.com/office/word/2010/wordml" w:rsidP="5723FB78" wp14:paraId="7ED47E07" wp14:textId="16B0F2FD">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Overall, the literature supports the plausibility of low-pressure, socially mediated physical activity for improving student wellbeing, but it does not yet provide consistent, transferable evidence about what works, for whom</w:t>
      </w:r>
      <w:r w:rsidRPr="5723FB78" w:rsidR="07D9F12C">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and under what conditions. Effects are heterogeneous, outcome measures are inconsistent, and implementation and engagement are often under-specified, which means Uni Play should be positioned as a conditionally credible intervention concept that requires careful </w:t>
      </w:r>
      <w:r w:rsidRPr="5723FB78" w:rsidR="49526DA6">
        <w:rPr>
          <w:rFonts w:ascii="Times New Roman" w:hAnsi="Times New Roman" w:eastAsia="Times New Roman" w:cs="Times New Roman"/>
          <w:noProof w:val="0"/>
          <w:color w:val="000000" w:themeColor="text1" w:themeTint="FF" w:themeShade="FF"/>
          <w:sz w:val="24"/>
          <w:szCs w:val="24"/>
          <w:lang w:val="en-US"/>
        </w:rPr>
        <w:t>operationalisation</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evaluation rather than assumed effectiveness.</w:t>
      </w:r>
    </w:p>
    <w:p xmlns:wp14="http://schemas.microsoft.com/office/word/2010/wordml" w:rsidP="5723FB78" wp14:paraId="18BDC800" wp14:textId="1E87251A">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Uni Play can fit directly into the key gaps by functioning as a testable </w:t>
      </w:r>
      <w:r w:rsidRPr="5723FB78" w:rsidR="49526DA6">
        <w:rPr>
          <w:rFonts w:ascii="Times New Roman" w:hAnsi="Times New Roman" w:eastAsia="Times New Roman" w:cs="Times New Roman"/>
          <w:noProof w:val="0"/>
          <w:color w:val="000000" w:themeColor="text1" w:themeTint="FF" w:themeShade="FF"/>
          <w:sz w:val="24"/>
          <w:szCs w:val="24"/>
          <w:lang w:val="en-US"/>
        </w:rPr>
        <w:t>programme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theory rather than a generic activity offer. First, it can address measurement inconsistency by adopting a defined outcome set spanning </w:t>
      </w:r>
      <w:r w:rsidRPr="5723FB78" w:rsidR="49526DA6">
        <w:rPr>
          <w:rFonts w:ascii="Times New Roman" w:hAnsi="Times New Roman" w:eastAsia="Times New Roman" w:cs="Times New Roman"/>
          <w:noProof w:val="0"/>
          <w:color w:val="000000" w:themeColor="text1" w:themeTint="FF" w:themeShade="FF"/>
          <w:sz w:val="24"/>
          <w:szCs w:val="24"/>
          <w:lang w:val="en-US"/>
        </w:rPr>
        <w:t>behavioural</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exposure and wellbeing, including attendance and repeat attendance, </w:t>
      </w:r>
      <w:r w:rsidRPr="5723FB78" w:rsidR="49526DA6">
        <w:rPr>
          <w:rFonts w:ascii="Times New Roman" w:hAnsi="Times New Roman" w:eastAsia="Times New Roman" w:cs="Times New Roman"/>
          <w:noProof w:val="0"/>
          <w:color w:val="000000" w:themeColor="text1" w:themeTint="FF" w:themeShade="FF"/>
          <w:sz w:val="24"/>
          <w:szCs w:val="24"/>
          <w:lang w:val="en-US"/>
        </w:rPr>
        <w:t>validated</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mental health indicators, and conceptually distinct social measures that separate contact from belonging and support. Second, it can strengthen mechanistic evidence by embedding explicit </w:t>
      </w:r>
      <w:r w:rsidRPr="5723FB78" w:rsidR="49526DA6">
        <w:rPr>
          <w:rFonts w:ascii="Times New Roman" w:hAnsi="Times New Roman" w:eastAsia="Times New Roman" w:cs="Times New Roman"/>
          <w:noProof w:val="0"/>
          <w:color w:val="000000" w:themeColor="text1" w:themeTint="FF" w:themeShade="FF"/>
          <w:sz w:val="24"/>
          <w:szCs w:val="24"/>
          <w:lang w:val="en-US"/>
        </w:rPr>
        <w:t>hypothesised</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pathways into the evaluation, for example whether improvements are mediated by relatedness, perceived social support or group identification rather than assuming these processes occur. Third, it can respond to the under-examined inclusion problem by treating psychological safety as a design requirement, </w:t>
      </w:r>
      <w:r w:rsidRPr="5723FB78" w:rsidR="49526DA6">
        <w:rPr>
          <w:rFonts w:ascii="Times New Roman" w:hAnsi="Times New Roman" w:eastAsia="Times New Roman" w:cs="Times New Roman"/>
          <w:noProof w:val="0"/>
          <w:color w:val="000000" w:themeColor="text1" w:themeTint="FF" w:themeShade="FF"/>
          <w:sz w:val="24"/>
          <w:szCs w:val="24"/>
          <w:lang w:val="en-US"/>
        </w:rPr>
        <w:t>operationalised</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through ability-sensitive matching, clear norms, and monitoring of differential engagement and dropout across confidence and demographic groups. Fourth, it can improve digital engagement validity by defining engagement as a staged pathway from onboarding to offline participation and maintenance, enabling identification of where attrition occurs and why, rather than relying on downloads or logins as proxies for impact. In doing so, Uni Play becomes a practical vehicle for addressing current limitations in the literature while generating implementation-relevant evidence on the minimum conditions </w:t>
      </w:r>
      <w:r w:rsidRPr="5723FB78" w:rsidR="49526DA6">
        <w:rPr>
          <w:rFonts w:ascii="Times New Roman" w:hAnsi="Times New Roman" w:eastAsia="Times New Roman" w:cs="Times New Roman"/>
          <w:noProof w:val="0"/>
          <w:color w:val="000000" w:themeColor="text1" w:themeTint="FF" w:themeShade="FF"/>
          <w:sz w:val="24"/>
          <w:szCs w:val="24"/>
          <w:lang w:val="en-US"/>
        </w:rPr>
        <w:t>required</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for scalable, </w:t>
      </w:r>
      <w:r w:rsidRPr="5723FB78" w:rsidR="49526DA6">
        <w:rPr>
          <w:rFonts w:ascii="Times New Roman" w:hAnsi="Times New Roman" w:eastAsia="Times New Roman" w:cs="Times New Roman"/>
          <w:noProof w:val="0"/>
          <w:color w:val="000000" w:themeColor="text1" w:themeTint="FF" w:themeShade="FF"/>
          <w:sz w:val="24"/>
          <w:szCs w:val="24"/>
          <w:lang w:val="en-US"/>
        </w:rPr>
        <w:t>equitable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impact in university settings.</w:t>
      </w:r>
    </w:p>
    <w:p xmlns:wp14="http://schemas.microsoft.com/office/word/2010/wordml" w:rsidP="5723FB78" wp14:paraId="0ADAEE4C" wp14:textId="6AC6DC66">
      <w:pPr>
        <w:spacing w:before="240" w:beforeAutospacing="off" w:after="240" w:afterAutospacing="off" w:line="480" w:lineRule="auto"/>
        <w:rPr>
          <w:rFonts w:ascii="Times New Roman" w:hAnsi="Times New Roman" w:eastAsia="Times New Roman" w:cs="Times New Roman"/>
          <w:b w:val="1"/>
          <w:bCs w:val="1"/>
          <w:noProof w:val="0"/>
          <w:color w:val="000000" w:themeColor="text1" w:themeTint="FF" w:themeShade="FF"/>
          <w:sz w:val="24"/>
          <w:szCs w:val="24"/>
          <w:lang w:val="en-US"/>
        </w:rPr>
      </w:pPr>
    </w:p>
    <w:p xmlns:wp14="http://schemas.microsoft.com/office/word/2010/wordml" w:rsidP="5723FB78" wp14:paraId="69585AA5" wp14:textId="02B94DBB">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Reference List</w:t>
      </w:r>
    </w:p>
    <w:p xmlns:wp14="http://schemas.microsoft.com/office/word/2010/wordml" w:rsidP="5723FB78" wp14:paraId="6D7B2B64" wp14:textId="48FEF6CC">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Ahn, S., Kim, J., Park, S. and Lee, J., 2024.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The effects of physical activity interventions on loneliness and social isolation: A systematic review and meta-analysis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Journal of Affective Disorders</w:t>
      </w:r>
      <w:r w:rsidRPr="5723FB78" w:rsidR="49526DA6">
        <w:rPr>
          <w:rFonts w:ascii="Times New Roman" w:hAnsi="Times New Roman" w:eastAsia="Times New Roman" w:cs="Times New Roman"/>
          <w:noProof w:val="0"/>
          <w:color w:val="000000" w:themeColor="text1" w:themeTint="FF" w:themeShade="FF"/>
          <w:sz w:val="24"/>
          <w:szCs w:val="24"/>
          <w:lang w:val="en-US"/>
        </w:rPr>
        <w:t>, 357, pp</w:t>
      </w:r>
      <w:r w:rsidRPr="5723FB78" w:rsidR="49526DA6">
        <w:rPr>
          <w:rFonts w:ascii="Times New Roman" w:hAnsi="Times New Roman" w:eastAsia="Times New Roman" w:cs="Times New Roman"/>
          <w:noProof w:val="0"/>
          <w:color w:val="000000" w:themeColor="text1" w:themeTint="FF" w:themeShade="FF"/>
          <w:sz w:val="24"/>
          <w:szCs w:val="24"/>
          <w:lang w:val="en-US"/>
        </w:rPr>
        <w:t>.112</w:t>
      </w:r>
      <w:r w:rsidRPr="5723FB78" w:rsidR="49526DA6">
        <w:rPr>
          <w:rFonts w:ascii="Times New Roman" w:hAnsi="Times New Roman" w:eastAsia="Times New Roman" w:cs="Times New Roman"/>
          <w:noProof w:val="0"/>
          <w:color w:val="000000" w:themeColor="text1" w:themeTint="FF" w:themeShade="FF"/>
          <w:sz w:val="24"/>
          <w:szCs w:val="24"/>
          <w:lang w:val="en-US"/>
        </w:rPr>
        <w:t>–125.</w:t>
      </w:r>
    </w:p>
    <w:p xmlns:wp14="http://schemas.microsoft.com/office/word/2010/wordml" w:rsidP="5723FB78" wp14:paraId="21402952" wp14:textId="336C2B43">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Akram, U., Allen, S.F., Dempsey, S. and </w:t>
      </w:r>
      <w:r w:rsidRPr="5723FB78" w:rsidR="49526DA6">
        <w:rPr>
          <w:rFonts w:ascii="Times New Roman" w:hAnsi="Times New Roman" w:eastAsia="Times New Roman" w:cs="Times New Roman"/>
          <w:noProof w:val="0"/>
          <w:color w:val="000000" w:themeColor="text1" w:themeTint="FF" w:themeShade="FF"/>
          <w:sz w:val="24"/>
          <w:szCs w:val="24"/>
          <w:lang w:val="en-US"/>
        </w:rPr>
        <w:t>Gardani</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M., 2025.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Loneliness,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sleep</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 and mental health in UK university students: A longitudinal perspective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Journal of Mental Health</w:t>
      </w:r>
      <w:r w:rsidRPr="5723FB78" w:rsidR="49526DA6">
        <w:rPr>
          <w:rFonts w:ascii="Times New Roman" w:hAnsi="Times New Roman" w:eastAsia="Times New Roman" w:cs="Times New Roman"/>
          <w:noProof w:val="0"/>
          <w:color w:val="000000" w:themeColor="text1" w:themeTint="FF" w:themeShade="FF"/>
          <w:sz w:val="24"/>
          <w:szCs w:val="24"/>
          <w:lang w:val="en-US"/>
        </w:rPr>
        <w:t>, 34(1), pp</w:t>
      </w:r>
      <w:r w:rsidRPr="5723FB78" w:rsidR="49526DA6">
        <w:rPr>
          <w:rFonts w:ascii="Times New Roman" w:hAnsi="Times New Roman" w:eastAsia="Times New Roman" w:cs="Times New Roman"/>
          <w:noProof w:val="0"/>
          <w:color w:val="000000" w:themeColor="text1" w:themeTint="FF" w:themeShade="FF"/>
          <w:sz w:val="24"/>
          <w:szCs w:val="24"/>
          <w:lang w:val="en-US"/>
        </w:rPr>
        <w:t>.22</w:t>
      </w:r>
      <w:r w:rsidRPr="5723FB78" w:rsidR="49526DA6">
        <w:rPr>
          <w:rFonts w:ascii="Times New Roman" w:hAnsi="Times New Roman" w:eastAsia="Times New Roman" w:cs="Times New Roman"/>
          <w:noProof w:val="0"/>
          <w:color w:val="000000" w:themeColor="text1" w:themeTint="FF" w:themeShade="FF"/>
          <w:sz w:val="24"/>
          <w:szCs w:val="24"/>
          <w:lang w:val="en-US"/>
        </w:rPr>
        <w:t>–36.</w:t>
      </w:r>
    </w:p>
    <w:p xmlns:wp14="http://schemas.microsoft.com/office/word/2010/wordml" w:rsidP="5723FB78" wp14:paraId="0D2E915E" wp14:textId="0DEA7D1A">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Bushman, B.A., 2024.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Fitness Professional’s Handbook</w:t>
      </w:r>
      <w:r w:rsidRPr="5723FB78" w:rsidR="49526DA6">
        <w:rPr>
          <w:rFonts w:ascii="Times New Roman" w:hAnsi="Times New Roman" w:eastAsia="Times New Roman" w:cs="Times New Roman"/>
          <w:noProof w:val="0"/>
          <w:color w:val="000000" w:themeColor="text1" w:themeTint="FF" w:themeShade="FF"/>
          <w:sz w:val="24"/>
          <w:szCs w:val="24"/>
          <w:lang w:val="en-US"/>
        </w:rPr>
        <w:t>. 8th ed. Champaign, IL: Human Kinetics.</w:t>
      </w:r>
    </w:p>
    <w:p xmlns:wp14="http://schemas.microsoft.com/office/word/2010/wordml" w:rsidP="5723FB78" wp14:paraId="04540780" wp14:textId="066CBBFD">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Cerin, E., Leslie, E., Sugiyama, T. and Owen, N., 2023.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Self-determination theory and physical activity participation: A review of the evidence and future directions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Psychology of Sport and Exercise</w:t>
      </w:r>
      <w:r w:rsidRPr="5723FB78" w:rsidR="49526DA6">
        <w:rPr>
          <w:rFonts w:ascii="Times New Roman" w:hAnsi="Times New Roman" w:eastAsia="Times New Roman" w:cs="Times New Roman"/>
          <w:noProof w:val="0"/>
          <w:color w:val="000000" w:themeColor="text1" w:themeTint="FF" w:themeShade="FF"/>
          <w:sz w:val="24"/>
          <w:szCs w:val="24"/>
          <w:lang w:val="en-US"/>
        </w:rPr>
        <w:t>, 67, p.102123.</w:t>
      </w:r>
    </w:p>
    <w:p xmlns:wp14="http://schemas.microsoft.com/office/word/2010/wordml" w:rsidP="5723FB78" wp14:paraId="4E92C04B" wp14:textId="61DBC6AF">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de Magalhães Jorge, F., Skivington, K. and Matthews, L., 2025.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Scaling complex health interventions in higher education: Context and adaptation challenges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Implementation Science Communications</w:t>
      </w:r>
      <w:r w:rsidRPr="5723FB78" w:rsidR="49526DA6">
        <w:rPr>
          <w:rFonts w:ascii="Times New Roman" w:hAnsi="Times New Roman" w:eastAsia="Times New Roman" w:cs="Times New Roman"/>
          <w:noProof w:val="0"/>
          <w:color w:val="000000" w:themeColor="text1" w:themeTint="FF" w:themeShade="FF"/>
          <w:sz w:val="24"/>
          <w:szCs w:val="24"/>
          <w:lang w:val="en-US"/>
        </w:rPr>
        <w:t>, 6(2), pp.1–12.</w:t>
      </w:r>
    </w:p>
    <w:p xmlns:wp14="http://schemas.microsoft.com/office/word/2010/wordml" w:rsidP="5723FB78" wp14:paraId="751324BA" wp14:textId="0D9EBE40">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Dias </w:t>
      </w:r>
      <w:r w:rsidRPr="5723FB78" w:rsidR="49526DA6">
        <w:rPr>
          <w:rFonts w:ascii="Times New Roman" w:hAnsi="Times New Roman" w:eastAsia="Times New Roman" w:cs="Times New Roman"/>
          <w:noProof w:val="0"/>
          <w:color w:val="000000" w:themeColor="text1" w:themeTint="FF" w:themeShade="FF"/>
          <w:sz w:val="24"/>
          <w:szCs w:val="24"/>
          <w:lang w:val="en-US"/>
        </w:rPr>
        <w:t>Broens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T.H., </w:t>
      </w:r>
      <w:r w:rsidRPr="5723FB78" w:rsidR="49526DA6">
        <w:rPr>
          <w:rFonts w:ascii="Times New Roman" w:hAnsi="Times New Roman" w:eastAsia="Times New Roman" w:cs="Times New Roman"/>
          <w:noProof w:val="0"/>
          <w:color w:val="000000" w:themeColor="text1" w:themeTint="FF" w:themeShade="FF"/>
          <w:sz w:val="24"/>
          <w:szCs w:val="24"/>
          <w:lang w:val="en-US"/>
        </w:rPr>
        <w:t>Leemrijse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C.J., van Lenthe, F.J. and van der Pas, S., 2024.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Measuring belonging and loneliness in intervention research: Conceptual and methodological issues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Health &amp; Place</w:t>
      </w:r>
      <w:r w:rsidRPr="5723FB78" w:rsidR="49526DA6">
        <w:rPr>
          <w:rFonts w:ascii="Times New Roman" w:hAnsi="Times New Roman" w:eastAsia="Times New Roman" w:cs="Times New Roman"/>
          <w:noProof w:val="0"/>
          <w:color w:val="000000" w:themeColor="text1" w:themeTint="FF" w:themeShade="FF"/>
          <w:sz w:val="24"/>
          <w:szCs w:val="24"/>
          <w:lang w:val="en-US"/>
        </w:rPr>
        <w:t>, 86, p.103172.</w:t>
      </w:r>
    </w:p>
    <w:p xmlns:wp14="http://schemas.microsoft.com/office/word/2010/wordml" w:rsidP="5723FB78" wp14:paraId="59AE175E" wp14:textId="2A486D0A">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Donnelly, P., Zhang, Y. and Thomas, K., 2024.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Exercise and student wellbeing: A systematic review of university-based interventions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BMC Public Health</w:t>
      </w:r>
      <w:r w:rsidRPr="5723FB78" w:rsidR="49526DA6">
        <w:rPr>
          <w:rFonts w:ascii="Times New Roman" w:hAnsi="Times New Roman" w:eastAsia="Times New Roman" w:cs="Times New Roman"/>
          <w:noProof w:val="0"/>
          <w:color w:val="000000" w:themeColor="text1" w:themeTint="FF" w:themeShade="FF"/>
          <w:sz w:val="24"/>
          <w:szCs w:val="24"/>
          <w:lang w:val="en-US"/>
        </w:rPr>
        <w:t>, 24(11), pp</w:t>
      </w:r>
      <w:r w:rsidRPr="5723FB78" w:rsidR="49526DA6">
        <w:rPr>
          <w:rFonts w:ascii="Times New Roman" w:hAnsi="Times New Roman" w:eastAsia="Times New Roman" w:cs="Times New Roman"/>
          <w:noProof w:val="0"/>
          <w:color w:val="000000" w:themeColor="text1" w:themeTint="FF" w:themeShade="FF"/>
          <w:sz w:val="24"/>
          <w:szCs w:val="24"/>
          <w:lang w:val="en-US"/>
        </w:rPr>
        <w:t>.1</w:t>
      </w:r>
      <w:r w:rsidRPr="5723FB78" w:rsidR="49526DA6">
        <w:rPr>
          <w:rFonts w:ascii="Times New Roman" w:hAnsi="Times New Roman" w:eastAsia="Times New Roman" w:cs="Times New Roman"/>
          <w:noProof w:val="0"/>
          <w:color w:val="000000" w:themeColor="text1" w:themeTint="FF" w:themeShade="FF"/>
          <w:sz w:val="24"/>
          <w:szCs w:val="24"/>
          <w:lang w:val="en-US"/>
        </w:rPr>
        <w:t>–17.</w:t>
      </w:r>
    </w:p>
    <w:p xmlns:wp14="http://schemas.microsoft.com/office/word/2010/wordml" w:rsidP="5723FB78" wp14:paraId="07AAAB92" wp14:textId="2955CBAE">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Eaton, K., McLean, S., and Yardley, L., 2024.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Engagement in digital health interventions: A systematic review of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conceptualisation</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 and measurement</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Digital Health</w:t>
      </w:r>
      <w:r w:rsidRPr="5723FB78" w:rsidR="49526DA6">
        <w:rPr>
          <w:rFonts w:ascii="Times New Roman" w:hAnsi="Times New Roman" w:eastAsia="Times New Roman" w:cs="Times New Roman"/>
          <w:noProof w:val="0"/>
          <w:color w:val="000000" w:themeColor="text1" w:themeTint="FF" w:themeShade="FF"/>
          <w:sz w:val="24"/>
          <w:szCs w:val="24"/>
          <w:lang w:val="en-US"/>
        </w:rPr>
        <w:t>, 10, pp</w:t>
      </w:r>
      <w:r w:rsidRPr="5723FB78" w:rsidR="49526DA6">
        <w:rPr>
          <w:rFonts w:ascii="Times New Roman" w:hAnsi="Times New Roman" w:eastAsia="Times New Roman" w:cs="Times New Roman"/>
          <w:noProof w:val="0"/>
          <w:color w:val="000000" w:themeColor="text1" w:themeTint="FF" w:themeShade="FF"/>
          <w:sz w:val="24"/>
          <w:szCs w:val="24"/>
          <w:lang w:val="en-US"/>
        </w:rPr>
        <w:t>.1</w:t>
      </w:r>
      <w:r w:rsidRPr="5723FB78" w:rsidR="49526DA6">
        <w:rPr>
          <w:rFonts w:ascii="Times New Roman" w:hAnsi="Times New Roman" w:eastAsia="Times New Roman" w:cs="Times New Roman"/>
          <w:noProof w:val="0"/>
          <w:color w:val="000000" w:themeColor="text1" w:themeTint="FF" w:themeShade="FF"/>
          <w:sz w:val="24"/>
          <w:szCs w:val="24"/>
          <w:lang w:val="en-US"/>
        </w:rPr>
        <w:t>–16.</w:t>
      </w:r>
    </w:p>
    <w:p xmlns:wp14="http://schemas.microsoft.com/office/word/2010/wordml" w:rsidP="5723FB78" wp14:paraId="0AF5BA3B" wp14:textId="59DD221F">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Faro, C., Leow, K. and O’Connor, M., 2025.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Measurement and interpretation of mental health symptoms in student populations: A methodological review</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Higher Education Research &amp; Development</w:t>
      </w:r>
      <w:r w:rsidRPr="5723FB78" w:rsidR="49526DA6">
        <w:rPr>
          <w:rFonts w:ascii="Times New Roman" w:hAnsi="Times New Roman" w:eastAsia="Times New Roman" w:cs="Times New Roman"/>
          <w:noProof w:val="0"/>
          <w:color w:val="000000" w:themeColor="text1" w:themeTint="FF" w:themeShade="FF"/>
          <w:sz w:val="24"/>
          <w:szCs w:val="24"/>
          <w:lang w:val="en-US"/>
        </w:rPr>
        <w:t>, 44(1), pp</w:t>
      </w:r>
      <w:r w:rsidRPr="5723FB78" w:rsidR="49526DA6">
        <w:rPr>
          <w:rFonts w:ascii="Times New Roman" w:hAnsi="Times New Roman" w:eastAsia="Times New Roman" w:cs="Times New Roman"/>
          <w:noProof w:val="0"/>
          <w:color w:val="000000" w:themeColor="text1" w:themeTint="FF" w:themeShade="FF"/>
          <w:sz w:val="24"/>
          <w:szCs w:val="24"/>
          <w:lang w:val="en-US"/>
        </w:rPr>
        <w:t>.45</w:t>
      </w:r>
      <w:r w:rsidRPr="5723FB78" w:rsidR="49526DA6">
        <w:rPr>
          <w:rFonts w:ascii="Times New Roman" w:hAnsi="Times New Roman" w:eastAsia="Times New Roman" w:cs="Times New Roman"/>
          <w:noProof w:val="0"/>
          <w:color w:val="000000" w:themeColor="text1" w:themeTint="FF" w:themeShade="FF"/>
          <w:sz w:val="24"/>
          <w:szCs w:val="24"/>
          <w:lang w:val="en-US"/>
        </w:rPr>
        <w:t>–61.</w:t>
      </w:r>
    </w:p>
    <w:p xmlns:wp14="http://schemas.microsoft.com/office/word/2010/wordml" w:rsidP="5723FB78" wp14:paraId="709CF85E" wp14:textId="33EFEC3B">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Hagger, M.S. and Hamilton, </w:t>
      </w:r>
      <w:r w:rsidRPr="5723FB78" w:rsidR="49526DA6">
        <w:rPr>
          <w:rFonts w:ascii="Times New Roman" w:hAnsi="Times New Roman" w:eastAsia="Times New Roman" w:cs="Times New Roman"/>
          <w:noProof w:val="0"/>
          <w:color w:val="000000" w:themeColor="text1" w:themeTint="FF" w:themeShade="FF"/>
          <w:sz w:val="24"/>
          <w:szCs w:val="24"/>
          <w:lang w:val="en-US"/>
        </w:rPr>
        <w:t>K.,</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2021.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Self-determination theory in physical activity and exercise: Conceptual and empirical advances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Current Opinion in Psychology</w:t>
      </w:r>
      <w:r w:rsidRPr="5723FB78" w:rsidR="49526DA6">
        <w:rPr>
          <w:rFonts w:ascii="Times New Roman" w:hAnsi="Times New Roman" w:eastAsia="Times New Roman" w:cs="Times New Roman"/>
          <w:noProof w:val="0"/>
          <w:color w:val="000000" w:themeColor="text1" w:themeTint="FF" w:themeShade="FF"/>
          <w:sz w:val="24"/>
          <w:szCs w:val="24"/>
          <w:lang w:val="en-US"/>
        </w:rPr>
        <w:t>, 42, pp</w:t>
      </w:r>
      <w:r w:rsidRPr="5723FB78" w:rsidR="49526DA6">
        <w:rPr>
          <w:rFonts w:ascii="Times New Roman" w:hAnsi="Times New Roman" w:eastAsia="Times New Roman" w:cs="Times New Roman"/>
          <w:noProof w:val="0"/>
          <w:color w:val="000000" w:themeColor="text1" w:themeTint="FF" w:themeShade="FF"/>
          <w:sz w:val="24"/>
          <w:szCs w:val="24"/>
          <w:lang w:val="en-US"/>
        </w:rPr>
        <w:t>.89</w:t>
      </w:r>
      <w:r w:rsidRPr="5723FB78" w:rsidR="49526DA6">
        <w:rPr>
          <w:rFonts w:ascii="Times New Roman" w:hAnsi="Times New Roman" w:eastAsia="Times New Roman" w:cs="Times New Roman"/>
          <w:noProof w:val="0"/>
          <w:color w:val="000000" w:themeColor="text1" w:themeTint="FF" w:themeShade="FF"/>
          <w:sz w:val="24"/>
          <w:szCs w:val="24"/>
          <w:lang w:val="en-US"/>
        </w:rPr>
        <w:t>–96.</w:t>
      </w:r>
    </w:p>
    <w:p xmlns:wp14="http://schemas.microsoft.com/office/word/2010/wordml" w:rsidP="5723FB78" wp14:paraId="781B516A" wp14:textId="1EB62AC8">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Haslam, S.A., Jetten, J., Cruwys, T., Dingle, G.A. and Haslam, C., 2018.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The New Psychology of Health: Unlocking the Social Cure</w:t>
      </w:r>
      <w:r w:rsidRPr="5723FB78" w:rsidR="49526DA6">
        <w:rPr>
          <w:rFonts w:ascii="Times New Roman" w:hAnsi="Times New Roman" w:eastAsia="Times New Roman" w:cs="Times New Roman"/>
          <w:noProof w:val="0"/>
          <w:color w:val="000000" w:themeColor="text1" w:themeTint="FF" w:themeShade="FF"/>
          <w:sz w:val="24"/>
          <w:szCs w:val="24"/>
          <w:lang w:val="en-US"/>
        </w:rPr>
        <w:t>. London: Routledge.</w:t>
      </w:r>
    </w:p>
    <w:p xmlns:wp14="http://schemas.microsoft.com/office/word/2010/wordml" w:rsidP="5723FB78" wp14:paraId="44F0F158" wp14:textId="40FBCC7F">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He, Q., Zhang, Y.</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Li, H., 2024.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Digital interventions for mental health promotion in higher education: A meta-analytic review</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Computers in Human Behavior</w:t>
      </w:r>
      <w:r w:rsidRPr="5723FB78" w:rsidR="49526DA6">
        <w:rPr>
          <w:rFonts w:ascii="Times New Roman" w:hAnsi="Times New Roman" w:eastAsia="Times New Roman" w:cs="Times New Roman"/>
          <w:noProof w:val="0"/>
          <w:color w:val="000000" w:themeColor="text1" w:themeTint="FF" w:themeShade="FF"/>
          <w:sz w:val="24"/>
          <w:szCs w:val="24"/>
          <w:lang w:val="en-US"/>
        </w:rPr>
        <w:t>, 156, p.107339.</w:t>
      </w:r>
    </w:p>
    <w:p xmlns:wp14="http://schemas.microsoft.com/office/word/2010/wordml" w:rsidP="5723FB78" wp14:paraId="3036AD9E" wp14:textId="720992BE">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Huang, Y., Chen, X. and Zhao, M., 2024.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Exercise and mental wellbeing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in</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 university students: Systematic review and meta-analysis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Frontiers in Psychology</w:t>
      </w:r>
      <w:r w:rsidRPr="5723FB78" w:rsidR="49526DA6">
        <w:rPr>
          <w:rFonts w:ascii="Times New Roman" w:hAnsi="Times New Roman" w:eastAsia="Times New Roman" w:cs="Times New Roman"/>
          <w:noProof w:val="0"/>
          <w:color w:val="000000" w:themeColor="text1" w:themeTint="FF" w:themeShade="FF"/>
          <w:sz w:val="24"/>
          <w:szCs w:val="24"/>
          <w:lang w:val="en-US"/>
        </w:rPr>
        <w:t>, 15, pp</w:t>
      </w:r>
      <w:r w:rsidRPr="5723FB78" w:rsidR="49526DA6">
        <w:rPr>
          <w:rFonts w:ascii="Times New Roman" w:hAnsi="Times New Roman" w:eastAsia="Times New Roman" w:cs="Times New Roman"/>
          <w:noProof w:val="0"/>
          <w:color w:val="000000" w:themeColor="text1" w:themeTint="FF" w:themeShade="FF"/>
          <w:sz w:val="24"/>
          <w:szCs w:val="24"/>
          <w:lang w:val="en-US"/>
        </w:rPr>
        <w:t>.1</w:t>
      </w:r>
      <w:r w:rsidRPr="5723FB78" w:rsidR="49526DA6">
        <w:rPr>
          <w:rFonts w:ascii="Times New Roman" w:hAnsi="Times New Roman" w:eastAsia="Times New Roman" w:cs="Times New Roman"/>
          <w:noProof w:val="0"/>
          <w:color w:val="000000" w:themeColor="text1" w:themeTint="FF" w:themeShade="FF"/>
          <w:sz w:val="24"/>
          <w:szCs w:val="24"/>
          <w:lang w:val="en-US"/>
        </w:rPr>
        <w:t>–14.</w:t>
      </w:r>
    </w:p>
    <w:p xmlns:wp14="http://schemas.microsoft.com/office/word/2010/wordml" w:rsidP="5723FB78" wp14:paraId="00FC9DD3" wp14:textId="33AC7DC7">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Jackman, P.C., Swann, C. and Crust, L., 2024.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Social identity and inclusion in sport: A critical synthesis of evidence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Psychology of Sport and Exercise</w:t>
      </w:r>
      <w:r w:rsidRPr="5723FB78" w:rsidR="49526DA6">
        <w:rPr>
          <w:rFonts w:ascii="Times New Roman" w:hAnsi="Times New Roman" w:eastAsia="Times New Roman" w:cs="Times New Roman"/>
          <w:noProof w:val="0"/>
          <w:color w:val="000000" w:themeColor="text1" w:themeTint="FF" w:themeShade="FF"/>
          <w:sz w:val="24"/>
          <w:szCs w:val="24"/>
          <w:lang w:val="en-US"/>
        </w:rPr>
        <w:t>, 72, p.102146.</w:t>
      </w:r>
    </w:p>
    <w:p xmlns:wp14="http://schemas.microsoft.com/office/word/2010/wordml" w:rsidP="5723FB78" wp14:paraId="3422C14F" wp14:textId="00F0FAC9">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Jetten, J., Haslam, C. and Haslam, S.A., 2017.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The Social Cure: Identity,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Health</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 and Wellbeing</w:t>
      </w:r>
      <w:r w:rsidRPr="5723FB78" w:rsidR="49526DA6">
        <w:rPr>
          <w:rFonts w:ascii="Times New Roman" w:hAnsi="Times New Roman" w:eastAsia="Times New Roman" w:cs="Times New Roman"/>
          <w:noProof w:val="0"/>
          <w:color w:val="000000" w:themeColor="text1" w:themeTint="FF" w:themeShade="FF"/>
          <w:sz w:val="24"/>
          <w:szCs w:val="24"/>
          <w:lang w:val="en-US"/>
        </w:rPr>
        <w:t>. Hove: Psychology Press.</w:t>
      </w:r>
    </w:p>
    <w:p xmlns:wp14="http://schemas.microsoft.com/office/word/2010/wordml" w:rsidP="5723FB78" wp14:paraId="444C400C" wp14:textId="4044BC84">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Keyworth, C., Epton, T., Goldthorpe, J. and Michie, S., 2020.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Understanding barriers to student physical activity: Application of the COM-B model</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Health Education Research</w:t>
      </w:r>
      <w:r w:rsidRPr="5723FB78" w:rsidR="49526DA6">
        <w:rPr>
          <w:rFonts w:ascii="Times New Roman" w:hAnsi="Times New Roman" w:eastAsia="Times New Roman" w:cs="Times New Roman"/>
          <w:noProof w:val="0"/>
          <w:color w:val="000000" w:themeColor="text1" w:themeTint="FF" w:themeShade="FF"/>
          <w:sz w:val="24"/>
          <w:szCs w:val="24"/>
          <w:lang w:val="en-US"/>
        </w:rPr>
        <w:t>, 35(6), pp</w:t>
      </w:r>
      <w:r w:rsidRPr="5723FB78" w:rsidR="49526DA6">
        <w:rPr>
          <w:rFonts w:ascii="Times New Roman" w:hAnsi="Times New Roman" w:eastAsia="Times New Roman" w:cs="Times New Roman"/>
          <w:noProof w:val="0"/>
          <w:color w:val="000000" w:themeColor="text1" w:themeTint="FF" w:themeShade="FF"/>
          <w:sz w:val="24"/>
          <w:szCs w:val="24"/>
          <w:lang w:val="en-US"/>
        </w:rPr>
        <w:t>.502</w:t>
      </w:r>
      <w:r w:rsidRPr="5723FB78" w:rsidR="49526DA6">
        <w:rPr>
          <w:rFonts w:ascii="Times New Roman" w:hAnsi="Times New Roman" w:eastAsia="Times New Roman" w:cs="Times New Roman"/>
          <w:noProof w:val="0"/>
          <w:color w:val="000000" w:themeColor="text1" w:themeTint="FF" w:themeShade="FF"/>
          <w:sz w:val="24"/>
          <w:szCs w:val="24"/>
          <w:lang w:val="en-US"/>
        </w:rPr>
        <w:t>–516.</w:t>
      </w:r>
    </w:p>
    <w:p xmlns:wp14="http://schemas.microsoft.com/office/word/2010/wordml" w:rsidP="5723FB78" wp14:paraId="3BF40347" wp14:textId="2D1D0C7D">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Leow, K., Mason, 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Paiva, T., 2024.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Mental health and academic performance in higher education: Longitudinal evidence and implications for support</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Studies in Higher Education</w:t>
      </w:r>
      <w:r w:rsidRPr="5723FB78" w:rsidR="49526DA6">
        <w:rPr>
          <w:rFonts w:ascii="Times New Roman" w:hAnsi="Times New Roman" w:eastAsia="Times New Roman" w:cs="Times New Roman"/>
          <w:noProof w:val="0"/>
          <w:color w:val="000000" w:themeColor="text1" w:themeTint="FF" w:themeShade="FF"/>
          <w:sz w:val="24"/>
          <w:szCs w:val="24"/>
          <w:lang w:val="en-US"/>
        </w:rPr>
        <w:t>, 49(2), pp</w:t>
      </w:r>
      <w:r w:rsidRPr="5723FB78" w:rsidR="49526DA6">
        <w:rPr>
          <w:rFonts w:ascii="Times New Roman" w:hAnsi="Times New Roman" w:eastAsia="Times New Roman" w:cs="Times New Roman"/>
          <w:noProof w:val="0"/>
          <w:color w:val="000000" w:themeColor="text1" w:themeTint="FF" w:themeShade="FF"/>
          <w:sz w:val="24"/>
          <w:szCs w:val="24"/>
          <w:lang w:val="en-US"/>
        </w:rPr>
        <w:t>.210</w:t>
      </w:r>
      <w:r w:rsidRPr="5723FB78" w:rsidR="49526DA6">
        <w:rPr>
          <w:rFonts w:ascii="Times New Roman" w:hAnsi="Times New Roman" w:eastAsia="Times New Roman" w:cs="Times New Roman"/>
          <w:noProof w:val="0"/>
          <w:color w:val="000000" w:themeColor="text1" w:themeTint="FF" w:themeShade="FF"/>
          <w:sz w:val="24"/>
          <w:szCs w:val="24"/>
          <w:lang w:val="en-US"/>
        </w:rPr>
        <w:t>–225.</w:t>
      </w:r>
    </w:p>
    <w:p xmlns:wp14="http://schemas.microsoft.com/office/word/2010/wordml" w:rsidP="5723FB78" wp14:paraId="12EA1B1F" wp14:textId="7A01CFEA">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Liu, X., Tan, Y. and Yang, L., 2025.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Effects of physical activity interventions on stress,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depression</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 and wellbeing among university students: Meta-analysis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International Journal of Environmental Research and Public Health</w:t>
      </w:r>
      <w:r w:rsidRPr="5723FB78" w:rsidR="49526DA6">
        <w:rPr>
          <w:rFonts w:ascii="Times New Roman" w:hAnsi="Times New Roman" w:eastAsia="Times New Roman" w:cs="Times New Roman"/>
          <w:noProof w:val="0"/>
          <w:color w:val="000000" w:themeColor="text1" w:themeTint="FF" w:themeShade="FF"/>
          <w:sz w:val="24"/>
          <w:szCs w:val="24"/>
          <w:lang w:val="en-US"/>
        </w:rPr>
        <w:t>, 22(3), pp.1–18.</w:t>
      </w:r>
    </w:p>
    <w:p xmlns:wp14="http://schemas.microsoft.com/office/word/2010/wordml" w:rsidP="5723FB78" wp14:paraId="53CCCB39" wp14:textId="0B620E33">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Malagodi</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B., O’Sullivan, M. and Brown, A., 2024.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Mapping mental health-related physical activity interventions in UK universities: A scoping review</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BMC Public Health</w:t>
      </w:r>
      <w:r w:rsidRPr="5723FB78" w:rsidR="49526DA6">
        <w:rPr>
          <w:rFonts w:ascii="Times New Roman" w:hAnsi="Times New Roman" w:eastAsia="Times New Roman" w:cs="Times New Roman"/>
          <w:noProof w:val="0"/>
          <w:color w:val="000000" w:themeColor="text1" w:themeTint="FF" w:themeShade="FF"/>
          <w:sz w:val="24"/>
          <w:szCs w:val="24"/>
          <w:lang w:val="en-US"/>
        </w:rPr>
        <w:t>, 24(18), pp</w:t>
      </w:r>
      <w:r w:rsidRPr="5723FB78" w:rsidR="49526DA6">
        <w:rPr>
          <w:rFonts w:ascii="Times New Roman" w:hAnsi="Times New Roman" w:eastAsia="Times New Roman" w:cs="Times New Roman"/>
          <w:noProof w:val="0"/>
          <w:color w:val="000000" w:themeColor="text1" w:themeTint="FF" w:themeShade="FF"/>
          <w:sz w:val="24"/>
          <w:szCs w:val="24"/>
          <w:lang w:val="en-US"/>
        </w:rPr>
        <w:t>.1</w:t>
      </w:r>
      <w:r w:rsidRPr="5723FB78" w:rsidR="49526DA6">
        <w:rPr>
          <w:rFonts w:ascii="Times New Roman" w:hAnsi="Times New Roman" w:eastAsia="Times New Roman" w:cs="Times New Roman"/>
          <w:noProof w:val="0"/>
          <w:color w:val="000000" w:themeColor="text1" w:themeTint="FF" w:themeShade="FF"/>
          <w:sz w:val="24"/>
          <w:szCs w:val="24"/>
          <w:lang w:val="en-US"/>
        </w:rPr>
        <w:t>–14.</w:t>
      </w:r>
    </w:p>
    <w:p xmlns:wp14="http://schemas.microsoft.com/office/word/2010/wordml" w:rsidP="5723FB78" wp14:paraId="3BCAFE5E" wp14:textId="01CB1FAC">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Mason Stephens, E., Carter, S. and Lee, A., 2025.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Assessing functional impairment and recovery in student mental health research: A critical synthesis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Journal of Affective Disorders Reports</w:t>
      </w:r>
      <w:r w:rsidRPr="5723FB78" w:rsidR="49526DA6">
        <w:rPr>
          <w:rFonts w:ascii="Times New Roman" w:hAnsi="Times New Roman" w:eastAsia="Times New Roman" w:cs="Times New Roman"/>
          <w:noProof w:val="0"/>
          <w:color w:val="000000" w:themeColor="text1" w:themeTint="FF" w:themeShade="FF"/>
          <w:sz w:val="24"/>
          <w:szCs w:val="24"/>
          <w:lang w:val="en-US"/>
        </w:rPr>
        <w:t>, 22, p.100512.</w:t>
      </w:r>
    </w:p>
    <w:p xmlns:wp14="http://schemas.microsoft.com/office/word/2010/wordml" w:rsidP="5723FB78" wp14:paraId="16C25D2E" wp14:textId="6394DF03">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Michie, S., Atkins, L. and West, R., 2014.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The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Behaviour</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 Change Wheel: A Guide to Designing Interventions</w:t>
      </w:r>
      <w:r w:rsidRPr="5723FB78" w:rsidR="49526DA6">
        <w:rPr>
          <w:rFonts w:ascii="Times New Roman" w:hAnsi="Times New Roman" w:eastAsia="Times New Roman" w:cs="Times New Roman"/>
          <w:noProof w:val="0"/>
          <w:color w:val="000000" w:themeColor="text1" w:themeTint="FF" w:themeShade="FF"/>
          <w:sz w:val="24"/>
          <w:szCs w:val="24"/>
          <w:lang w:val="en-US"/>
        </w:rPr>
        <w:t>. London: Silverback Publishing.</w:t>
      </w:r>
    </w:p>
    <w:p xmlns:wp14="http://schemas.microsoft.com/office/word/2010/wordml" w:rsidP="5723FB78" wp14:paraId="28A16C20" wp14:textId="20389C41">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Michie, S., van Stralen, M.M. and West, R., 2011.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The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behaviour</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 change wheel: A new method for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characterising</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 and designing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behaviour</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 change interventions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Implementation Science</w:t>
      </w:r>
      <w:r w:rsidRPr="5723FB78" w:rsidR="49526DA6">
        <w:rPr>
          <w:rFonts w:ascii="Times New Roman" w:hAnsi="Times New Roman" w:eastAsia="Times New Roman" w:cs="Times New Roman"/>
          <w:noProof w:val="0"/>
          <w:color w:val="000000" w:themeColor="text1" w:themeTint="FF" w:themeShade="FF"/>
          <w:sz w:val="24"/>
          <w:szCs w:val="24"/>
          <w:lang w:val="en-US"/>
        </w:rPr>
        <w:t>, 6(42), pp.1–12.</w:t>
      </w:r>
    </w:p>
    <w:p xmlns:wp14="http://schemas.microsoft.com/office/word/2010/wordml" w:rsidP="5723FB78" wp14:paraId="475E38D7" wp14:textId="1119BFB9">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Milne Ives, M., Lam, C. and Meinert, E., 2025.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User engagement and retention in mobile health apps: Systematic review and conceptual framework</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 xml:space="preserve">JMIR mHealth and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uHealth</w:t>
      </w:r>
      <w:r w:rsidRPr="5723FB78" w:rsidR="49526DA6">
        <w:rPr>
          <w:rFonts w:ascii="Times New Roman" w:hAnsi="Times New Roman" w:eastAsia="Times New Roman" w:cs="Times New Roman"/>
          <w:noProof w:val="0"/>
          <w:color w:val="000000" w:themeColor="text1" w:themeTint="FF" w:themeShade="FF"/>
          <w:sz w:val="24"/>
          <w:szCs w:val="24"/>
          <w:lang w:val="en-US"/>
        </w:rPr>
        <w:t>, 13(1), pp.1–16.</w:t>
      </w:r>
    </w:p>
    <w:p xmlns:wp14="http://schemas.microsoft.com/office/word/2010/wordml" w:rsidP="5723FB78" wp14:paraId="718F4984" wp14:textId="6B576FD8">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Nice, M.L., Peebles, B.L. and Franks, B.D., 2023.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Wellness and Well-being in Counseling Research: Connecting Theory, Practice, and Evidence</w:t>
      </w:r>
      <w:r w:rsidRPr="5723FB78" w:rsidR="49526DA6">
        <w:rPr>
          <w:rFonts w:ascii="Times New Roman" w:hAnsi="Times New Roman" w:eastAsia="Times New Roman" w:cs="Times New Roman"/>
          <w:noProof w:val="0"/>
          <w:color w:val="000000" w:themeColor="text1" w:themeTint="FF" w:themeShade="FF"/>
          <w:sz w:val="24"/>
          <w:szCs w:val="24"/>
          <w:lang w:val="en-US"/>
        </w:rPr>
        <w:t>. 1st ed. New York: Routledge.</w:t>
      </w:r>
    </w:p>
    <w:p xmlns:wp14="http://schemas.microsoft.com/office/word/2010/wordml" w:rsidP="5723FB78" wp14:paraId="215905F2" wp14:textId="40BA3FD4">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Noetel</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M., Parker, P. and Chitiyo, G., 2024.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Exercise and depression: Updated meta-analysis and implications for implementation in higher education</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Psychological Bulletin</w:t>
      </w:r>
      <w:r w:rsidRPr="5723FB78" w:rsidR="49526DA6">
        <w:rPr>
          <w:rFonts w:ascii="Times New Roman" w:hAnsi="Times New Roman" w:eastAsia="Times New Roman" w:cs="Times New Roman"/>
          <w:noProof w:val="0"/>
          <w:color w:val="000000" w:themeColor="text1" w:themeTint="FF" w:themeShade="FF"/>
          <w:sz w:val="24"/>
          <w:szCs w:val="24"/>
          <w:lang w:val="en-US"/>
        </w:rPr>
        <w:t>, 150(2), pp</w:t>
      </w:r>
      <w:r w:rsidRPr="5723FB78" w:rsidR="49526DA6">
        <w:rPr>
          <w:rFonts w:ascii="Times New Roman" w:hAnsi="Times New Roman" w:eastAsia="Times New Roman" w:cs="Times New Roman"/>
          <w:noProof w:val="0"/>
          <w:color w:val="000000" w:themeColor="text1" w:themeTint="FF" w:themeShade="FF"/>
          <w:sz w:val="24"/>
          <w:szCs w:val="24"/>
          <w:lang w:val="en-US"/>
        </w:rPr>
        <w:t>.223</w:t>
      </w:r>
      <w:r w:rsidRPr="5723FB78" w:rsidR="49526DA6">
        <w:rPr>
          <w:rFonts w:ascii="Times New Roman" w:hAnsi="Times New Roman" w:eastAsia="Times New Roman" w:cs="Times New Roman"/>
          <w:noProof w:val="0"/>
          <w:color w:val="000000" w:themeColor="text1" w:themeTint="FF" w:themeShade="FF"/>
          <w:sz w:val="24"/>
          <w:szCs w:val="24"/>
          <w:lang w:val="en-US"/>
        </w:rPr>
        <w:t>–247.</w:t>
      </w:r>
    </w:p>
    <w:p xmlns:wp14="http://schemas.microsoft.com/office/word/2010/wordml" w:rsidP="5723FB78" wp14:paraId="3B3497CC" wp14:textId="0C430AA0">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Page, M.J., McKenzie, J.E. and Bossuyt, P.M., 2021.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The PRISMA 2020 statement: An updated guideline for reporting systematic reviews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BMJ</w:t>
      </w:r>
      <w:r w:rsidRPr="5723FB78" w:rsidR="49526DA6">
        <w:rPr>
          <w:rFonts w:ascii="Times New Roman" w:hAnsi="Times New Roman" w:eastAsia="Times New Roman" w:cs="Times New Roman"/>
          <w:noProof w:val="0"/>
          <w:color w:val="000000" w:themeColor="text1" w:themeTint="FF" w:themeShade="FF"/>
          <w:sz w:val="24"/>
          <w:szCs w:val="24"/>
          <w:lang w:val="en-US"/>
        </w:rPr>
        <w:t>, 372, p.n71.</w:t>
      </w:r>
    </w:p>
    <w:p xmlns:wp14="http://schemas.microsoft.com/office/word/2010/wordml" w:rsidP="5723FB78" wp14:paraId="6F0AE04A" wp14:textId="577ECE5A">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Paiva, T., Leow, K. and Faro, C., 2025.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Global prevalence and measurement of mental health symptoms in university students: An umbrella review</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The Lancet</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 xml:space="preserve"> Psychiatry</w:t>
      </w:r>
      <w:r w:rsidRPr="5723FB78" w:rsidR="49526DA6">
        <w:rPr>
          <w:rFonts w:ascii="Times New Roman" w:hAnsi="Times New Roman" w:eastAsia="Times New Roman" w:cs="Times New Roman"/>
          <w:noProof w:val="0"/>
          <w:color w:val="000000" w:themeColor="text1" w:themeTint="FF" w:themeShade="FF"/>
          <w:sz w:val="24"/>
          <w:szCs w:val="24"/>
          <w:lang w:val="en-US"/>
        </w:rPr>
        <w:t>, 12(2), pp</w:t>
      </w:r>
      <w:r w:rsidRPr="5723FB78" w:rsidR="49526DA6">
        <w:rPr>
          <w:rFonts w:ascii="Times New Roman" w:hAnsi="Times New Roman" w:eastAsia="Times New Roman" w:cs="Times New Roman"/>
          <w:noProof w:val="0"/>
          <w:color w:val="000000" w:themeColor="text1" w:themeTint="FF" w:themeShade="FF"/>
          <w:sz w:val="24"/>
          <w:szCs w:val="24"/>
          <w:lang w:val="en-US"/>
        </w:rPr>
        <w:t>.154</w:t>
      </w:r>
      <w:r w:rsidRPr="5723FB78" w:rsidR="49526DA6">
        <w:rPr>
          <w:rFonts w:ascii="Times New Roman" w:hAnsi="Times New Roman" w:eastAsia="Times New Roman" w:cs="Times New Roman"/>
          <w:noProof w:val="0"/>
          <w:color w:val="000000" w:themeColor="text1" w:themeTint="FF" w:themeShade="FF"/>
          <w:sz w:val="24"/>
          <w:szCs w:val="24"/>
          <w:lang w:val="en-US"/>
        </w:rPr>
        <w:t>–169.</w:t>
      </w:r>
    </w:p>
    <w:p xmlns:wp14="http://schemas.microsoft.com/office/word/2010/wordml" w:rsidP="5723FB78" wp14:paraId="097AB4E7" wp14:textId="7D6A6298">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Perski, O., Blandford, A., West, R. and Michie, S., 2017.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Conceptualising</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 engagement with digital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behaviour</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change</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 interventions: A systematic review</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Health Psychology Review</w:t>
      </w:r>
      <w:r w:rsidRPr="5723FB78" w:rsidR="49526DA6">
        <w:rPr>
          <w:rFonts w:ascii="Times New Roman" w:hAnsi="Times New Roman" w:eastAsia="Times New Roman" w:cs="Times New Roman"/>
          <w:noProof w:val="0"/>
          <w:color w:val="000000" w:themeColor="text1" w:themeTint="FF" w:themeShade="FF"/>
          <w:sz w:val="24"/>
          <w:szCs w:val="24"/>
          <w:lang w:val="en-US"/>
        </w:rPr>
        <w:t>, 11(2), pp</w:t>
      </w:r>
      <w:r w:rsidRPr="5723FB78" w:rsidR="49526DA6">
        <w:rPr>
          <w:rFonts w:ascii="Times New Roman" w:hAnsi="Times New Roman" w:eastAsia="Times New Roman" w:cs="Times New Roman"/>
          <w:noProof w:val="0"/>
          <w:color w:val="000000" w:themeColor="text1" w:themeTint="FF" w:themeShade="FF"/>
          <w:sz w:val="24"/>
          <w:szCs w:val="24"/>
          <w:lang w:val="en-US"/>
        </w:rPr>
        <w:t>.158</w:t>
      </w:r>
      <w:r w:rsidRPr="5723FB78" w:rsidR="49526DA6">
        <w:rPr>
          <w:rFonts w:ascii="Times New Roman" w:hAnsi="Times New Roman" w:eastAsia="Times New Roman" w:cs="Times New Roman"/>
          <w:noProof w:val="0"/>
          <w:color w:val="000000" w:themeColor="text1" w:themeTint="FF" w:themeShade="FF"/>
          <w:sz w:val="24"/>
          <w:szCs w:val="24"/>
          <w:lang w:val="en-US"/>
        </w:rPr>
        <w:t>–178.</w:t>
      </w:r>
    </w:p>
    <w:p xmlns:wp14="http://schemas.microsoft.com/office/word/2010/wordml" w:rsidP="5723FB78" wp14:paraId="74E1422D" wp14:textId="0A503F29">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Rhodes, R.E., McEwan, </w:t>
      </w:r>
      <w:r w:rsidRPr="5723FB78" w:rsidR="49526DA6">
        <w:rPr>
          <w:rFonts w:ascii="Times New Roman" w:hAnsi="Times New Roman" w:eastAsia="Times New Roman" w:cs="Times New Roman"/>
          <w:noProof w:val="0"/>
          <w:color w:val="000000" w:themeColor="text1" w:themeTint="FF" w:themeShade="FF"/>
          <w:sz w:val="24"/>
          <w:szCs w:val="24"/>
          <w:lang w:val="en-US"/>
        </w:rPr>
        <w:t>D.</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 Rebar, A.L., 2020.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Theories of physical activity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behaviour</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 change: A history and synthesis of approaches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Psychology of Sport and Exercise</w:t>
      </w:r>
      <w:r w:rsidRPr="5723FB78" w:rsidR="49526DA6">
        <w:rPr>
          <w:rFonts w:ascii="Times New Roman" w:hAnsi="Times New Roman" w:eastAsia="Times New Roman" w:cs="Times New Roman"/>
          <w:noProof w:val="0"/>
          <w:color w:val="000000" w:themeColor="text1" w:themeTint="FF" w:themeShade="FF"/>
          <w:sz w:val="24"/>
          <w:szCs w:val="24"/>
          <w:lang w:val="en-US"/>
        </w:rPr>
        <w:t>, 42, pp</w:t>
      </w:r>
      <w:r w:rsidRPr="5723FB78" w:rsidR="49526DA6">
        <w:rPr>
          <w:rFonts w:ascii="Times New Roman" w:hAnsi="Times New Roman" w:eastAsia="Times New Roman" w:cs="Times New Roman"/>
          <w:noProof w:val="0"/>
          <w:color w:val="000000" w:themeColor="text1" w:themeTint="FF" w:themeShade="FF"/>
          <w:sz w:val="24"/>
          <w:szCs w:val="24"/>
          <w:lang w:val="en-US"/>
        </w:rPr>
        <w:t>.100</w:t>
      </w:r>
      <w:r w:rsidRPr="5723FB78" w:rsidR="49526DA6">
        <w:rPr>
          <w:rFonts w:ascii="Times New Roman" w:hAnsi="Times New Roman" w:eastAsia="Times New Roman" w:cs="Times New Roman"/>
          <w:noProof w:val="0"/>
          <w:color w:val="000000" w:themeColor="text1" w:themeTint="FF" w:themeShade="FF"/>
          <w:sz w:val="24"/>
          <w:szCs w:val="24"/>
          <w:lang w:val="en-US"/>
        </w:rPr>
        <w:t>–109.</w:t>
      </w:r>
    </w:p>
    <w:p xmlns:wp14="http://schemas.microsoft.com/office/word/2010/wordml" w:rsidP="5723FB78" wp14:paraId="09B72016" wp14:textId="424F3278">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Rodríguez Muñoz, B., 2020.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Health, higher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education</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 and institutional wellbeing: A critical perspective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In: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Health: Critical Concepts in Social Sciences</w:t>
      </w:r>
      <w:r w:rsidRPr="5723FB78" w:rsidR="49526DA6">
        <w:rPr>
          <w:rFonts w:ascii="Times New Roman" w:hAnsi="Times New Roman" w:eastAsia="Times New Roman" w:cs="Times New Roman"/>
          <w:noProof w:val="0"/>
          <w:color w:val="000000" w:themeColor="text1" w:themeTint="FF" w:themeShade="FF"/>
          <w:sz w:val="24"/>
          <w:szCs w:val="24"/>
          <w:lang w:val="en-US"/>
        </w:rPr>
        <w:t>. London: Routledge, pp</w:t>
      </w:r>
      <w:r w:rsidRPr="5723FB78" w:rsidR="49526DA6">
        <w:rPr>
          <w:rFonts w:ascii="Times New Roman" w:hAnsi="Times New Roman" w:eastAsia="Times New Roman" w:cs="Times New Roman"/>
          <w:noProof w:val="0"/>
          <w:color w:val="000000" w:themeColor="text1" w:themeTint="FF" w:themeShade="FF"/>
          <w:sz w:val="24"/>
          <w:szCs w:val="24"/>
          <w:lang w:val="en-US"/>
        </w:rPr>
        <w:t>.45</w:t>
      </w:r>
      <w:r w:rsidRPr="5723FB78" w:rsidR="49526DA6">
        <w:rPr>
          <w:rFonts w:ascii="Times New Roman" w:hAnsi="Times New Roman" w:eastAsia="Times New Roman" w:cs="Times New Roman"/>
          <w:noProof w:val="0"/>
          <w:color w:val="000000" w:themeColor="text1" w:themeTint="FF" w:themeShade="FF"/>
          <w:sz w:val="24"/>
          <w:szCs w:val="24"/>
          <w:lang w:val="en-US"/>
        </w:rPr>
        <w:t>–61.</w:t>
      </w:r>
    </w:p>
    <w:p xmlns:wp14="http://schemas.microsoft.com/office/word/2010/wordml" w:rsidP="5723FB78" wp14:paraId="2A66F086" wp14:textId="19CADEF6">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Ryan, R.M. and Deci, E.L., 2017.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Self-Determination Theory: Basic Psychological Needs in Motivation, Development, and Wellness</w:t>
      </w:r>
      <w:r w:rsidRPr="5723FB78" w:rsidR="49526DA6">
        <w:rPr>
          <w:rFonts w:ascii="Times New Roman" w:hAnsi="Times New Roman" w:eastAsia="Times New Roman" w:cs="Times New Roman"/>
          <w:noProof w:val="0"/>
          <w:color w:val="000000" w:themeColor="text1" w:themeTint="FF" w:themeShade="FF"/>
          <w:sz w:val="24"/>
          <w:szCs w:val="24"/>
          <w:lang w:val="en-US"/>
        </w:rPr>
        <w:t>. New York: Guilford Press.</w:t>
      </w:r>
    </w:p>
    <w:p xmlns:wp14="http://schemas.microsoft.com/office/word/2010/wordml" w:rsidP="5723FB78" wp14:paraId="0F027A15" wp14:textId="785CCEE4">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Shelton, K., Gill, D. and Lewis, C., 2024.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Barriers to sport participation among university students: A qualitative synthesis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Leisure Studies</w:t>
      </w:r>
      <w:r w:rsidRPr="5723FB78" w:rsidR="49526DA6">
        <w:rPr>
          <w:rFonts w:ascii="Times New Roman" w:hAnsi="Times New Roman" w:eastAsia="Times New Roman" w:cs="Times New Roman"/>
          <w:noProof w:val="0"/>
          <w:color w:val="000000" w:themeColor="text1" w:themeTint="FF" w:themeShade="FF"/>
          <w:sz w:val="24"/>
          <w:szCs w:val="24"/>
          <w:lang w:val="en-US"/>
        </w:rPr>
        <w:t>, 43(4), pp</w:t>
      </w:r>
      <w:r w:rsidRPr="5723FB78" w:rsidR="49526DA6">
        <w:rPr>
          <w:rFonts w:ascii="Times New Roman" w:hAnsi="Times New Roman" w:eastAsia="Times New Roman" w:cs="Times New Roman"/>
          <w:noProof w:val="0"/>
          <w:color w:val="000000" w:themeColor="text1" w:themeTint="FF" w:themeShade="FF"/>
          <w:sz w:val="24"/>
          <w:szCs w:val="24"/>
          <w:lang w:val="en-US"/>
        </w:rPr>
        <w:t>.515</w:t>
      </w:r>
      <w:r w:rsidRPr="5723FB78" w:rsidR="49526DA6">
        <w:rPr>
          <w:rFonts w:ascii="Times New Roman" w:hAnsi="Times New Roman" w:eastAsia="Times New Roman" w:cs="Times New Roman"/>
          <w:noProof w:val="0"/>
          <w:color w:val="000000" w:themeColor="text1" w:themeTint="FF" w:themeShade="FF"/>
          <w:sz w:val="24"/>
          <w:szCs w:val="24"/>
          <w:lang w:val="en-US"/>
        </w:rPr>
        <w:t>–531.</w:t>
      </w:r>
    </w:p>
    <w:p xmlns:wp14="http://schemas.microsoft.com/office/word/2010/wordml" w:rsidP="5723FB78" wp14:paraId="4C6E8D64" wp14:textId="0CDB75A1">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Skivington, K., Matthews, L. and Simpson, S., 2021.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A new framework for developing and evaluating complex interventions: The updated MRC guidance</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BMJ</w:t>
      </w:r>
      <w:r w:rsidRPr="5723FB78" w:rsidR="49526DA6">
        <w:rPr>
          <w:rFonts w:ascii="Times New Roman" w:hAnsi="Times New Roman" w:eastAsia="Times New Roman" w:cs="Times New Roman"/>
          <w:noProof w:val="0"/>
          <w:color w:val="000000" w:themeColor="text1" w:themeTint="FF" w:themeShade="FF"/>
          <w:sz w:val="24"/>
          <w:szCs w:val="24"/>
          <w:lang w:val="en-US"/>
        </w:rPr>
        <w:t>, 374, p.n2061.</w:t>
      </w:r>
    </w:p>
    <w:p xmlns:wp14="http://schemas.microsoft.com/office/word/2010/wordml" w:rsidP="5723FB78" wp14:paraId="2FB0199D" wp14:textId="4BAE7582">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Smith, J., Clark, H. and Eaton, K., 2025.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Critical review of engagement metrics in digital mental health interventions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Frontiers in Digital Health</w:t>
      </w:r>
      <w:r w:rsidRPr="5723FB78" w:rsidR="49526DA6">
        <w:rPr>
          <w:rFonts w:ascii="Times New Roman" w:hAnsi="Times New Roman" w:eastAsia="Times New Roman" w:cs="Times New Roman"/>
          <w:noProof w:val="0"/>
          <w:color w:val="000000" w:themeColor="text1" w:themeTint="FF" w:themeShade="FF"/>
          <w:sz w:val="24"/>
          <w:szCs w:val="24"/>
          <w:lang w:val="en-US"/>
        </w:rPr>
        <w:t>, 7, p</w:t>
      </w:r>
      <w:r w:rsidRPr="5723FB78" w:rsidR="49526DA6">
        <w:rPr>
          <w:rFonts w:ascii="Times New Roman" w:hAnsi="Times New Roman" w:eastAsia="Times New Roman" w:cs="Times New Roman"/>
          <w:noProof w:val="0"/>
          <w:color w:val="000000" w:themeColor="text1" w:themeTint="FF" w:themeShade="FF"/>
          <w:sz w:val="24"/>
          <w:szCs w:val="24"/>
          <w:lang w:val="en-US"/>
        </w:rPr>
        <w:t>.1192</w:t>
      </w:r>
      <w:r w:rsidRPr="5723FB78" w:rsidR="49526DA6">
        <w:rPr>
          <w:rFonts w:ascii="Times New Roman" w:hAnsi="Times New Roman" w:eastAsia="Times New Roman" w:cs="Times New Roman"/>
          <w:noProof w:val="0"/>
          <w:color w:val="000000" w:themeColor="text1" w:themeTint="FF" w:themeShade="FF"/>
          <w:sz w:val="24"/>
          <w:szCs w:val="24"/>
          <w:lang w:val="en-US"/>
        </w:rPr>
        <w:t>.</w:t>
      </w:r>
    </w:p>
    <w:p xmlns:wp14="http://schemas.microsoft.com/office/word/2010/wordml" w:rsidP="5723FB78" wp14:paraId="513453B7" wp14:textId="085F808D">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Steffens, N.K., LaRue, C.J. and Haslam, S.A., 2021.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The social identity approach in sport and exercise: Recent developments and critical reflections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International Review of Sport and Exercise Psychology</w:t>
      </w:r>
      <w:r w:rsidRPr="5723FB78" w:rsidR="49526DA6">
        <w:rPr>
          <w:rFonts w:ascii="Times New Roman" w:hAnsi="Times New Roman" w:eastAsia="Times New Roman" w:cs="Times New Roman"/>
          <w:noProof w:val="0"/>
          <w:color w:val="000000" w:themeColor="text1" w:themeTint="FF" w:themeShade="FF"/>
          <w:sz w:val="24"/>
          <w:szCs w:val="24"/>
          <w:lang w:val="en-US"/>
        </w:rPr>
        <w:t>, 14(1), pp</w:t>
      </w:r>
      <w:r w:rsidRPr="5723FB78" w:rsidR="49526DA6">
        <w:rPr>
          <w:rFonts w:ascii="Times New Roman" w:hAnsi="Times New Roman" w:eastAsia="Times New Roman" w:cs="Times New Roman"/>
          <w:noProof w:val="0"/>
          <w:color w:val="000000" w:themeColor="text1" w:themeTint="FF" w:themeShade="FF"/>
          <w:sz w:val="24"/>
          <w:szCs w:val="24"/>
          <w:lang w:val="en-US"/>
        </w:rPr>
        <w:t>.70</w:t>
      </w:r>
      <w:r w:rsidRPr="5723FB78" w:rsidR="49526DA6">
        <w:rPr>
          <w:rFonts w:ascii="Times New Roman" w:hAnsi="Times New Roman" w:eastAsia="Times New Roman" w:cs="Times New Roman"/>
          <w:noProof w:val="0"/>
          <w:color w:val="000000" w:themeColor="text1" w:themeTint="FF" w:themeShade="FF"/>
          <w:sz w:val="24"/>
          <w:szCs w:val="24"/>
          <w:lang w:val="en-US"/>
        </w:rPr>
        <w:t>–91.</w:t>
      </w:r>
    </w:p>
    <w:p xmlns:wp14="http://schemas.microsoft.com/office/word/2010/wordml" w:rsidP="5723FB78" wp14:paraId="2A90CF20" wp14:textId="49552900">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Sterne, J.A.C., Savović, J., Page, M.J. and Higgins, J.P.T., 2019.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RoB</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 2: A revised tool for assessing risk of bias in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randomised</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 trials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BMJ</w:t>
      </w:r>
      <w:r w:rsidRPr="5723FB78" w:rsidR="49526DA6">
        <w:rPr>
          <w:rFonts w:ascii="Times New Roman" w:hAnsi="Times New Roman" w:eastAsia="Times New Roman" w:cs="Times New Roman"/>
          <w:noProof w:val="0"/>
          <w:color w:val="000000" w:themeColor="text1" w:themeTint="FF" w:themeShade="FF"/>
          <w:sz w:val="24"/>
          <w:szCs w:val="24"/>
          <w:lang w:val="en-US"/>
        </w:rPr>
        <w:t>, 366, p.l4898.</w:t>
      </w:r>
    </w:p>
    <w:p xmlns:wp14="http://schemas.microsoft.com/office/word/2010/wordml" w:rsidP="5723FB78" wp14:paraId="77E76134" wp14:textId="13C08F82">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Surkalim</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D.L., Luo, M. and Firth, J., 2024.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Bidirectional associations between physical activity and loneliness: Evidence from longitudinal data</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Social Psychiatry and Psychiatric Epidemiology</w:t>
      </w:r>
      <w:r w:rsidRPr="5723FB78" w:rsidR="49526DA6">
        <w:rPr>
          <w:rFonts w:ascii="Times New Roman" w:hAnsi="Times New Roman" w:eastAsia="Times New Roman" w:cs="Times New Roman"/>
          <w:noProof w:val="0"/>
          <w:color w:val="000000" w:themeColor="text1" w:themeTint="FF" w:themeShade="FF"/>
          <w:sz w:val="24"/>
          <w:szCs w:val="24"/>
          <w:lang w:val="en-US"/>
        </w:rPr>
        <w:t>, 59(2), pp</w:t>
      </w:r>
      <w:r w:rsidRPr="5723FB78" w:rsidR="49526DA6">
        <w:rPr>
          <w:rFonts w:ascii="Times New Roman" w:hAnsi="Times New Roman" w:eastAsia="Times New Roman" w:cs="Times New Roman"/>
          <w:noProof w:val="0"/>
          <w:color w:val="000000" w:themeColor="text1" w:themeTint="FF" w:themeShade="FF"/>
          <w:sz w:val="24"/>
          <w:szCs w:val="24"/>
          <w:lang w:val="en-US"/>
        </w:rPr>
        <w:t>.267</w:t>
      </w:r>
      <w:r w:rsidRPr="5723FB78" w:rsidR="49526DA6">
        <w:rPr>
          <w:rFonts w:ascii="Times New Roman" w:hAnsi="Times New Roman" w:eastAsia="Times New Roman" w:cs="Times New Roman"/>
          <w:noProof w:val="0"/>
          <w:color w:val="000000" w:themeColor="text1" w:themeTint="FF" w:themeShade="FF"/>
          <w:sz w:val="24"/>
          <w:szCs w:val="24"/>
          <w:lang w:val="en-US"/>
        </w:rPr>
        <w:t>–278.</w:t>
      </w:r>
    </w:p>
    <w:p xmlns:wp14="http://schemas.microsoft.com/office/word/2010/wordml" w:rsidP="5723FB78" wp14:paraId="02269C65" wp14:textId="70CD44F5">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Trott, M., Smith, L.</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and</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Firth, J., 2024.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Physical activity,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motivation</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 and academic performance: Systematic review and meta-analysis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Journal of Educational Psychology</w:t>
      </w:r>
      <w:r w:rsidRPr="5723FB78" w:rsidR="49526DA6">
        <w:rPr>
          <w:rFonts w:ascii="Times New Roman" w:hAnsi="Times New Roman" w:eastAsia="Times New Roman" w:cs="Times New Roman"/>
          <w:noProof w:val="0"/>
          <w:color w:val="000000" w:themeColor="text1" w:themeTint="FF" w:themeShade="FF"/>
          <w:sz w:val="24"/>
          <w:szCs w:val="24"/>
          <w:lang w:val="en-US"/>
        </w:rPr>
        <w:t>, 116(3), pp</w:t>
      </w:r>
      <w:r w:rsidRPr="5723FB78" w:rsidR="49526DA6">
        <w:rPr>
          <w:rFonts w:ascii="Times New Roman" w:hAnsi="Times New Roman" w:eastAsia="Times New Roman" w:cs="Times New Roman"/>
          <w:noProof w:val="0"/>
          <w:color w:val="000000" w:themeColor="text1" w:themeTint="FF" w:themeShade="FF"/>
          <w:sz w:val="24"/>
          <w:szCs w:val="24"/>
          <w:lang w:val="en-US"/>
        </w:rPr>
        <w:t>.620</w:t>
      </w:r>
      <w:r w:rsidRPr="5723FB78" w:rsidR="49526DA6">
        <w:rPr>
          <w:rFonts w:ascii="Times New Roman" w:hAnsi="Times New Roman" w:eastAsia="Times New Roman" w:cs="Times New Roman"/>
          <w:noProof w:val="0"/>
          <w:color w:val="000000" w:themeColor="text1" w:themeTint="FF" w:themeShade="FF"/>
          <w:sz w:val="24"/>
          <w:szCs w:val="24"/>
          <w:lang w:val="en-US"/>
        </w:rPr>
        <w:t>–638.</w:t>
      </w:r>
    </w:p>
    <w:p xmlns:wp14="http://schemas.microsoft.com/office/word/2010/wordml" w:rsidP="5723FB78" wp14:paraId="4CB00A91" wp14:textId="0618298E">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Yang, L., 2025.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Exercise,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neuroplasticity</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 and mental health: Mechanistic insights and implications for student populations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Neuroscience and Biobehavioral Reviews</w:t>
      </w:r>
      <w:r w:rsidRPr="5723FB78" w:rsidR="49526DA6">
        <w:rPr>
          <w:rFonts w:ascii="Times New Roman" w:hAnsi="Times New Roman" w:eastAsia="Times New Roman" w:cs="Times New Roman"/>
          <w:noProof w:val="0"/>
          <w:color w:val="000000" w:themeColor="text1" w:themeTint="FF" w:themeShade="FF"/>
          <w:sz w:val="24"/>
          <w:szCs w:val="24"/>
          <w:lang w:val="en-US"/>
        </w:rPr>
        <w:t>, 157, p.105275.</w:t>
      </w:r>
    </w:p>
    <w:p xmlns:wp14="http://schemas.microsoft.com/office/word/2010/wordml" w:rsidP="5723FB78" wp14:paraId="500025E8" wp14:textId="0512E23B">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5723FB78" w:rsidR="49526DA6">
        <w:rPr>
          <w:rFonts w:ascii="Times New Roman" w:hAnsi="Times New Roman" w:eastAsia="Times New Roman" w:cs="Times New Roman"/>
          <w:noProof w:val="0"/>
          <w:color w:val="000000" w:themeColor="text1" w:themeTint="FF" w:themeShade="FF"/>
          <w:sz w:val="24"/>
          <w:szCs w:val="24"/>
          <w:lang w:val="en-US"/>
        </w:rPr>
        <w:t xml:space="preserve">Yardley, L., Spring, B.J., Riper, H., Morrison, L.G., Crane, D.H., Curtis, K., Merchant, G.C., Naughton, F. and Blandford, A., 2016.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Understanding and promoting effective engagement with digital </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behaviour</w:t>
      </w:r>
      <w:r w:rsidRPr="5723FB78" w:rsidR="49526DA6">
        <w:rPr>
          <w:rFonts w:ascii="Times New Roman" w:hAnsi="Times New Roman" w:eastAsia="Times New Roman" w:cs="Times New Roman"/>
          <w:i w:val="1"/>
          <w:iCs w:val="1"/>
          <w:noProof w:val="0"/>
          <w:color w:val="000000" w:themeColor="text1" w:themeTint="FF" w:themeShade="FF"/>
          <w:sz w:val="24"/>
          <w:szCs w:val="24"/>
          <w:lang w:val="en-US"/>
        </w:rPr>
        <w:t xml:space="preserve"> change interventions</w:t>
      </w:r>
      <w:r w:rsidRPr="5723FB78" w:rsidR="49526DA6">
        <w:rPr>
          <w:rFonts w:ascii="Times New Roman" w:hAnsi="Times New Roman" w:eastAsia="Times New Roman" w:cs="Times New Roman"/>
          <w:noProof w:val="0"/>
          <w:color w:val="000000" w:themeColor="text1" w:themeTint="FF" w:themeShade="FF"/>
          <w:sz w:val="24"/>
          <w:szCs w:val="24"/>
          <w:lang w:val="en-US"/>
        </w:rPr>
        <w:t xml:space="preserve">. </w:t>
      </w:r>
      <w:r w:rsidRPr="5723FB78" w:rsidR="49526DA6">
        <w:rPr>
          <w:rFonts w:ascii="Times New Roman" w:hAnsi="Times New Roman" w:eastAsia="Times New Roman" w:cs="Times New Roman"/>
          <w:b w:val="1"/>
          <w:bCs w:val="1"/>
          <w:noProof w:val="0"/>
          <w:color w:val="000000" w:themeColor="text1" w:themeTint="FF" w:themeShade="FF"/>
          <w:sz w:val="24"/>
          <w:szCs w:val="24"/>
          <w:lang w:val="en-US"/>
        </w:rPr>
        <w:t>American Journal of Preventive Medicine</w:t>
      </w:r>
      <w:r w:rsidRPr="5723FB78" w:rsidR="49526DA6">
        <w:rPr>
          <w:rFonts w:ascii="Times New Roman" w:hAnsi="Times New Roman" w:eastAsia="Times New Roman" w:cs="Times New Roman"/>
          <w:noProof w:val="0"/>
          <w:color w:val="000000" w:themeColor="text1" w:themeTint="FF" w:themeShade="FF"/>
          <w:sz w:val="24"/>
          <w:szCs w:val="24"/>
          <w:lang w:val="en-US"/>
        </w:rPr>
        <w:t>, 51(5), pp.833–842.</w:t>
      </w:r>
    </w:p>
    <w:p xmlns:wp14="http://schemas.microsoft.com/office/word/2010/wordml" w:rsidP="5723FB78" wp14:paraId="5455CF86" wp14:textId="13F5EF1E">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5723FB78" wp14:paraId="642816E1" wp14:textId="31C84F1C">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5723FB78" wp14:paraId="32D25C07" wp14:textId="7E2F00FD">
      <w:pPr>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5723FB78" wp14:paraId="6EB3278A" wp14:textId="4365EB3B">
      <w:pPr>
        <w:spacing w:line="480" w:lineRule="auto"/>
        <w:rPr>
          <w:rFonts w:ascii="Times New Roman" w:hAnsi="Times New Roman" w:eastAsia="Times New Roman" w:cs="Times New Roman"/>
          <w:noProof w:val="0"/>
          <w:sz w:val="24"/>
          <w:szCs w:val="24"/>
          <w:lang w:val="en-GB"/>
        </w:rPr>
      </w:pPr>
    </w:p>
    <w:p xmlns:wp14="http://schemas.microsoft.com/office/word/2010/wordml" w:rsidP="5723FB78" wp14:paraId="5E5787A5" wp14:textId="4AEC8B77">
      <w:pPr>
        <w:spacing w:line="480" w:lineRule="auto"/>
        <w:rPr>
          <w:rFonts w:ascii="Times New Roman" w:hAnsi="Times New Roman" w:eastAsia="Times New Roman" w:cs="Times New Roman"/>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6A4EDA"/>
    <w:rsid w:val="02B9991F"/>
    <w:rsid w:val="038BC6C7"/>
    <w:rsid w:val="06BD6289"/>
    <w:rsid w:val="07D9F12C"/>
    <w:rsid w:val="0A96DFE0"/>
    <w:rsid w:val="0BB96C47"/>
    <w:rsid w:val="0D68A20E"/>
    <w:rsid w:val="0F51D214"/>
    <w:rsid w:val="104F0A5E"/>
    <w:rsid w:val="11E340EF"/>
    <w:rsid w:val="149D1072"/>
    <w:rsid w:val="1680A26E"/>
    <w:rsid w:val="19D47EA3"/>
    <w:rsid w:val="19E5957E"/>
    <w:rsid w:val="1A2B7984"/>
    <w:rsid w:val="1CEFF1E1"/>
    <w:rsid w:val="1E5FD973"/>
    <w:rsid w:val="1FFA37E6"/>
    <w:rsid w:val="2286536B"/>
    <w:rsid w:val="23E0B7AD"/>
    <w:rsid w:val="26161577"/>
    <w:rsid w:val="27BC4171"/>
    <w:rsid w:val="2828294A"/>
    <w:rsid w:val="283616DE"/>
    <w:rsid w:val="2918C184"/>
    <w:rsid w:val="29790F7F"/>
    <w:rsid w:val="2A53BB94"/>
    <w:rsid w:val="2E6A4EDA"/>
    <w:rsid w:val="32FBDDE6"/>
    <w:rsid w:val="3811F8E8"/>
    <w:rsid w:val="3A54EBBE"/>
    <w:rsid w:val="4227E276"/>
    <w:rsid w:val="427D4610"/>
    <w:rsid w:val="43A90FA4"/>
    <w:rsid w:val="46D371BE"/>
    <w:rsid w:val="472322FA"/>
    <w:rsid w:val="478D280A"/>
    <w:rsid w:val="49526DA6"/>
    <w:rsid w:val="49D84B16"/>
    <w:rsid w:val="4CE7096B"/>
    <w:rsid w:val="4D4228EF"/>
    <w:rsid w:val="4DA16540"/>
    <w:rsid w:val="4F5B70D0"/>
    <w:rsid w:val="4F9AFA00"/>
    <w:rsid w:val="50CEE76B"/>
    <w:rsid w:val="50EE9EF4"/>
    <w:rsid w:val="5304EA24"/>
    <w:rsid w:val="558833A8"/>
    <w:rsid w:val="5723FB78"/>
    <w:rsid w:val="576E56E3"/>
    <w:rsid w:val="57B6912C"/>
    <w:rsid w:val="5EBB0195"/>
    <w:rsid w:val="64DFB414"/>
    <w:rsid w:val="663D1F12"/>
    <w:rsid w:val="69D243AD"/>
    <w:rsid w:val="7127C3A4"/>
    <w:rsid w:val="713590B8"/>
    <w:rsid w:val="73A8470E"/>
    <w:rsid w:val="73C4F58F"/>
    <w:rsid w:val="77CB08A7"/>
    <w:rsid w:val="7C8EF0C1"/>
    <w:rsid w:val="7CA0546B"/>
    <w:rsid w:val="7F1DAB9A"/>
    <w:rsid w:val="7F6070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A4EDA"/>
  <w15:chartTrackingRefBased/>
  <w15:docId w15:val="{DE4D23FF-CFB2-4384-98EF-EEEB914B5F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Dylan Davies (2310228)</dc:creator>
  <keywords/>
  <dc:description/>
  <lastModifiedBy>Dylan Davies (2310228)</lastModifiedBy>
  <revision>2</revision>
  <dcterms:created xsi:type="dcterms:W3CDTF">2026-01-11T22:55:05.1310160Z</dcterms:created>
  <dcterms:modified xsi:type="dcterms:W3CDTF">2026-01-11T23:20:39.5353785Z</dcterms:modified>
</coreProperties>
</file>