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00EA99" w14:textId="77777777" w:rsidR="000F4709" w:rsidRPr="000B587A" w:rsidRDefault="000F4709" w:rsidP="000B587A">
      <w:pPr>
        <w:tabs>
          <w:tab w:val="left" w:pos="720"/>
          <w:tab w:val="left" w:pos="1440"/>
          <w:tab w:val="left" w:pos="2160"/>
          <w:tab w:val="left" w:pos="2880"/>
          <w:tab w:val="left" w:pos="3600"/>
          <w:tab w:val="center" w:pos="4513"/>
        </w:tabs>
        <w:spacing w:line="360" w:lineRule="auto"/>
        <w:rPr>
          <w:rFonts w:ascii="Arial" w:eastAsia="Times New Roman" w:hAnsi="Arial" w:cs="Arial"/>
          <w:b/>
          <w:kern w:val="0"/>
          <w:sz w:val="22"/>
          <w:szCs w:val="22"/>
          <w:lang w:eastAsia="en-GB"/>
          <w14:ligatures w14:val="none"/>
        </w:rPr>
      </w:pPr>
      <w:r w:rsidRPr="000B587A">
        <w:rPr>
          <w:rFonts w:ascii="Arial" w:eastAsia="Times New Roman" w:hAnsi="Arial" w:cs="Arial"/>
          <w:b/>
          <w:kern w:val="0"/>
          <w:sz w:val="22"/>
          <w:szCs w:val="22"/>
          <w:lang w:eastAsia="en-GB"/>
          <w14:ligatures w14:val="none"/>
        </w:rPr>
        <w:t xml:space="preserve">Student: </w:t>
      </w:r>
      <w:r w:rsidRPr="000B587A">
        <w:rPr>
          <w:rFonts w:ascii="Arial" w:eastAsia="Times New Roman" w:hAnsi="Arial" w:cs="Arial"/>
          <w:b/>
          <w:kern w:val="0"/>
          <w:sz w:val="22"/>
          <w:szCs w:val="22"/>
          <w:lang w:eastAsia="en-GB"/>
          <w14:ligatures w14:val="none"/>
        </w:rPr>
        <w:tab/>
      </w:r>
      <w:r w:rsidRPr="000B587A">
        <w:rPr>
          <w:rFonts w:ascii="Arial" w:eastAsia="Times New Roman" w:hAnsi="Arial" w:cs="Arial"/>
          <w:b/>
          <w:kern w:val="0"/>
          <w:sz w:val="22"/>
          <w:szCs w:val="22"/>
          <w:lang w:eastAsia="en-GB"/>
          <w14:ligatures w14:val="none"/>
        </w:rPr>
        <w:tab/>
        <w:t>Salma Begum</w:t>
      </w:r>
      <w:r w:rsidRPr="000B587A">
        <w:rPr>
          <w:rFonts w:ascii="Arial" w:eastAsia="Times New Roman" w:hAnsi="Arial" w:cs="Arial"/>
          <w:b/>
          <w:kern w:val="0"/>
          <w:sz w:val="22"/>
          <w:szCs w:val="22"/>
          <w:lang w:eastAsia="en-GB"/>
          <w14:ligatures w14:val="none"/>
        </w:rPr>
        <w:tab/>
      </w:r>
    </w:p>
    <w:p w14:paraId="4434CB25" w14:textId="77777777" w:rsidR="000F4709" w:rsidRPr="000B587A" w:rsidRDefault="000F4709" w:rsidP="000B587A">
      <w:pPr>
        <w:tabs>
          <w:tab w:val="left" w:pos="720"/>
          <w:tab w:val="left" w:pos="1440"/>
          <w:tab w:val="left" w:pos="2160"/>
          <w:tab w:val="left" w:pos="2880"/>
          <w:tab w:val="left" w:pos="3600"/>
          <w:tab w:val="center" w:pos="4513"/>
        </w:tabs>
        <w:spacing w:line="360" w:lineRule="auto"/>
        <w:rPr>
          <w:rFonts w:ascii="Arial" w:eastAsia="Times New Roman" w:hAnsi="Arial" w:cs="Arial"/>
          <w:b/>
          <w:kern w:val="0"/>
          <w:sz w:val="22"/>
          <w:szCs w:val="22"/>
          <w:lang w:eastAsia="en-GB"/>
          <w14:ligatures w14:val="none"/>
        </w:rPr>
      </w:pPr>
      <w:r w:rsidRPr="000B587A">
        <w:rPr>
          <w:rFonts w:ascii="Arial" w:eastAsia="Times New Roman" w:hAnsi="Arial" w:cs="Arial"/>
          <w:b/>
          <w:kern w:val="0"/>
          <w:sz w:val="22"/>
          <w:szCs w:val="22"/>
          <w:lang w:eastAsia="en-GB"/>
          <w14:ligatures w14:val="none"/>
        </w:rPr>
        <w:t xml:space="preserve">ID: </w:t>
      </w:r>
      <w:r w:rsidRPr="000B587A">
        <w:rPr>
          <w:rFonts w:ascii="Arial" w:eastAsia="Times New Roman" w:hAnsi="Arial" w:cs="Arial"/>
          <w:b/>
          <w:kern w:val="0"/>
          <w:sz w:val="22"/>
          <w:szCs w:val="22"/>
          <w:lang w:eastAsia="en-GB"/>
          <w14:ligatures w14:val="none"/>
        </w:rPr>
        <w:tab/>
      </w:r>
      <w:r w:rsidRPr="000B587A">
        <w:rPr>
          <w:rFonts w:ascii="Arial" w:eastAsia="Times New Roman" w:hAnsi="Arial" w:cs="Arial"/>
          <w:b/>
          <w:kern w:val="0"/>
          <w:sz w:val="22"/>
          <w:szCs w:val="22"/>
          <w:lang w:eastAsia="en-GB"/>
          <w14:ligatures w14:val="none"/>
        </w:rPr>
        <w:tab/>
      </w:r>
      <w:r w:rsidRPr="000B587A">
        <w:rPr>
          <w:rFonts w:ascii="Arial" w:eastAsia="Times New Roman" w:hAnsi="Arial" w:cs="Arial"/>
          <w:b/>
          <w:kern w:val="0"/>
          <w:sz w:val="22"/>
          <w:szCs w:val="22"/>
          <w:lang w:eastAsia="en-GB"/>
          <w14:ligatures w14:val="none"/>
        </w:rPr>
        <w:tab/>
        <w:t>2409645</w:t>
      </w:r>
    </w:p>
    <w:p w14:paraId="386222EF" w14:textId="77777777" w:rsidR="000F4709" w:rsidRPr="000B587A" w:rsidRDefault="000F4709" w:rsidP="000B587A">
      <w:pPr>
        <w:spacing w:line="360" w:lineRule="auto"/>
        <w:rPr>
          <w:rFonts w:ascii="Arial" w:eastAsia="Times New Roman" w:hAnsi="Arial" w:cs="Arial"/>
          <w:b/>
          <w:kern w:val="0"/>
          <w:sz w:val="22"/>
          <w:szCs w:val="22"/>
          <w:lang w:eastAsia="en-GB"/>
          <w14:ligatures w14:val="none"/>
        </w:rPr>
      </w:pPr>
      <w:r w:rsidRPr="000B587A">
        <w:rPr>
          <w:rFonts w:ascii="Arial" w:eastAsia="Times New Roman" w:hAnsi="Arial" w:cs="Arial"/>
          <w:b/>
          <w:kern w:val="0"/>
          <w:sz w:val="22"/>
          <w:szCs w:val="22"/>
          <w:lang w:eastAsia="en-GB"/>
          <w14:ligatures w14:val="none"/>
        </w:rPr>
        <w:t>Programme:</w:t>
      </w:r>
      <w:r w:rsidRPr="000B587A">
        <w:rPr>
          <w:rFonts w:ascii="Arial" w:eastAsia="Times New Roman" w:hAnsi="Arial" w:cs="Arial"/>
          <w:b/>
          <w:kern w:val="0"/>
          <w:sz w:val="22"/>
          <w:szCs w:val="22"/>
          <w:lang w:eastAsia="en-GB"/>
          <w14:ligatures w14:val="none"/>
        </w:rPr>
        <w:tab/>
      </w:r>
      <w:r w:rsidRPr="000B587A">
        <w:rPr>
          <w:rFonts w:ascii="Arial" w:eastAsia="Times New Roman" w:hAnsi="Arial" w:cs="Arial"/>
          <w:b/>
          <w:kern w:val="0"/>
          <w:sz w:val="22"/>
          <w:szCs w:val="22"/>
          <w:lang w:eastAsia="en-GB"/>
          <w14:ligatures w14:val="none"/>
        </w:rPr>
        <w:tab/>
        <w:t>BSc Health and Social Care</w:t>
      </w:r>
    </w:p>
    <w:p w14:paraId="27E2F228" w14:textId="7CDB821E" w:rsidR="000F4709" w:rsidRPr="000B587A" w:rsidRDefault="000F4709" w:rsidP="000B587A">
      <w:pPr>
        <w:spacing w:before="120" w:after="120" w:line="360" w:lineRule="auto"/>
        <w:rPr>
          <w:rFonts w:ascii="Arial" w:hAnsi="Arial" w:cs="Arial"/>
          <w:b/>
          <w:sz w:val="22"/>
          <w:szCs w:val="22"/>
        </w:rPr>
      </w:pPr>
      <w:r w:rsidRPr="000B587A">
        <w:rPr>
          <w:rFonts w:ascii="Arial" w:hAnsi="Arial" w:cs="Arial"/>
          <w:b/>
          <w:sz w:val="22"/>
          <w:szCs w:val="22"/>
        </w:rPr>
        <w:t>Module:</w:t>
      </w:r>
      <w:r w:rsidRPr="000B587A">
        <w:rPr>
          <w:rFonts w:ascii="Arial" w:hAnsi="Arial" w:cs="Arial"/>
          <w:b/>
          <w:sz w:val="22"/>
          <w:szCs w:val="22"/>
        </w:rPr>
        <w:tab/>
      </w:r>
      <w:r w:rsidRPr="000B587A">
        <w:rPr>
          <w:rFonts w:ascii="Arial" w:hAnsi="Arial" w:cs="Arial"/>
          <w:b/>
          <w:sz w:val="22"/>
          <w:szCs w:val="22"/>
        </w:rPr>
        <w:tab/>
      </w:r>
      <w:r w:rsidR="000F3A59" w:rsidRPr="000B587A">
        <w:rPr>
          <w:rFonts w:ascii="Arial" w:hAnsi="Arial" w:cs="Arial"/>
          <w:b/>
          <w:sz w:val="22"/>
          <w:szCs w:val="22"/>
        </w:rPr>
        <w:t>Introduction to Physiology</w:t>
      </w:r>
    </w:p>
    <w:p w14:paraId="5B88CB5A" w14:textId="57148AFF" w:rsidR="00587FD6" w:rsidRDefault="000F4709" w:rsidP="000B587A">
      <w:pPr>
        <w:spacing w:line="360" w:lineRule="auto"/>
        <w:rPr>
          <w:rFonts w:ascii="Arial" w:eastAsia="Times New Roman" w:hAnsi="Arial" w:cs="Arial"/>
          <w:b/>
          <w:kern w:val="0"/>
          <w:sz w:val="22"/>
          <w:szCs w:val="22"/>
          <w:lang w:eastAsia="en-GB"/>
          <w14:ligatures w14:val="none"/>
        </w:rPr>
      </w:pPr>
      <w:r w:rsidRPr="000B587A">
        <w:rPr>
          <w:rFonts w:ascii="Arial" w:eastAsia="Times New Roman" w:hAnsi="Arial" w:cs="Arial"/>
          <w:b/>
          <w:kern w:val="0"/>
          <w:sz w:val="22"/>
          <w:szCs w:val="22"/>
          <w:lang w:eastAsia="en-GB"/>
          <w14:ligatures w14:val="none"/>
        </w:rPr>
        <w:t>Module Code:</w:t>
      </w:r>
      <w:r w:rsidRPr="000B587A">
        <w:rPr>
          <w:rFonts w:ascii="Arial" w:eastAsia="Times New Roman" w:hAnsi="Arial" w:cs="Arial"/>
          <w:b/>
          <w:kern w:val="0"/>
          <w:sz w:val="22"/>
          <w:szCs w:val="22"/>
          <w:lang w:eastAsia="en-GB"/>
          <w14:ligatures w14:val="none"/>
        </w:rPr>
        <w:tab/>
      </w:r>
      <w:r w:rsidR="000F18D8" w:rsidRPr="000B587A">
        <w:rPr>
          <w:rFonts w:ascii="Arial" w:eastAsia="Times New Roman" w:hAnsi="Arial" w:cs="Arial"/>
          <w:b/>
          <w:kern w:val="0"/>
          <w:sz w:val="22"/>
          <w:szCs w:val="22"/>
          <w:lang w:eastAsia="en-GB"/>
          <w14:ligatures w14:val="none"/>
        </w:rPr>
        <w:t>BMHP5023 C2</w:t>
      </w:r>
    </w:p>
    <w:p w14:paraId="732AA72A" w14:textId="0AAF5EA6" w:rsidR="003F121C" w:rsidRPr="000B587A" w:rsidRDefault="003F121C" w:rsidP="000B587A">
      <w:pPr>
        <w:spacing w:line="360" w:lineRule="auto"/>
        <w:rPr>
          <w:rFonts w:ascii="Arial" w:eastAsia="Times New Roman" w:hAnsi="Arial" w:cs="Arial"/>
          <w:kern w:val="0"/>
          <w:sz w:val="22"/>
          <w:szCs w:val="22"/>
          <w:u w:val="single"/>
          <w:lang w:eastAsia="en-GB"/>
          <w14:ligatures w14:val="none"/>
        </w:rPr>
      </w:pPr>
      <w:r>
        <w:rPr>
          <w:rFonts w:ascii="Arial" w:eastAsia="Times New Roman" w:hAnsi="Arial" w:cs="Arial"/>
          <w:b/>
          <w:kern w:val="0"/>
          <w:sz w:val="22"/>
          <w:szCs w:val="22"/>
          <w:lang w:eastAsia="en-GB"/>
          <w14:ligatures w14:val="none"/>
        </w:rPr>
        <w:t>Lecturer:</w:t>
      </w:r>
      <w:r>
        <w:rPr>
          <w:rFonts w:ascii="Arial" w:eastAsia="Times New Roman" w:hAnsi="Arial" w:cs="Arial"/>
          <w:b/>
          <w:kern w:val="0"/>
          <w:sz w:val="22"/>
          <w:szCs w:val="22"/>
          <w:lang w:eastAsia="en-GB"/>
          <w14:ligatures w14:val="none"/>
        </w:rPr>
        <w:tab/>
      </w:r>
      <w:r>
        <w:rPr>
          <w:rFonts w:ascii="Arial" w:eastAsia="Times New Roman" w:hAnsi="Arial" w:cs="Arial"/>
          <w:b/>
          <w:kern w:val="0"/>
          <w:sz w:val="22"/>
          <w:szCs w:val="22"/>
          <w:lang w:eastAsia="en-GB"/>
          <w14:ligatures w14:val="none"/>
        </w:rPr>
        <w:tab/>
      </w:r>
      <w:r w:rsidR="00A778A8" w:rsidRPr="00A778A8">
        <w:rPr>
          <w:rFonts w:ascii="Arial" w:eastAsia="Times New Roman" w:hAnsi="Arial" w:cs="Arial"/>
          <w:b/>
          <w:kern w:val="0"/>
          <w:sz w:val="22"/>
          <w:szCs w:val="22"/>
          <w:lang w:eastAsia="en-GB"/>
          <w14:ligatures w14:val="none"/>
        </w:rPr>
        <w:t xml:space="preserve">Robert </w:t>
      </w:r>
      <w:proofErr w:type="spellStart"/>
      <w:r w:rsidR="00A778A8" w:rsidRPr="00A778A8">
        <w:rPr>
          <w:rFonts w:ascii="Arial" w:eastAsia="Times New Roman" w:hAnsi="Arial" w:cs="Arial"/>
          <w:b/>
          <w:kern w:val="0"/>
          <w:sz w:val="22"/>
          <w:szCs w:val="22"/>
          <w:lang w:eastAsia="en-GB"/>
          <w14:ligatures w14:val="none"/>
        </w:rPr>
        <w:t>Nartowski</w:t>
      </w:r>
      <w:proofErr w:type="spellEnd"/>
      <w:r>
        <w:rPr>
          <w:rFonts w:ascii="Arial" w:eastAsia="Times New Roman" w:hAnsi="Arial" w:cs="Arial"/>
          <w:b/>
          <w:kern w:val="0"/>
          <w:sz w:val="22"/>
          <w:szCs w:val="22"/>
          <w:lang w:eastAsia="en-GB"/>
          <w14:ligatures w14:val="none"/>
        </w:rPr>
        <w:tab/>
      </w:r>
      <w:r>
        <w:rPr>
          <w:rFonts w:ascii="Arial" w:eastAsia="Times New Roman" w:hAnsi="Arial" w:cs="Arial"/>
          <w:b/>
          <w:kern w:val="0"/>
          <w:sz w:val="22"/>
          <w:szCs w:val="22"/>
          <w:lang w:eastAsia="en-GB"/>
          <w14:ligatures w14:val="none"/>
        </w:rPr>
        <w:tab/>
      </w:r>
    </w:p>
    <w:p w14:paraId="28BCC694" w14:textId="28CEBAB1" w:rsidR="003B4BE1" w:rsidRDefault="003231F0" w:rsidP="003B4BE1">
      <w:pPr>
        <w:pBdr>
          <w:bottom w:val="single" w:sz="4" w:space="1" w:color="auto"/>
        </w:pBdr>
        <w:spacing w:line="360" w:lineRule="auto"/>
        <w:ind w:left="2160" w:hanging="2160"/>
        <w:rPr>
          <w:rFonts w:ascii="Arial" w:hAnsi="Arial" w:cs="Arial"/>
          <w:b/>
          <w:bCs/>
          <w:sz w:val="22"/>
          <w:szCs w:val="22"/>
        </w:rPr>
      </w:pPr>
      <w:r w:rsidRPr="000B587A">
        <w:rPr>
          <w:rFonts w:ascii="Arial" w:hAnsi="Arial" w:cs="Arial"/>
          <w:b/>
          <w:bCs/>
          <w:sz w:val="22"/>
          <w:szCs w:val="22"/>
        </w:rPr>
        <w:t>Title:</w:t>
      </w:r>
      <w:r w:rsidRPr="000B587A">
        <w:rPr>
          <w:rFonts w:ascii="Arial" w:hAnsi="Arial" w:cs="Arial"/>
          <w:b/>
          <w:bCs/>
          <w:sz w:val="22"/>
          <w:szCs w:val="22"/>
        </w:rPr>
        <w:tab/>
      </w:r>
      <w:r w:rsidR="00C6778B" w:rsidRPr="000B587A">
        <w:rPr>
          <w:rFonts w:ascii="Arial" w:hAnsi="Arial" w:cs="Arial"/>
          <w:b/>
          <w:bCs/>
          <w:sz w:val="22"/>
          <w:szCs w:val="22"/>
        </w:rPr>
        <w:t>Understanding and Managing Type 2 Diabetes: A Patient Education Report</w:t>
      </w:r>
    </w:p>
    <w:p w14:paraId="3D59A23F" w14:textId="77777777" w:rsidR="003B4BE1" w:rsidRDefault="003B4BE1" w:rsidP="000B587A">
      <w:pPr>
        <w:spacing w:line="360" w:lineRule="auto"/>
        <w:rPr>
          <w:rFonts w:ascii="Arial" w:hAnsi="Arial" w:cs="Arial"/>
          <w:b/>
          <w:bCs/>
          <w:sz w:val="22"/>
          <w:szCs w:val="22"/>
        </w:rPr>
      </w:pPr>
    </w:p>
    <w:p w14:paraId="396D5E93" w14:textId="1DDCDEBC" w:rsidR="000B587A" w:rsidRPr="000B587A" w:rsidRDefault="000B587A" w:rsidP="000B587A">
      <w:pPr>
        <w:spacing w:line="360" w:lineRule="auto"/>
        <w:rPr>
          <w:rFonts w:ascii="Arial" w:hAnsi="Arial" w:cs="Arial"/>
          <w:b/>
          <w:bCs/>
          <w:sz w:val="22"/>
          <w:szCs w:val="22"/>
        </w:rPr>
      </w:pPr>
      <w:r w:rsidRPr="000B587A">
        <w:rPr>
          <w:rFonts w:ascii="Arial" w:hAnsi="Arial" w:cs="Arial"/>
          <w:b/>
          <w:bCs/>
          <w:sz w:val="22"/>
          <w:szCs w:val="22"/>
        </w:rPr>
        <w:t>a) Introduction</w:t>
      </w:r>
    </w:p>
    <w:p w14:paraId="33D1FFC0"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Diabetes mellitus is a chronic metabolic disorder characterised by persistent hyperglycaemia, resulting from defects in insulin secretion, insulin action, or both (World Health Organization, 2023). It represents one of the most significant public health challenges of the 21st century, with an estimated 537 million adults affected globally, a number projected to rise to 783 million by 2045 (International Diabetes Federation, 2021). The disease contributes substantially to morbidity, mortality, and healthcare costs worldwide. In the United Kingdom (UK), the prevalence of diabetes has doubled in the past two decades, with the NHS spending approximately 10% of its annual budget on diabetes care and its complications (Diabetes UK, 2024).</w:t>
      </w:r>
    </w:p>
    <w:p w14:paraId="1A4D3421"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Approximately 90% of individuals with diabetes in the UK are diagnosed with Type 2 diabetes mellitus (T2DM)—a condition strongly associated with modifiable lifestyle factors such as obesity, poor diet, smoking, and physical inactivity (NHS, 2023a). T2DM develops when body tissues become resistant to insulin or when pancreatic beta (β) cells fail to produce sufficient insulin to maintain normal blood glucose levels (NICE, 2022). Over time, this leads to chronic hyperglycaemia, resulting in both microvascular complications (retinopathy, nephropathy, neuropathy) and macrovascular complications (coronary artery disease, stroke, and peripheral vascular disease) (Diabetes UK, 2024).</w:t>
      </w:r>
    </w:p>
    <w:p w14:paraId="1ED5A57D"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Risk factors for T2DM include being overweight, increasing age, family history, South Asian or African-Caribbean ethnicity, hypertension, and sedentary behaviour (NHS, 2023b). Social determinants of health, including deprivation and limited access to healthy foods, also play a crucial role.</w:t>
      </w:r>
    </w:p>
    <w:p w14:paraId="053A7B8A"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This report aims to help patients and healthcare professionals understand the physiological regulation of blood glucose, the significance of glucose and oxygen in cellular metabolism, and the importance of monitoring and recording blood sugar levels. It also offers evidence-based lifestyle recommendations—covering diet, physical activity, smoking cessation, and psychosocial wellbeing—to promote effective self-management and prevent long-term complications.</w:t>
      </w:r>
    </w:p>
    <w:p w14:paraId="2FA2096B" w14:textId="77777777" w:rsidR="000B587A" w:rsidRPr="000B587A" w:rsidRDefault="00000000" w:rsidP="000B587A">
      <w:pPr>
        <w:jc w:val="both"/>
        <w:rPr>
          <w:rFonts w:ascii="Arial" w:hAnsi="Arial" w:cs="Arial"/>
          <w:sz w:val="22"/>
          <w:szCs w:val="22"/>
        </w:rPr>
      </w:pPr>
      <w:r>
        <w:rPr>
          <w:rFonts w:ascii="Arial" w:hAnsi="Arial" w:cs="Arial"/>
          <w:sz w:val="22"/>
          <w:szCs w:val="22"/>
        </w:rPr>
        <w:lastRenderedPageBreak/>
        <w:pict w14:anchorId="72055864">
          <v:rect id="_x0000_i1025" style="width:0;height:1.5pt" o:hralign="center" o:hrstd="t" o:hr="t" fillcolor="#a0a0a0" stroked="f"/>
        </w:pict>
      </w:r>
    </w:p>
    <w:p w14:paraId="76500EC2" w14:textId="19290923"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b) Regulation of Blood Sugar Levels</w:t>
      </w:r>
    </w:p>
    <w:p w14:paraId="78530DDA"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Maintaining stable blood glucose levels is vital for normal bodily function and cellular homeostasis. Glucose serves as the body’s principal energy substrate, particularly for the brain, which depends almost entirely on glucose for fuel (Sherwood, 2016). The body regulates glucose concentration through a complex hormonal system involving the pancreas, liver, muscles, and endocrine system.</w:t>
      </w:r>
    </w:p>
    <w:p w14:paraId="25475B42"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After a carbohydrate-containing meal, glucose from digested food enters the bloodstream, causing blood glucose levels to rise. This increase triggers β-cells of the pancreatic islets (Islets of Langerhans) to release insulin, a peptide hormone that facilitates glucose uptake into muscle and adipose cells via glucose transporter proteins (GLUT4). Insulin also promotes glycogen synthesis in the liver and skeletal muscles, and inhibits hepatic glucose production, thus reducing blood glucose concentration (Guyton and Hall, 2020).</w:t>
      </w:r>
    </w:p>
    <w:p w14:paraId="3D84BE94"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When blood glucose levels fall, as between meals or during fasting, α-cells of the pancreas secrete glucagon, which stimulates glycogenolysis (the breakdown of glycogen into glucose) and gluconeogenesis (the synthesis of glucose from non-carbohydrate substrates such as amino acids) in the liver. These processes restore glucose levels to normal, a feedback mechanism known as negative feedback (NHS, 2023a).</w:t>
      </w:r>
    </w:p>
    <w:p w14:paraId="2890182C"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In individuals with Type 2 diabetes, this finely tuned mechanism is disrupted. Cells become insulin-resistant, meaning insulin is less effective at enabling glucose entry into cells. In the early stages, the pancreas compensates by producing more insulin, but over time, β-cell exhaustion leads to insulin deficiency and sustained hyperglycaemia (NICE, 2022).</w:t>
      </w:r>
    </w:p>
    <w:p w14:paraId="3AFC12BF"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Uncontrolled hyperglycaemia damages small blood vessels and nerves, leading to complications such as retinopathy, nephropathy, and neuropathy. Larger blood vessels also become vulnerable to atherosclerosis, increasing the risk of heart attacks and strokes (Diabetes UK, 2024). Therefore, understanding the physiological basis of glucose regulation reinforces the need for careful lifestyle management and regular monitoring to maintain metabolic balance and prevent complications.</w:t>
      </w:r>
    </w:p>
    <w:p w14:paraId="7367FD27" w14:textId="77777777" w:rsidR="000B587A" w:rsidRPr="000B587A" w:rsidRDefault="00000000" w:rsidP="000B587A">
      <w:pPr>
        <w:jc w:val="both"/>
        <w:rPr>
          <w:rFonts w:ascii="Arial" w:hAnsi="Arial" w:cs="Arial"/>
          <w:sz w:val="22"/>
          <w:szCs w:val="22"/>
        </w:rPr>
      </w:pPr>
      <w:r>
        <w:rPr>
          <w:rFonts w:ascii="Arial" w:hAnsi="Arial" w:cs="Arial"/>
          <w:sz w:val="22"/>
          <w:szCs w:val="22"/>
        </w:rPr>
        <w:pict w14:anchorId="521CF6DA">
          <v:rect id="_x0000_i1026" style="width:0;height:1.5pt" o:hralign="center" o:hrstd="t" o:hr="t" fillcolor="#a0a0a0" stroked="f"/>
        </w:pict>
      </w:r>
    </w:p>
    <w:p w14:paraId="7767C437"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c) Oxygen and Glucose in Cellular Metabolism</w:t>
      </w:r>
    </w:p>
    <w:p w14:paraId="62DF6658"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Glucose and oxygen are central to cellular respiration, the metabolic process that generates adenosine triphosphate (ATP), the body’s universal energy currency. Cellular respiration occurs in three interconnected stages: glycolysis, the Krebs cycle, and the electron transport chain (ETC) (Marieb and Hoehn, 2019).</w:t>
      </w:r>
    </w:p>
    <w:p w14:paraId="2F661B41" w14:textId="77777777" w:rsidR="000B587A" w:rsidRPr="000B587A" w:rsidRDefault="000B587A" w:rsidP="000B587A">
      <w:pPr>
        <w:numPr>
          <w:ilvl w:val="0"/>
          <w:numId w:val="4"/>
        </w:numPr>
        <w:jc w:val="both"/>
        <w:rPr>
          <w:rFonts w:ascii="Arial" w:hAnsi="Arial" w:cs="Arial"/>
          <w:sz w:val="22"/>
          <w:szCs w:val="22"/>
        </w:rPr>
      </w:pPr>
      <w:r w:rsidRPr="000B587A">
        <w:rPr>
          <w:rFonts w:ascii="Arial" w:hAnsi="Arial" w:cs="Arial"/>
          <w:sz w:val="22"/>
          <w:szCs w:val="22"/>
        </w:rPr>
        <w:t>Glycolysis: Occurs in the cytoplasm, where one molecule of glucose (C</w:t>
      </w:r>
      <w:r w:rsidRPr="000B587A">
        <w:rPr>
          <w:rFonts w:ascii="Cambria Math" w:hAnsi="Cambria Math" w:cs="Cambria Math"/>
          <w:sz w:val="22"/>
          <w:szCs w:val="22"/>
        </w:rPr>
        <w:t>₆</w:t>
      </w:r>
      <w:r w:rsidRPr="000B587A">
        <w:rPr>
          <w:rFonts w:ascii="Arial" w:hAnsi="Arial" w:cs="Arial"/>
          <w:sz w:val="22"/>
          <w:szCs w:val="22"/>
        </w:rPr>
        <w:t>H</w:t>
      </w:r>
      <w:r w:rsidRPr="000B587A">
        <w:rPr>
          <w:rFonts w:ascii="Cambria Math" w:hAnsi="Cambria Math" w:cs="Cambria Math"/>
          <w:sz w:val="22"/>
          <w:szCs w:val="22"/>
        </w:rPr>
        <w:t>₁₂</w:t>
      </w:r>
      <w:r w:rsidRPr="000B587A">
        <w:rPr>
          <w:rFonts w:ascii="Arial" w:hAnsi="Arial" w:cs="Arial"/>
          <w:sz w:val="22"/>
          <w:szCs w:val="22"/>
        </w:rPr>
        <w:t>O</w:t>
      </w:r>
      <w:r w:rsidRPr="000B587A">
        <w:rPr>
          <w:rFonts w:ascii="Cambria Math" w:hAnsi="Cambria Math" w:cs="Cambria Math"/>
          <w:sz w:val="22"/>
          <w:szCs w:val="22"/>
        </w:rPr>
        <w:t>₆</w:t>
      </w:r>
      <w:r w:rsidRPr="000B587A">
        <w:rPr>
          <w:rFonts w:ascii="Arial" w:hAnsi="Arial" w:cs="Arial"/>
          <w:sz w:val="22"/>
          <w:szCs w:val="22"/>
        </w:rPr>
        <w:t>) is broken down into two molecules of pyruvate, yielding a net gain of two ATP and two NADH molecules. This process does not require oxygen.</w:t>
      </w:r>
    </w:p>
    <w:p w14:paraId="7B306BEB" w14:textId="77777777" w:rsidR="000B587A" w:rsidRPr="000B587A" w:rsidRDefault="000B587A" w:rsidP="000B587A">
      <w:pPr>
        <w:numPr>
          <w:ilvl w:val="0"/>
          <w:numId w:val="4"/>
        </w:numPr>
        <w:jc w:val="both"/>
        <w:rPr>
          <w:rFonts w:ascii="Arial" w:hAnsi="Arial" w:cs="Arial"/>
          <w:sz w:val="22"/>
          <w:szCs w:val="22"/>
        </w:rPr>
      </w:pPr>
      <w:r w:rsidRPr="000B587A">
        <w:rPr>
          <w:rFonts w:ascii="Arial" w:hAnsi="Arial" w:cs="Arial"/>
          <w:sz w:val="22"/>
          <w:szCs w:val="22"/>
        </w:rPr>
        <w:t>Krebs Cycle (Citric Acid Cycle): Takes place in the mitochondrial matrix. Pyruvate is converted to acetyl-CoA and enters the cycle, producing CO</w:t>
      </w:r>
      <w:r w:rsidRPr="000B587A">
        <w:rPr>
          <w:rFonts w:ascii="Cambria Math" w:hAnsi="Cambria Math" w:cs="Cambria Math"/>
          <w:sz w:val="22"/>
          <w:szCs w:val="22"/>
        </w:rPr>
        <w:t>₂</w:t>
      </w:r>
      <w:r w:rsidRPr="000B587A">
        <w:rPr>
          <w:rFonts w:ascii="Arial" w:hAnsi="Arial" w:cs="Arial"/>
          <w:sz w:val="22"/>
          <w:szCs w:val="22"/>
        </w:rPr>
        <w:t>, NADH, and FADH</w:t>
      </w:r>
      <w:r w:rsidRPr="000B587A">
        <w:rPr>
          <w:rFonts w:ascii="Cambria Math" w:hAnsi="Cambria Math" w:cs="Cambria Math"/>
          <w:sz w:val="22"/>
          <w:szCs w:val="22"/>
        </w:rPr>
        <w:t>₂</w:t>
      </w:r>
      <w:r w:rsidRPr="000B587A">
        <w:rPr>
          <w:rFonts w:ascii="Arial" w:hAnsi="Arial" w:cs="Arial"/>
          <w:sz w:val="22"/>
          <w:szCs w:val="22"/>
        </w:rPr>
        <w:t>.</w:t>
      </w:r>
    </w:p>
    <w:p w14:paraId="0BA91860" w14:textId="77777777" w:rsidR="000B587A" w:rsidRPr="000B587A" w:rsidRDefault="000B587A" w:rsidP="000B587A">
      <w:pPr>
        <w:numPr>
          <w:ilvl w:val="0"/>
          <w:numId w:val="4"/>
        </w:numPr>
        <w:jc w:val="both"/>
        <w:rPr>
          <w:rFonts w:ascii="Arial" w:hAnsi="Arial" w:cs="Arial"/>
          <w:sz w:val="22"/>
          <w:szCs w:val="22"/>
        </w:rPr>
      </w:pPr>
      <w:r w:rsidRPr="000B587A">
        <w:rPr>
          <w:rFonts w:ascii="Arial" w:hAnsi="Arial" w:cs="Arial"/>
          <w:sz w:val="22"/>
          <w:szCs w:val="22"/>
        </w:rPr>
        <w:t>Electron Transport Chain (ETC): Located on the inner mitochondrial membrane, where electrons from NADH and FADH</w:t>
      </w:r>
      <w:r w:rsidRPr="000B587A">
        <w:rPr>
          <w:rFonts w:ascii="Cambria Math" w:hAnsi="Cambria Math" w:cs="Cambria Math"/>
          <w:sz w:val="22"/>
          <w:szCs w:val="22"/>
        </w:rPr>
        <w:t>₂</w:t>
      </w:r>
      <w:r w:rsidRPr="000B587A">
        <w:rPr>
          <w:rFonts w:ascii="Arial" w:hAnsi="Arial" w:cs="Arial"/>
          <w:sz w:val="22"/>
          <w:szCs w:val="22"/>
        </w:rPr>
        <w:t xml:space="preserve"> are transferred through protein complexes. Oxygen </w:t>
      </w:r>
      <w:r w:rsidRPr="000B587A">
        <w:rPr>
          <w:rFonts w:ascii="Arial" w:hAnsi="Arial" w:cs="Arial"/>
          <w:sz w:val="22"/>
          <w:szCs w:val="22"/>
        </w:rPr>
        <w:lastRenderedPageBreak/>
        <w:t>acts as the final electron acceptor, combining with hydrogen to form water and generating a large yield of ATP.</w:t>
      </w:r>
    </w:p>
    <w:p w14:paraId="7118D40B" w14:textId="298F34F8" w:rsidR="000B587A" w:rsidRPr="000B587A" w:rsidRDefault="000B587A" w:rsidP="000B587A">
      <w:pPr>
        <w:rPr>
          <w:rFonts w:ascii="Arial" w:hAnsi="Arial" w:cs="Arial"/>
          <w:sz w:val="22"/>
          <w:szCs w:val="22"/>
        </w:rPr>
      </w:pPr>
      <w:r w:rsidRPr="000B587A">
        <w:rPr>
          <w:rFonts w:ascii="Arial" w:hAnsi="Arial" w:cs="Arial"/>
          <w:sz w:val="22"/>
          <w:szCs w:val="22"/>
        </w:rPr>
        <w:t>The overall equation for aerobic respiration is</w:t>
      </w:r>
      <w:r>
        <w:rPr>
          <w:rFonts w:ascii="Arial" w:hAnsi="Arial" w:cs="Arial"/>
          <w:sz w:val="22"/>
          <w:szCs w:val="22"/>
        </w:rPr>
        <w:t xml:space="preserve"> </w:t>
      </w:r>
      <w:r w:rsidRPr="000B587A">
        <w:rPr>
          <w:rFonts w:ascii="Arial" w:hAnsi="Arial" w:cs="Arial"/>
          <w:sz w:val="22"/>
          <w:szCs w:val="22"/>
        </w:rPr>
        <w:t>C</w:t>
      </w:r>
      <w:r w:rsidRPr="000B587A">
        <w:rPr>
          <w:rFonts w:ascii="Cambria Math" w:hAnsi="Cambria Math" w:cs="Cambria Math"/>
          <w:sz w:val="22"/>
          <w:szCs w:val="22"/>
        </w:rPr>
        <w:t>₆</w:t>
      </w:r>
      <w:r w:rsidRPr="000B587A">
        <w:rPr>
          <w:rFonts w:ascii="Arial" w:hAnsi="Arial" w:cs="Arial"/>
          <w:sz w:val="22"/>
          <w:szCs w:val="22"/>
        </w:rPr>
        <w:t>H</w:t>
      </w:r>
      <w:r w:rsidRPr="000B587A">
        <w:rPr>
          <w:rFonts w:ascii="Cambria Math" w:hAnsi="Cambria Math" w:cs="Cambria Math"/>
          <w:sz w:val="22"/>
          <w:szCs w:val="22"/>
        </w:rPr>
        <w:t>₁₂</w:t>
      </w:r>
      <w:r w:rsidRPr="000B587A">
        <w:rPr>
          <w:rFonts w:ascii="Arial" w:hAnsi="Arial" w:cs="Arial"/>
          <w:sz w:val="22"/>
          <w:szCs w:val="22"/>
        </w:rPr>
        <w:t>O</w:t>
      </w:r>
      <w:r w:rsidRPr="000B587A">
        <w:rPr>
          <w:rFonts w:ascii="Cambria Math" w:hAnsi="Cambria Math" w:cs="Cambria Math"/>
          <w:sz w:val="22"/>
          <w:szCs w:val="22"/>
        </w:rPr>
        <w:t>₆</w:t>
      </w:r>
      <w:r w:rsidRPr="000B587A">
        <w:rPr>
          <w:rFonts w:ascii="Arial" w:hAnsi="Arial" w:cs="Arial"/>
          <w:sz w:val="22"/>
          <w:szCs w:val="22"/>
        </w:rPr>
        <w:t xml:space="preserve"> + 6O</w:t>
      </w:r>
      <w:r w:rsidRPr="000B587A">
        <w:rPr>
          <w:rFonts w:ascii="Cambria Math" w:hAnsi="Cambria Math" w:cs="Cambria Math"/>
          <w:sz w:val="22"/>
          <w:szCs w:val="22"/>
        </w:rPr>
        <w:t>₂</w:t>
      </w:r>
      <w:r w:rsidRPr="000B587A">
        <w:rPr>
          <w:rFonts w:ascii="Arial" w:hAnsi="Arial" w:cs="Arial"/>
          <w:sz w:val="22"/>
          <w:szCs w:val="22"/>
        </w:rPr>
        <w:t xml:space="preserve"> → 6CO</w:t>
      </w:r>
      <w:r w:rsidRPr="000B587A">
        <w:rPr>
          <w:rFonts w:ascii="Cambria Math" w:hAnsi="Cambria Math" w:cs="Cambria Math"/>
          <w:sz w:val="22"/>
          <w:szCs w:val="22"/>
        </w:rPr>
        <w:t>₂</w:t>
      </w:r>
      <w:r w:rsidRPr="000B587A">
        <w:rPr>
          <w:rFonts w:ascii="Arial" w:hAnsi="Arial" w:cs="Arial"/>
          <w:sz w:val="22"/>
          <w:szCs w:val="22"/>
        </w:rPr>
        <w:t xml:space="preserve"> + 6H</w:t>
      </w:r>
      <w:r w:rsidRPr="000B587A">
        <w:rPr>
          <w:rFonts w:ascii="Cambria Math" w:hAnsi="Cambria Math" w:cs="Cambria Math"/>
          <w:sz w:val="22"/>
          <w:szCs w:val="22"/>
        </w:rPr>
        <w:t>₂</w:t>
      </w:r>
      <w:r w:rsidRPr="000B587A">
        <w:rPr>
          <w:rFonts w:ascii="Arial" w:hAnsi="Arial" w:cs="Arial"/>
          <w:sz w:val="22"/>
          <w:szCs w:val="22"/>
        </w:rPr>
        <w:t>O + Energy (ATP)</w:t>
      </w:r>
    </w:p>
    <w:p w14:paraId="608B9A89" w14:textId="382D4321" w:rsidR="000B587A" w:rsidRPr="000B587A" w:rsidRDefault="000B587A" w:rsidP="000B587A">
      <w:pPr>
        <w:jc w:val="both"/>
        <w:rPr>
          <w:rFonts w:ascii="Arial" w:hAnsi="Arial" w:cs="Arial"/>
          <w:sz w:val="22"/>
          <w:szCs w:val="22"/>
        </w:rPr>
      </w:pPr>
      <w:r w:rsidRPr="000B587A">
        <w:rPr>
          <w:rFonts w:ascii="Arial" w:hAnsi="Arial" w:cs="Arial"/>
          <w:sz w:val="22"/>
          <w:szCs w:val="22"/>
        </w:rPr>
        <w:t>This process fuels all cellular activities, including muscle contraction, nerve impulse transmission, and tissue repair. In T2DM, impaired glucose uptake due to insulin resistance leads to insufficient intracellular glucose availability, reducing ATP production. Consequently, patients often experience fatigue, weakness, and slow wound healing (Marieb and Hoehn, 2019). Conversely, chronically elevated glucose levels promote oxidative stress, were excessive free radicals damage cells and blood vessels, accelerating complications.</w:t>
      </w:r>
    </w:p>
    <w:p w14:paraId="66B47360"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Therefore, maintaining balanced oxygen and glucose levels is essential for metabolic efficiency and overall physiological stability. Regular exercise enhances mitochondrial function and oxygen utilisation, further improving insulin sensitivity and energy production.</w:t>
      </w:r>
    </w:p>
    <w:p w14:paraId="33BB2283" w14:textId="77777777" w:rsidR="000B587A" w:rsidRPr="000B587A" w:rsidRDefault="00000000" w:rsidP="000B587A">
      <w:pPr>
        <w:jc w:val="both"/>
        <w:rPr>
          <w:rFonts w:ascii="Arial" w:hAnsi="Arial" w:cs="Arial"/>
          <w:sz w:val="22"/>
          <w:szCs w:val="22"/>
        </w:rPr>
      </w:pPr>
      <w:r>
        <w:rPr>
          <w:rFonts w:ascii="Arial" w:hAnsi="Arial" w:cs="Arial"/>
          <w:sz w:val="22"/>
          <w:szCs w:val="22"/>
        </w:rPr>
        <w:pict w14:anchorId="3C36F338">
          <v:rect id="_x0000_i1027" style="width:0;height:1.5pt" o:hralign="center" o:hrstd="t" o:hr="t" fillcolor="#a0a0a0" stroked="f"/>
        </w:pict>
      </w:r>
    </w:p>
    <w:p w14:paraId="2D27C000"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d) Importance of Recording and Tracking Blood Sugar Levels</w:t>
      </w:r>
    </w:p>
    <w:p w14:paraId="68FD939E"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Monitoring and recording blood glucose levels is a cornerstone of effective diabetes self-management. It enables patients to understand how food, activity, medication, and stress influence their blood sugar, allowing them to make informed lifestyle and treatment decisions (NHS, 2023c).</w:t>
      </w:r>
    </w:p>
    <w:p w14:paraId="63150982"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Self-Monitoring of Blood Glucose (SMBG) traditionally involves using a finger-prick test with a glucometer to measure glucose at set times during the day. More recently, technologies such as Continuous Glucose Monitoring (CGM) and Flash Glucose Monitoring have revolutionised diabetes care by providing real-time data and trend patterns (NICE, 2022). These systems alert users to episodes of hypoglycaemia (low blood sugar) or hyperglycaemia (high blood sugar), enhancing safety and autonomy.</w:t>
      </w:r>
    </w:p>
    <w:p w14:paraId="391ABCC2"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Regular monitoring also assists healthcare professionals in evaluating the effectiveness of treatment plans, identifying glycaemic variability, and making evidence-based adjustments to medication or lifestyle interventions. The HbA1c test, reflecting average glucose levels over the preceding 2–3 months, is a key marker of long-term control. Clinical evidence shows that every 1% reduction in HbA1c can reduce the risk of diabetes-related complications by up to 37% (UK Prospective Diabetes Study Group, 1998).</w:t>
      </w:r>
    </w:p>
    <w:p w14:paraId="51C833F8"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The NHS (2023c) recommends target glucose ranges of 4–7 mmol/L before meals and below 8.5 mmol/L two hours after eating, though individual targets may vary. Modern digital health tools, including smartphone-linked glucose tracking apps, can facilitate more consistent self-management and enable remote monitoring by healthcare teams.</w:t>
      </w:r>
    </w:p>
    <w:p w14:paraId="087E949A"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Beyond numerical tracking, maintaining a recording diary of diet, activity, stress, and medication helps patients identify patterns and develop greater self-awareness. Education from nurses and diabetes educators ensures that monitoring is not merely a routine task but a meaningful component of informed, proactive care.</w:t>
      </w:r>
    </w:p>
    <w:p w14:paraId="7B1793CF" w14:textId="77777777" w:rsidR="000B587A" w:rsidRPr="000B587A" w:rsidRDefault="00000000" w:rsidP="000B587A">
      <w:pPr>
        <w:jc w:val="both"/>
        <w:rPr>
          <w:rFonts w:ascii="Arial" w:hAnsi="Arial" w:cs="Arial"/>
          <w:sz w:val="22"/>
          <w:szCs w:val="22"/>
        </w:rPr>
      </w:pPr>
      <w:r>
        <w:rPr>
          <w:rFonts w:ascii="Arial" w:hAnsi="Arial" w:cs="Arial"/>
          <w:sz w:val="22"/>
          <w:szCs w:val="22"/>
        </w:rPr>
        <w:pict w14:anchorId="231D8602">
          <v:rect id="_x0000_i1028" style="width:0;height:1.5pt" o:hralign="center" o:hrstd="t" o:hr="t" fillcolor="#a0a0a0" stroked="f"/>
        </w:pict>
      </w:r>
    </w:p>
    <w:p w14:paraId="1FACF24B" w14:textId="77777777" w:rsidR="005838A4" w:rsidRDefault="005838A4" w:rsidP="000B587A">
      <w:pPr>
        <w:jc w:val="both"/>
        <w:rPr>
          <w:rFonts w:ascii="Arial" w:hAnsi="Arial" w:cs="Arial"/>
          <w:b/>
          <w:bCs/>
          <w:sz w:val="22"/>
          <w:szCs w:val="22"/>
        </w:rPr>
      </w:pPr>
    </w:p>
    <w:p w14:paraId="528E716C" w14:textId="3140D80B"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lastRenderedPageBreak/>
        <w:t>e) Evidence-Based Lifestyle Recommendations</w:t>
      </w:r>
    </w:p>
    <w:p w14:paraId="3DA21493"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Lifestyle modification remains the most effective non-pharmacological approach to managing Type 2 diabetes. Evidence from landmark trials, including the Diabetes Prevention Program (DPP) and the Finnish Diabetes Study, confirms that lifestyle changes—especially dietary improvement and physical activity—can reduce the risk of diabetes onset and progression by up to 58% (Knowler et al., 2002).</w:t>
      </w:r>
    </w:p>
    <w:p w14:paraId="0DFC2B2A"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The following table summarises key evidence-based lifestyle interventions and their health benefits:</w:t>
      </w:r>
    </w:p>
    <w:tbl>
      <w:tblPr>
        <w:tblW w:w="0" w:type="auto"/>
        <w:jc w:val="center"/>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1246"/>
        <w:gridCol w:w="5101"/>
        <w:gridCol w:w="2669"/>
      </w:tblGrid>
      <w:tr w:rsidR="000B587A" w:rsidRPr="000B587A" w14:paraId="208D1E8B" w14:textId="77777777" w:rsidTr="000B587A">
        <w:trPr>
          <w:tblHeader/>
          <w:tblCellSpacing w:w="15" w:type="dxa"/>
          <w:jc w:val="center"/>
        </w:trPr>
        <w:tc>
          <w:tcPr>
            <w:tcW w:w="0" w:type="auto"/>
            <w:vAlign w:val="center"/>
            <w:hideMark/>
          </w:tcPr>
          <w:p w14:paraId="1E10A2FB"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Lifestyle Area</w:t>
            </w:r>
          </w:p>
        </w:tc>
        <w:tc>
          <w:tcPr>
            <w:tcW w:w="0" w:type="auto"/>
            <w:vAlign w:val="center"/>
            <w:hideMark/>
          </w:tcPr>
          <w:p w14:paraId="7F493DEA"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Recommendation</w:t>
            </w:r>
          </w:p>
        </w:tc>
        <w:tc>
          <w:tcPr>
            <w:tcW w:w="0" w:type="auto"/>
            <w:vAlign w:val="center"/>
            <w:hideMark/>
          </w:tcPr>
          <w:p w14:paraId="37D925D5"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Health Benefit</w:t>
            </w:r>
          </w:p>
        </w:tc>
      </w:tr>
      <w:tr w:rsidR="000B587A" w:rsidRPr="000B587A" w14:paraId="78E441D0" w14:textId="77777777" w:rsidTr="000B587A">
        <w:trPr>
          <w:tblCellSpacing w:w="15" w:type="dxa"/>
          <w:jc w:val="center"/>
        </w:trPr>
        <w:tc>
          <w:tcPr>
            <w:tcW w:w="0" w:type="auto"/>
            <w:vAlign w:val="center"/>
            <w:hideMark/>
          </w:tcPr>
          <w:p w14:paraId="60D97CE2"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Diet</w:t>
            </w:r>
          </w:p>
        </w:tc>
        <w:tc>
          <w:tcPr>
            <w:tcW w:w="0" w:type="auto"/>
            <w:vAlign w:val="center"/>
            <w:hideMark/>
          </w:tcPr>
          <w:p w14:paraId="1298C165" w14:textId="77777777" w:rsidR="000B587A" w:rsidRPr="000B587A" w:rsidRDefault="000B587A" w:rsidP="000B587A">
            <w:pPr>
              <w:rPr>
                <w:rFonts w:ascii="Arial" w:hAnsi="Arial" w:cs="Arial"/>
                <w:sz w:val="22"/>
                <w:szCs w:val="22"/>
              </w:rPr>
            </w:pPr>
            <w:r w:rsidRPr="000B587A">
              <w:rPr>
                <w:rFonts w:ascii="Arial" w:hAnsi="Arial" w:cs="Arial"/>
                <w:sz w:val="22"/>
                <w:szCs w:val="22"/>
              </w:rPr>
              <w:t>Follow a balanced diet rich in high-fibre, low-glycaemic index foods such as whole grains, legumes, vegetables, and fruits. Limit refined carbohydrates, sugary drinks, and saturated fats (NHS, 2023d).</w:t>
            </w:r>
          </w:p>
        </w:tc>
        <w:tc>
          <w:tcPr>
            <w:tcW w:w="0" w:type="auto"/>
            <w:vAlign w:val="center"/>
            <w:hideMark/>
          </w:tcPr>
          <w:p w14:paraId="09400AA0" w14:textId="77777777" w:rsidR="000B587A" w:rsidRPr="000B587A" w:rsidRDefault="000B587A" w:rsidP="000B587A">
            <w:pPr>
              <w:rPr>
                <w:rFonts w:ascii="Arial" w:hAnsi="Arial" w:cs="Arial"/>
                <w:sz w:val="22"/>
                <w:szCs w:val="22"/>
              </w:rPr>
            </w:pPr>
            <w:r w:rsidRPr="000B587A">
              <w:rPr>
                <w:rFonts w:ascii="Arial" w:hAnsi="Arial" w:cs="Arial"/>
                <w:sz w:val="22"/>
                <w:szCs w:val="22"/>
              </w:rPr>
              <w:t>Stabilises blood sugar, promotes satiety, and supports cardiovascular health.</w:t>
            </w:r>
          </w:p>
        </w:tc>
      </w:tr>
      <w:tr w:rsidR="000B587A" w:rsidRPr="000B587A" w14:paraId="77F24975" w14:textId="77777777" w:rsidTr="000B587A">
        <w:trPr>
          <w:tblCellSpacing w:w="15" w:type="dxa"/>
          <w:jc w:val="center"/>
        </w:trPr>
        <w:tc>
          <w:tcPr>
            <w:tcW w:w="0" w:type="auto"/>
            <w:vAlign w:val="center"/>
            <w:hideMark/>
          </w:tcPr>
          <w:p w14:paraId="67BDB069"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Exercise</w:t>
            </w:r>
          </w:p>
        </w:tc>
        <w:tc>
          <w:tcPr>
            <w:tcW w:w="0" w:type="auto"/>
            <w:vAlign w:val="center"/>
            <w:hideMark/>
          </w:tcPr>
          <w:p w14:paraId="7325A30E" w14:textId="77777777" w:rsidR="000B587A" w:rsidRPr="000B587A" w:rsidRDefault="000B587A" w:rsidP="000B587A">
            <w:pPr>
              <w:rPr>
                <w:rFonts w:ascii="Arial" w:hAnsi="Arial" w:cs="Arial"/>
                <w:sz w:val="22"/>
                <w:szCs w:val="22"/>
              </w:rPr>
            </w:pPr>
            <w:r w:rsidRPr="000B587A">
              <w:rPr>
                <w:rFonts w:ascii="Arial" w:hAnsi="Arial" w:cs="Arial"/>
                <w:sz w:val="22"/>
                <w:szCs w:val="22"/>
              </w:rPr>
              <w:t>Engage in at least 150 minutes of moderate-intensity aerobic activity per week (e.g., brisk walking, cycling), plus strength training twice weekly (NHS, 2023e).</w:t>
            </w:r>
          </w:p>
        </w:tc>
        <w:tc>
          <w:tcPr>
            <w:tcW w:w="0" w:type="auto"/>
            <w:vAlign w:val="center"/>
            <w:hideMark/>
          </w:tcPr>
          <w:p w14:paraId="05ED340B" w14:textId="77777777" w:rsidR="000B587A" w:rsidRPr="000B587A" w:rsidRDefault="000B587A" w:rsidP="000B587A">
            <w:pPr>
              <w:rPr>
                <w:rFonts w:ascii="Arial" w:hAnsi="Arial" w:cs="Arial"/>
                <w:sz w:val="22"/>
                <w:szCs w:val="22"/>
              </w:rPr>
            </w:pPr>
            <w:r w:rsidRPr="000B587A">
              <w:rPr>
                <w:rFonts w:ascii="Arial" w:hAnsi="Arial" w:cs="Arial"/>
                <w:sz w:val="22"/>
                <w:szCs w:val="22"/>
              </w:rPr>
              <w:t>Enhances insulin sensitivity, improves weight control, and strengthens the heart.</w:t>
            </w:r>
          </w:p>
        </w:tc>
      </w:tr>
      <w:tr w:rsidR="000B587A" w:rsidRPr="000B587A" w14:paraId="48879C4E" w14:textId="77777777" w:rsidTr="000B587A">
        <w:trPr>
          <w:tblCellSpacing w:w="15" w:type="dxa"/>
          <w:jc w:val="center"/>
        </w:trPr>
        <w:tc>
          <w:tcPr>
            <w:tcW w:w="0" w:type="auto"/>
            <w:vAlign w:val="center"/>
            <w:hideMark/>
          </w:tcPr>
          <w:p w14:paraId="24F907F0"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Weight</w:t>
            </w:r>
          </w:p>
        </w:tc>
        <w:tc>
          <w:tcPr>
            <w:tcW w:w="0" w:type="auto"/>
            <w:vAlign w:val="center"/>
            <w:hideMark/>
          </w:tcPr>
          <w:p w14:paraId="00B2548A" w14:textId="77777777" w:rsidR="000B587A" w:rsidRPr="000B587A" w:rsidRDefault="000B587A" w:rsidP="000B587A">
            <w:pPr>
              <w:rPr>
                <w:rFonts w:ascii="Arial" w:hAnsi="Arial" w:cs="Arial"/>
                <w:sz w:val="22"/>
                <w:szCs w:val="22"/>
              </w:rPr>
            </w:pPr>
            <w:r w:rsidRPr="000B587A">
              <w:rPr>
                <w:rFonts w:ascii="Arial" w:hAnsi="Arial" w:cs="Arial"/>
                <w:sz w:val="22"/>
                <w:szCs w:val="22"/>
              </w:rPr>
              <w:t>Aim for a 5–10% reduction in body weight if overweight or obese.</w:t>
            </w:r>
          </w:p>
        </w:tc>
        <w:tc>
          <w:tcPr>
            <w:tcW w:w="0" w:type="auto"/>
            <w:vAlign w:val="center"/>
            <w:hideMark/>
          </w:tcPr>
          <w:p w14:paraId="5461D725" w14:textId="77777777" w:rsidR="000B587A" w:rsidRPr="000B587A" w:rsidRDefault="000B587A" w:rsidP="000B587A">
            <w:pPr>
              <w:rPr>
                <w:rFonts w:ascii="Arial" w:hAnsi="Arial" w:cs="Arial"/>
                <w:sz w:val="22"/>
                <w:szCs w:val="22"/>
              </w:rPr>
            </w:pPr>
            <w:r w:rsidRPr="000B587A">
              <w:rPr>
                <w:rFonts w:ascii="Arial" w:hAnsi="Arial" w:cs="Arial"/>
                <w:sz w:val="22"/>
                <w:szCs w:val="22"/>
              </w:rPr>
              <w:t>Reduces insulin resistance, lowers blood pressure, and improves lipid profile.</w:t>
            </w:r>
          </w:p>
        </w:tc>
      </w:tr>
      <w:tr w:rsidR="000B587A" w:rsidRPr="000B587A" w14:paraId="70279481" w14:textId="77777777" w:rsidTr="000B587A">
        <w:trPr>
          <w:tblCellSpacing w:w="15" w:type="dxa"/>
          <w:jc w:val="center"/>
        </w:trPr>
        <w:tc>
          <w:tcPr>
            <w:tcW w:w="0" w:type="auto"/>
            <w:vAlign w:val="center"/>
            <w:hideMark/>
          </w:tcPr>
          <w:p w14:paraId="158436ED"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Smoking</w:t>
            </w:r>
          </w:p>
        </w:tc>
        <w:tc>
          <w:tcPr>
            <w:tcW w:w="0" w:type="auto"/>
            <w:vAlign w:val="center"/>
            <w:hideMark/>
          </w:tcPr>
          <w:p w14:paraId="0C3BECBB" w14:textId="77777777" w:rsidR="000B587A" w:rsidRPr="000B587A" w:rsidRDefault="000B587A" w:rsidP="000B587A">
            <w:pPr>
              <w:rPr>
                <w:rFonts w:ascii="Arial" w:hAnsi="Arial" w:cs="Arial"/>
                <w:sz w:val="22"/>
                <w:szCs w:val="22"/>
              </w:rPr>
            </w:pPr>
            <w:r w:rsidRPr="000B587A">
              <w:rPr>
                <w:rFonts w:ascii="Arial" w:hAnsi="Arial" w:cs="Arial"/>
                <w:sz w:val="22"/>
                <w:szCs w:val="22"/>
              </w:rPr>
              <w:t>Stop smoking with NHS support or nicotine replacement therapy (NHS, 2023f).</w:t>
            </w:r>
          </w:p>
        </w:tc>
        <w:tc>
          <w:tcPr>
            <w:tcW w:w="0" w:type="auto"/>
            <w:vAlign w:val="center"/>
            <w:hideMark/>
          </w:tcPr>
          <w:p w14:paraId="71F5721C" w14:textId="77777777" w:rsidR="000B587A" w:rsidRPr="000B587A" w:rsidRDefault="000B587A" w:rsidP="000B587A">
            <w:pPr>
              <w:rPr>
                <w:rFonts w:ascii="Arial" w:hAnsi="Arial" w:cs="Arial"/>
                <w:sz w:val="22"/>
                <w:szCs w:val="22"/>
              </w:rPr>
            </w:pPr>
            <w:r w:rsidRPr="000B587A">
              <w:rPr>
                <w:rFonts w:ascii="Arial" w:hAnsi="Arial" w:cs="Arial"/>
                <w:sz w:val="22"/>
                <w:szCs w:val="22"/>
              </w:rPr>
              <w:t>Reduces cardiovascular and stroke risk, improves circulation.</w:t>
            </w:r>
          </w:p>
        </w:tc>
      </w:tr>
      <w:tr w:rsidR="000B587A" w:rsidRPr="000B587A" w14:paraId="197C4DC7" w14:textId="77777777" w:rsidTr="000B587A">
        <w:trPr>
          <w:tblCellSpacing w:w="15" w:type="dxa"/>
          <w:jc w:val="center"/>
        </w:trPr>
        <w:tc>
          <w:tcPr>
            <w:tcW w:w="0" w:type="auto"/>
            <w:vAlign w:val="center"/>
            <w:hideMark/>
          </w:tcPr>
          <w:p w14:paraId="39790E47"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Stress &amp; Sleep</w:t>
            </w:r>
          </w:p>
        </w:tc>
        <w:tc>
          <w:tcPr>
            <w:tcW w:w="0" w:type="auto"/>
            <w:vAlign w:val="center"/>
            <w:hideMark/>
          </w:tcPr>
          <w:p w14:paraId="7425858B" w14:textId="77777777" w:rsidR="000B587A" w:rsidRPr="000B587A" w:rsidRDefault="000B587A" w:rsidP="000B587A">
            <w:pPr>
              <w:rPr>
                <w:rFonts w:ascii="Arial" w:hAnsi="Arial" w:cs="Arial"/>
                <w:sz w:val="22"/>
                <w:szCs w:val="22"/>
              </w:rPr>
            </w:pPr>
            <w:r w:rsidRPr="000B587A">
              <w:rPr>
                <w:rFonts w:ascii="Arial" w:hAnsi="Arial" w:cs="Arial"/>
                <w:sz w:val="22"/>
                <w:szCs w:val="22"/>
              </w:rPr>
              <w:t>Manage stress through mindfulness, prayer, or relaxation techniques; ensure 7–9 hours of quality sleep.</w:t>
            </w:r>
          </w:p>
        </w:tc>
        <w:tc>
          <w:tcPr>
            <w:tcW w:w="0" w:type="auto"/>
            <w:vAlign w:val="center"/>
            <w:hideMark/>
          </w:tcPr>
          <w:p w14:paraId="5E8117D6" w14:textId="77777777" w:rsidR="000B587A" w:rsidRPr="000B587A" w:rsidRDefault="000B587A" w:rsidP="000B587A">
            <w:pPr>
              <w:rPr>
                <w:rFonts w:ascii="Arial" w:hAnsi="Arial" w:cs="Arial"/>
                <w:sz w:val="22"/>
                <w:szCs w:val="22"/>
              </w:rPr>
            </w:pPr>
            <w:r w:rsidRPr="000B587A">
              <w:rPr>
                <w:rFonts w:ascii="Arial" w:hAnsi="Arial" w:cs="Arial"/>
                <w:sz w:val="22"/>
                <w:szCs w:val="22"/>
              </w:rPr>
              <w:t>Reduces cortisol, stabilises glucose, and supports mental wellbeing.</w:t>
            </w:r>
          </w:p>
        </w:tc>
      </w:tr>
      <w:tr w:rsidR="000B587A" w:rsidRPr="000B587A" w14:paraId="00A0A4C5" w14:textId="77777777" w:rsidTr="000B587A">
        <w:trPr>
          <w:tblCellSpacing w:w="15" w:type="dxa"/>
          <w:jc w:val="center"/>
        </w:trPr>
        <w:tc>
          <w:tcPr>
            <w:tcW w:w="0" w:type="auto"/>
            <w:vAlign w:val="center"/>
            <w:hideMark/>
          </w:tcPr>
          <w:p w14:paraId="50C08762" w14:textId="77777777" w:rsidR="000B587A" w:rsidRPr="000B587A" w:rsidRDefault="000B587A" w:rsidP="000B587A">
            <w:pPr>
              <w:jc w:val="both"/>
              <w:rPr>
                <w:rFonts w:ascii="Arial" w:hAnsi="Arial" w:cs="Arial"/>
                <w:sz w:val="22"/>
                <w:szCs w:val="22"/>
              </w:rPr>
            </w:pPr>
            <w:r w:rsidRPr="000B587A">
              <w:rPr>
                <w:rFonts w:ascii="Arial" w:hAnsi="Arial" w:cs="Arial"/>
                <w:b/>
                <w:bCs/>
                <w:sz w:val="22"/>
                <w:szCs w:val="22"/>
              </w:rPr>
              <w:t>Education</w:t>
            </w:r>
          </w:p>
        </w:tc>
        <w:tc>
          <w:tcPr>
            <w:tcW w:w="0" w:type="auto"/>
            <w:vAlign w:val="center"/>
            <w:hideMark/>
          </w:tcPr>
          <w:p w14:paraId="0516AE5F" w14:textId="77777777" w:rsidR="000B587A" w:rsidRPr="000B587A" w:rsidRDefault="000B587A" w:rsidP="000B587A">
            <w:pPr>
              <w:rPr>
                <w:rFonts w:ascii="Arial" w:hAnsi="Arial" w:cs="Arial"/>
                <w:sz w:val="22"/>
                <w:szCs w:val="22"/>
              </w:rPr>
            </w:pPr>
            <w:r w:rsidRPr="000B587A">
              <w:rPr>
                <w:rFonts w:ascii="Arial" w:hAnsi="Arial" w:cs="Arial"/>
                <w:sz w:val="22"/>
                <w:szCs w:val="22"/>
              </w:rPr>
              <w:t>Attend structured programmes such as DESMOND (Diabetes Education and Self-Management for Ongoing and Newly Diagnosed) (NHS, 2023g).</w:t>
            </w:r>
          </w:p>
        </w:tc>
        <w:tc>
          <w:tcPr>
            <w:tcW w:w="0" w:type="auto"/>
            <w:vAlign w:val="center"/>
            <w:hideMark/>
          </w:tcPr>
          <w:p w14:paraId="522C17FA" w14:textId="77777777" w:rsidR="000B587A" w:rsidRPr="000B587A" w:rsidRDefault="000B587A" w:rsidP="000B587A">
            <w:pPr>
              <w:rPr>
                <w:rFonts w:ascii="Arial" w:hAnsi="Arial" w:cs="Arial"/>
                <w:sz w:val="22"/>
                <w:szCs w:val="22"/>
              </w:rPr>
            </w:pPr>
            <w:r w:rsidRPr="000B587A">
              <w:rPr>
                <w:rFonts w:ascii="Arial" w:hAnsi="Arial" w:cs="Arial"/>
                <w:sz w:val="22"/>
                <w:szCs w:val="22"/>
              </w:rPr>
              <w:t>Increases knowledge, motivation, and adherence to lifestyle change.</w:t>
            </w:r>
          </w:p>
        </w:tc>
      </w:tr>
    </w:tbl>
    <w:p w14:paraId="4DD4CF0B" w14:textId="77777777" w:rsidR="000B587A" w:rsidRDefault="000B587A" w:rsidP="000B587A">
      <w:pPr>
        <w:jc w:val="both"/>
        <w:rPr>
          <w:rFonts w:ascii="Arial" w:hAnsi="Arial" w:cs="Arial"/>
          <w:sz w:val="22"/>
          <w:szCs w:val="22"/>
        </w:rPr>
      </w:pPr>
    </w:p>
    <w:p w14:paraId="7BF3907D" w14:textId="77777777" w:rsidR="00F414DF" w:rsidRDefault="00F414DF" w:rsidP="000B587A">
      <w:pPr>
        <w:jc w:val="both"/>
        <w:rPr>
          <w:rFonts w:ascii="Arial" w:hAnsi="Arial" w:cs="Arial"/>
          <w:sz w:val="22"/>
          <w:szCs w:val="22"/>
        </w:rPr>
      </w:pPr>
    </w:p>
    <w:p w14:paraId="3CCBB0DF" w14:textId="77777777" w:rsidR="00F414DF" w:rsidRDefault="00F414DF" w:rsidP="000B587A">
      <w:pPr>
        <w:jc w:val="both"/>
        <w:rPr>
          <w:rFonts w:ascii="Arial" w:hAnsi="Arial" w:cs="Arial"/>
          <w:sz w:val="22"/>
          <w:szCs w:val="22"/>
        </w:rPr>
      </w:pPr>
    </w:p>
    <w:p w14:paraId="302631C8" w14:textId="77777777" w:rsidR="00F414DF" w:rsidRDefault="00F414DF" w:rsidP="000B587A">
      <w:pPr>
        <w:jc w:val="both"/>
        <w:rPr>
          <w:rFonts w:ascii="Arial" w:hAnsi="Arial" w:cs="Arial"/>
          <w:sz w:val="22"/>
          <w:szCs w:val="22"/>
        </w:rPr>
      </w:pPr>
    </w:p>
    <w:p w14:paraId="1DEB85FE" w14:textId="77777777" w:rsidR="005838A4" w:rsidRDefault="005838A4" w:rsidP="000B587A">
      <w:pPr>
        <w:jc w:val="both"/>
        <w:rPr>
          <w:rFonts w:ascii="Arial" w:hAnsi="Arial" w:cs="Arial"/>
          <w:sz w:val="22"/>
          <w:szCs w:val="22"/>
        </w:rPr>
      </w:pPr>
    </w:p>
    <w:p w14:paraId="2DDDCFF7" w14:textId="48D7E7FC" w:rsidR="000B587A" w:rsidRPr="000B587A" w:rsidRDefault="000B587A" w:rsidP="000B587A">
      <w:pPr>
        <w:jc w:val="both"/>
        <w:rPr>
          <w:rFonts w:ascii="Arial" w:hAnsi="Arial" w:cs="Arial"/>
          <w:sz w:val="22"/>
          <w:szCs w:val="22"/>
        </w:rPr>
      </w:pPr>
      <w:r w:rsidRPr="000B587A">
        <w:rPr>
          <w:rFonts w:ascii="Arial" w:hAnsi="Arial" w:cs="Arial"/>
          <w:sz w:val="22"/>
          <w:szCs w:val="22"/>
        </w:rPr>
        <w:t>Dietary changes are particularly impactful. The Mediterranean diet, rich in olive oil, nuts, fish, and plant-based foods, has been shown to significantly improve glycaemic control and reduce cardiovascular risk (Esposito et al., 2015). Likewise, regular exercise enhances muscle glucose uptake and mitochondrial efficiency even without significant weight loss (Colberg et al., 2016).</w:t>
      </w:r>
    </w:p>
    <w:p w14:paraId="31800BA0"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Behavioural support is essential to sustain lifestyle change. In practice, small, achievable goals—such as replacing sugary drinks with water, walking for 10 minutes after meals, or reducing portion sizes—can have a meaningful impact over time. Collaboration with dietitians, physiotherapists, and diabetes educators helps reinforce positive habits and overcome barriers such as time constraints, motivation, and cultural dietary patterns.</w:t>
      </w:r>
    </w:p>
    <w:p w14:paraId="184AD6C0" w14:textId="77777777" w:rsidR="000B587A" w:rsidRPr="000B587A" w:rsidRDefault="00000000" w:rsidP="000B587A">
      <w:pPr>
        <w:jc w:val="both"/>
        <w:rPr>
          <w:rFonts w:ascii="Arial" w:hAnsi="Arial" w:cs="Arial"/>
          <w:sz w:val="22"/>
          <w:szCs w:val="22"/>
        </w:rPr>
      </w:pPr>
      <w:r>
        <w:rPr>
          <w:rFonts w:ascii="Arial" w:hAnsi="Arial" w:cs="Arial"/>
          <w:sz w:val="22"/>
          <w:szCs w:val="22"/>
        </w:rPr>
        <w:pict w14:anchorId="3EAACC53">
          <v:rect id="_x0000_i1029" style="width:0;height:1.5pt" o:hralign="center" o:hrstd="t" o:hr="t" fillcolor="#a0a0a0" stroked="f"/>
        </w:pict>
      </w:r>
    </w:p>
    <w:p w14:paraId="0A1D48E0" w14:textId="77777777" w:rsidR="000B587A" w:rsidRPr="000B587A" w:rsidRDefault="000B587A" w:rsidP="000B587A">
      <w:pPr>
        <w:jc w:val="both"/>
        <w:rPr>
          <w:rFonts w:ascii="Arial" w:hAnsi="Arial" w:cs="Arial"/>
          <w:b/>
          <w:bCs/>
          <w:sz w:val="22"/>
          <w:szCs w:val="22"/>
        </w:rPr>
      </w:pPr>
      <w:r w:rsidRPr="000B587A">
        <w:rPr>
          <w:rFonts w:ascii="Arial" w:hAnsi="Arial" w:cs="Arial"/>
          <w:b/>
          <w:bCs/>
          <w:sz w:val="22"/>
          <w:szCs w:val="22"/>
        </w:rPr>
        <w:t>f) Conclusion</w:t>
      </w:r>
    </w:p>
    <w:p w14:paraId="20816F4A"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Type 2 diabetes is a chronic but manageable condition requiring continuous self-care, education, and professional support. Understanding the physiology of glucose regulation, the role of oxygen in metabolism, and the rationale for monitoring empowers individuals to manage their condition effectively.</w:t>
      </w:r>
    </w:p>
    <w:p w14:paraId="209724AB"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Consistent self-monitoring, a balanced diet, regular exercise, weight management, smoking cessation, and stress reduction are all proven strategies to improve glucose control and quality of life (Knowler et al., 2002; Esposito et al., 2015; Colberg et al., 2016). Healthcare professionals, particularly practice nurses, play an essential role in guiding patients, interpreting results, and providing emotional and educational support.</w:t>
      </w:r>
    </w:p>
    <w:p w14:paraId="6166677C" w14:textId="77777777" w:rsidR="000B587A" w:rsidRPr="000B587A" w:rsidRDefault="000B587A" w:rsidP="000B587A">
      <w:pPr>
        <w:jc w:val="both"/>
        <w:rPr>
          <w:rFonts w:ascii="Arial" w:hAnsi="Arial" w:cs="Arial"/>
          <w:sz w:val="22"/>
          <w:szCs w:val="22"/>
        </w:rPr>
      </w:pPr>
      <w:r w:rsidRPr="000B587A">
        <w:rPr>
          <w:rFonts w:ascii="Arial" w:hAnsi="Arial" w:cs="Arial"/>
          <w:sz w:val="22"/>
          <w:szCs w:val="22"/>
        </w:rPr>
        <w:t>Ultimately, with knowledge, motivation, and small, sustainable changes, most individuals with Type 2 diabetes can lead healthy, active, and fulfilling lives while minimising their risk of complications. Empowering patients to take ownership of their health transforms diabetes management from a clinical obligation into a pathway toward long-term wellbeing.</w:t>
      </w:r>
    </w:p>
    <w:p w14:paraId="118B3370" w14:textId="77777777" w:rsidR="00E34176" w:rsidRDefault="00E34176" w:rsidP="00E34176">
      <w:pPr>
        <w:spacing w:line="360" w:lineRule="auto"/>
        <w:rPr>
          <w:rFonts w:ascii="Arial" w:hAnsi="Arial" w:cs="Arial"/>
          <w:b/>
          <w:bCs/>
          <w:sz w:val="22"/>
          <w:szCs w:val="22"/>
        </w:rPr>
      </w:pPr>
      <w:r w:rsidRPr="00E34176">
        <w:br/>
      </w:r>
    </w:p>
    <w:p w14:paraId="6E3447A4" w14:textId="77777777" w:rsidR="00E34176" w:rsidRDefault="00E34176" w:rsidP="00E34176">
      <w:pPr>
        <w:spacing w:line="360" w:lineRule="auto"/>
        <w:rPr>
          <w:rFonts w:ascii="Arial" w:hAnsi="Arial" w:cs="Arial"/>
          <w:b/>
          <w:bCs/>
          <w:sz w:val="22"/>
          <w:szCs w:val="22"/>
        </w:rPr>
      </w:pPr>
    </w:p>
    <w:p w14:paraId="22DADEAF" w14:textId="77777777" w:rsidR="00E34176" w:rsidRDefault="00E34176" w:rsidP="00E34176">
      <w:pPr>
        <w:spacing w:line="360" w:lineRule="auto"/>
        <w:rPr>
          <w:rFonts w:ascii="Arial" w:hAnsi="Arial" w:cs="Arial"/>
          <w:b/>
          <w:bCs/>
          <w:sz w:val="22"/>
          <w:szCs w:val="22"/>
        </w:rPr>
      </w:pPr>
    </w:p>
    <w:p w14:paraId="5A5D8EFF" w14:textId="77777777" w:rsidR="00E34176" w:rsidRDefault="00E34176" w:rsidP="00E34176">
      <w:pPr>
        <w:spacing w:line="360" w:lineRule="auto"/>
        <w:rPr>
          <w:rFonts w:ascii="Arial" w:hAnsi="Arial" w:cs="Arial"/>
          <w:b/>
          <w:bCs/>
          <w:sz w:val="22"/>
          <w:szCs w:val="22"/>
        </w:rPr>
      </w:pPr>
    </w:p>
    <w:p w14:paraId="0D10918D" w14:textId="77777777" w:rsidR="00E34176" w:rsidRDefault="00E34176" w:rsidP="00E34176">
      <w:pPr>
        <w:spacing w:line="360" w:lineRule="auto"/>
        <w:rPr>
          <w:rFonts w:ascii="Arial" w:hAnsi="Arial" w:cs="Arial"/>
          <w:b/>
          <w:bCs/>
          <w:sz w:val="22"/>
          <w:szCs w:val="22"/>
        </w:rPr>
      </w:pPr>
    </w:p>
    <w:p w14:paraId="269CB159" w14:textId="77777777" w:rsidR="00E34176" w:rsidRDefault="00E34176" w:rsidP="00E34176">
      <w:pPr>
        <w:spacing w:line="360" w:lineRule="auto"/>
        <w:rPr>
          <w:rFonts w:ascii="Arial" w:hAnsi="Arial" w:cs="Arial"/>
          <w:b/>
          <w:bCs/>
          <w:sz w:val="22"/>
          <w:szCs w:val="22"/>
        </w:rPr>
      </w:pPr>
    </w:p>
    <w:p w14:paraId="6556B38F" w14:textId="77777777" w:rsidR="00E34176" w:rsidRDefault="00E34176" w:rsidP="00E34176">
      <w:pPr>
        <w:spacing w:line="360" w:lineRule="auto"/>
        <w:rPr>
          <w:rFonts w:ascii="Arial" w:hAnsi="Arial" w:cs="Arial"/>
          <w:b/>
          <w:bCs/>
          <w:sz w:val="22"/>
          <w:szCs w:val="22"/>
        </w:rPr>
      </w:pPr>
    </w:p>
    <w:p w14:paraId="31A3DC0B" w14:textId="77777777" w:rsidR="00E34176" w:rsidRDefault="00E34176" w:rsidP="00E34176">
      <w:pPr>
        <w:spacing w:line="360" w:lineRule="auto"/>
        <w:rPr>
          <w:rFonts w:ascii="Arial" w:hAnsi="Arial" w:cs="Arial"/>
          <w:b/>
          <w:bCs/>
          <w:sz w:val="22"/>
          <w:szCs w:val="22"/>
        </w:rPr>
      </w:pPr>
    </w:p>
    <w:p w14:paraId="620F734F" w14:textId="77777777" w:rsidR="00F414DF" w:rsidRDefault="00F414DF" w:rsidP="00E34176">
      <w:pPr>
        <w:spacing w:line="360" w:lineRule="auto"/>
        <w:rPr>
          <w:rFonts w:ascii="Arial" w:hAnsi="Arial" w:cs="Arial"/>
          <w:b/>
          <w:bCs/>
          <w:sz w:val="22"/>
          <w:szCs w:val="22"/>
        </w:rPr>
      </w:pPr>
    </w:p>
    <w:p w14:paraId="542A0DCC" w14:textId="77777777" w:rsidR="00F414DF" w:rsidRDefault="00F414DF" w:rsidP="00E34176">
      <w:pPr>
        <w:spacing w:line="360" w:lineRule="auto"/>
        <w:rPr>
          <w:rFonts w:ascii="Arial" w:hAnsi="Arial" w:cs="Arial"/>
          <w:b/>
          <w:bCs/>
          <w:sz w:val="22"/>
          <w:szCs w:val="22"/>
        </w:rPr>
      </w:pPr>
    </w:p>
    <w:p w14:paraId="1451BF65" w14:textId="05C7919E" w:rsidR="00C6778B" w:rsidRPr="00E34176" w:rsidRDefault="00E34176" w:rsidP="00E34176">
      <w:pPr>
        <w:spacing w:line="360" w:lineRule="auto"/>
        <w:rPr>
          <w:rFonts w:ascii="Arial" w:hAnsi="Arial" w:cs="Arial"/>
          <w:sz w:val="22"/>
          <w:szCs w:val="22"/>
        </w:rPr>
      </w:pPr>
      <w:r>
        <w:rPr>
          <w:rFonts w:ascii="Arial" w:hAnsi="Arial" w:cs="Arial"/>
          <w:b/>
          <w:bCs/>
          <w:sz w:val="22"/>
          <w:szCs w:val="22"/>
        </w:rPr>
        <w:t xml:space="preserve">g) </w:t>
      </w:r>
      <w:r w:rsidRPr="00E34176">
        <w:rPr>
          <w:rFonts w:ascii="Arial" w:hAnsi="Arial" w:cs="Arial"/>
          <w:b/>
          <w:bCs/>
          <w:sz w:val="22"/>
          <w:szCs w:val="22"/>
        </w:rPr>
        <w:t>References</w:t>
      </w:r>
      <w:r w:rsidRPr="00E34176">
        <w:rPr>
          <w:rFonts w:ascii="Arial" w:hAnsi="Arial" w:cs="Arial"/>
          <w:sz w:val="22"/>
          <w:szCs w:val="22"/>
        </w:rPr>
        <w:br/>
      </w:r>
      <w:r w:rsidRPr="00E34176">
        <w:rPr>
          <w:rFonts w:ascii="Arial" w:hAnsi="Arial" w:cs="Arial"/>
          <w:sz w:val="22"/>
          <w:szCs w:val="22"/>
        </w:rPr>
        <w:br/>
        <w:t>Colberg, S.R., Sigal, R.J., Yardley, J.E., Riddell, M.C., Dunstan, D.W., Dempsey, P.C., Horton, E.S., Castorino, K. and Tate, D.F. (2016) Exercise and Type 2 Diabetes: The American College of Sports Medicine and the American Diabetes Association joint position statement. Diabetes Care, 39(11), pp. 2065–2079.</w:t>
      </w:r>
      <w:r w:rsidRPr="00E34176">
        <w:rPr>
          <w:rFonts w:ascii="Arial" w:hAnsi="Arial" w:cs="Arial"/>
          <w:sz w:val="22"/>
          <w:szCs w:val="22"/>
        </w:rPr>
        <w:br/>
        <w:t>Diabetes UK (2024) Diabetes in the UK: Facts and Statistics. [Online] Available at: https://www.diabetes.org.uk</w:t>
      </w:r>
      <w:r w:rsidRPr="00E34176">
        <w:rPr>
          <w:rFonts w:ascii="Arial" w:hAnsi="Arial" w:cs="Arial"/>
          <w:sz w:val="22"/>
          <w:szCs w:val="22"/>
        </w:rPr>
        <w:br/>
        <w:t xml:space="preserve">Esposito, K., Maiorino, M.I., </w:t>
      </w:r>
      <w:proofErr w:type="spellStart"/>
      <w:r w:rsidRPr="00E34176">
        <w:rPr>
          <w:rFonts w:ascii="Arial" w:hAnsi="Arial" w:cs="Arial"/>
          <w:sz w:val="22"/>
          <w:szCs w:val="22"/>
        </w:rPr>
        <w:t>Bellastella</w:t>
      </w:r>
      <w:proofErr w:type="spellEnd"/>
      <w:r w:rsidRPr="00E34176">
        <w:rPr>
          <w:rFonts w:ascii="Arial" w:hAnsi="Arial" w:cs="Arial"/>
          <w:sz w:val="22"/>
          <w:szCs w:val="22"/>
        </w:rPr>
        <w:t xml:space="preserve">, G., </w:t>
      </w:r>
      <w:proofErr w:type="spellStart"/>
      <w:r w:rsidRPr="00E34176">
        <w:rPr>
          <w:rFonts w:ascii="Arial" w:hAnsi="Arial" w:cs="Arial"/>
          <w:sz w:val="22"/>
          <w:szCs w:val="22"/>
        </w:rPr>
        <w:t>Panagiotakos</w:t>
      </w:r>
      <w:proofErr w:type="spellEnd"/>
      <w:r w:rsidRPr="00E34176">
        <w:rPr>
          <w:rFonts w:ascii="Arial" w:hAnsi="Arial" w:cs="Arial"/>
          <w:sz w:val="22"/>
          <w:szCs w:val="22"/>
        </w:rPr>
        <w:t>, D., Giugliano, D. (2015) Effects of a Mediterranean-style diet on the need for antihyperglycemic drug therapy in patients with newly diagnosed type 2 diabetes. Annals of Internal Medicine, 151(5), pp. 306–314.</w:t>
      </w:r>
      <w:r w:rsidRPr="00E34176">
        <w:rPr>
          <w:rFonts w:ascii="Arial" w:hAnsi="Arial" w:cs="Arial"/>
          <w:sz w:val="22"/>
          <w:szCs w:val="22"/>
        </w:rPr>
        <w:br/>
        <w:t>Guyton, A.C. and Hall, J.E. (2020) Textbook of Medical Physiology. 14th ed. Philadelphia: Elsevier.</w:t>
      </w:r>
      <w:r w:rsidRPr="00E34176">
        <w:rPr>
          <w:rFonts w:ascii="Arial" w:hAnsi="Arial" w:cs="Arial"/>
          <w:sz w:val="22"/>
          <w:szCs w:val="22"/>
        </w:rPr>
        <w:br/>
        <w:t>International Diabetes Federation (2021) IDF Diabetes Atlas. 10th ed. Brussels: IDF.</w:t>
      </w:r>
      <w:r w:rsidRPr="00E34176">
        <w:rPr>
          <w:rFonts w:ascii="Arial" w:hAnsi="Arial" w:cs="Arial"/>
          <w:sz w:val="22"/>
          <w:szCs w:val="22"/>
        </w:rPr>
        <w:br/>
        <w:t>Knowler, W.C., Barrett-Connor, E., Fowler, S.E., Hamman, R.F., Lachin, J.M., Walker, E.A., Nathan, D.M. (2002) Reduction in the incidence of type 2 diabetes with lifestyle intervention or metformin. New England Journal of Medicine, 346(6), pp. 393–403.</w:t>
      </w:r>
      <w:r w:rsidRPr="00E34176">
        <w:rPr>
          <w:rFonts w:ascii="Arial" w:hAnsi="Arial" w:cs="Arial"/>
          <w:sz w:val="22"/>
          <w:szCs w:val="22"/>
        </w:rPr>
        <w:br/>
        <w:t xml:space="preserve">Marieb, E.N. and Hoehn, K. (2019) Human Anatomy &amp; Physiology. 11th ed. Harlow: </w:t>
      </w:r>
      <w:proofErr w:type="spellStart"/>
      <w:r w:rsidRPr="00E34176">
        <w:rPr>
          <w:rFonts w:ascii="Arial" w:hAnsi="Arial" w:cs="Arial"/>
          <w:sz w:val="22"/>
          <w:szCs w:val="22"/>
        </w:rPr>
        <w:t>Pearson.NHS</w:t>
      </w:r>
      <w:proofErr w:type="spellEnd"/>
      <w:r w:rsidRPr="00E34176">
        <w:rPr>
          <w:rFonts w:ascii="Arial" w:hAnsi="Arial" w:cs="Arial"/>
          <w:sz w:val="22"/>
          <w:szCs w:val="22"/>
        </w:rPr>
        <w:t xml:space="preserve"> (2023a) Type 2 diabetes overview. NHS UK.</w:t>
      </w:r>
      <w:r w:rsidRPr="00E34176">
        <w:rPr>
          <w:rFonts w:ascii="Arial" w:hAnsi="Arial" w:cs="Arial"/>
          <w:sz w:val="22"/>
          <w:szCs w:val="22"/>
        </w:rPr>
        <w:br/>
        <w:t>NHS (2023b) Diabetes risk factors. NHS UK.</w:t>
      </w:r>
      <w:r w:rsidRPr="00E34176">
        <w:rPr>
          <w:rFonts w:ascii="Arial" w:hAnsi="Arial" w:cs="Arial"/>
          <w:sz w:val="22"/>
          <w:szCs w:val="22"/>
        </w:rPr>
        <w:br/>
        <w:t>NHS (2023c) Blood glucose monitoring. NHS UK.</w:t>
      </w:r>
      <w:r w:rsidRPr="00E34176">
        <w:rPr>
          <w:rFonts w:ascii="Arial" w:hAnsi="Arial" w:cs="Arial"/>
          <w:sz w:val="22"/>
          <w:szCs w:val="22"/>
        </w:rPr>
        <w:br/>
        <w:t>NHS (2023d) Healthy eating and type 2 diabetes. NHS UK.</w:t>
      </w:r>
      <w:r w:rsidRPr="00E34176">
        <w:rPr>
          <w:rFonts w:ascii="Arial" w:hAnsi="Arial" w:cs="Arial"/>
          <w:sz w:val="22"/>
          <w:szCs w:val="22"/>
        </w:rPr>
        <w:br/>
        <w:t>NHS (2023e) Physical activity guidelines for adults. NHS UK.</w:t>
      </w:r>
      <w:r w:rsidRPr="00E34176">
        <w:rPr>
          <w:rFonts w:ascii="Arial" w:hAnsi="Arial" w:cs="Arial"/>
          <w:sz w:val="22"/>
          <w:szCs w:val="22"/>
        </w:rPr>
        <w:br/>
        <w:t>NHS (2023f) Stop smoking support. NHS UK.</w:t>
      </w:r>
      <w:r w:rsidRPr="00E34176">
        <w:rPr>
          <w:rFonts w:ascii="Arial" w:hAnsi="Arial" w:cs="Arial"/>
          <w:sz w:val="22"/>
          <w:szCs w:val="22"/>
        </w:rPr>
        <w:br/>
        <w:t>NHS (2023g) DESMOND: Diabetes Education and Self-Management for Ongoing and Newly Diagnosed. NHS UK.</w:t>
      </w:r>
      <w:r w:rsidRPr="00E34176">
        <w:rPr>
          <w:rFonts w:ascii="Arial" w:hAnsi="Arial" w:cs="Arial"/>
          <w:sz w:val="22"/>
          <w:szCs w:val="22"/>
        </w:rPr>
        <w:br/>
        <w:t>NICE (2022) Type 2 diabetes in adults: management (NG28). National Institute for Health and Care Excellence.</w:t>
      </w:r>
      <w:r w:rsidRPr="00E34176">
        <w:rPr>
          <w:rFonts w:ascii="Arial" w:hAnsi="Arial" w:cs="Arial"/>
          <w:sz w:val="22"/>
          <w:szCs w:val="22"/>
        </w:rPr>
        <w:br/>
        <w:t>Sherwood, L. (2016) Human Physiology: From Cells to Systems. 9th ed. Boston: Cengage Learning.</w:t>
      </w:r>
      <w:r w:rsidRPr="00E34176">
        <w:rPr>
          <w:rFonts w:ascii="Arial" w:hAnsi="Arial" w:cs="Arial"/>
          <w:sz w:val="22"/>
          <w:szCs w:val="22"/>
        </w:rPr>
        <w:br/>
        <w:t xml:space="preserve">UK Prospective Diabetes Study Group (1998) Intensive blood-glucose control with </w:t>
      </w:r>
      <w:proofErr w:type="spellStart"/>
      <w:r w:rsidRPr="00E34176">
        <w:rPr>
          <w:rFonts w:ascii="Arial" w:hAnsi="Arial" w:cs="Arial"/>
          <w:sz w:val="22"/>
          <w:szCs w:val="22"/>
        </w:rPr>
        <w:t>sulphonylureas</w:t>
      </w:r>
      <w:proofErr w:type="spellEnd"/>
      <w:r w:rsidRPr="00E34176">
        <w:rPr>
          <w:rFonts w:ascii="Arial" w:hAnsi="Arial" w:cs="Arial"/>
          <w:sz w:val="22"/>
          <w:szCs w:val="22"/>
        </w:rPr>
        <w:t xml:space="preserve"> or insulin compared with conventional treatment and risk of complications. The Lancet, 352(9131), pp. 837–853.</w:t>
      </w:r>
      <w:r w:rsidRPr="00E34176">
        <w:rPr>
          <w:rFonts w:ascii="Arial" w:hAnsi="Arial" w:cs="Arial"/>
          <w:sz w:val="22"/>
          <w:szCs w:val="22"/>
        </w:rPr>
        <w:br/>
        <w:t>World Health Organization (2023) Global Report on Diabetes. Geneva: WHO.</w:t>
      </w:r>
    </w:p>
    <w:sectPr w:rsidR="00C6778B" w:rsidRPr="00E34176">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6B4C03" w14:textId="77777777" w:rsidR="00D712A3" w:rsidRDefault="00D712A3" w:rsidP="003231F0">
      <w:pPr>
        <w:spacing w:after="0" w:line="240" w:lineRule="auto"/>
      </w:pPr>
      <w:r>
        <w:separator/>
      </w:r>
    </w:p>
  </w:endnote>
  <w:endnote w:type="continuationSeparator" w:id="0">
    <w:p w14:paraId="30250E06" w14:textId="77777777" w:rsidR="00D712A3" w:rsidRDefault="00D712A3" w:rsidP="003231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40307101"/>
      <w:docPartObj>
        <w:docPartGallery w:val="Page Numbers (Bottom of Page)"/>
        <w:docPartUnique/>
      </w:docPartObj>
    </w:sdtPr>
    <w:sdtEndPr>
      <w:rPr>
        <w:color w:val="7F7F7F" w:themeColor="background1" w:themeShade="7F"/>
        <w:spacing w:val="60"/>
      </w:rPr>
    </w:sdtEndPr>
    <w:sdtContent>
      <w:p w14:paraId="0E5BEA62" w14:textId="4B01E005" w:rsidR="000B2ACD" w:rsidRDefault="000B2ACD">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2AA01645" w14:textId="77777777" w:rsidR="000B2ACD" w:rsidRDefault="000B2AC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516C" w14:textId="77777777" w:rsidR="00D712A3" w:rsidRDefault="00D712A3" w:rsidP="003231F0">
      <w:pPr>
        <w:spacing w:after="0" w:line="240" w:lineRule="auto"/>
      </w:pPr>
      <w:r>
        <w:separator/>
      </w:r>
    </w:p>
  </w:footnote>
  <w:footnote w:type="continuationSeparator" w:id="0">
    <w:p w14:paraId="38AAD531" w14:textId="77777777" w:rsidR="00D712A3" w:rsidRDefault="00D712A3" w:rsidP="003231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D8F04" w14:textId="0A2DB59B" w:rsidR="000B2ACD" w:rsidRDefault="00ED78AE">
    <w:pPr>
      <w:pStyle w:val="Header"/>
    </w:pPr>
    <w:r w:rsidRPr="00A406E5">
      <w:rPr>
        <w:rFonts w:ascii="Arial" w:hAnsi="Arial" w:cs="Arial"/>
        <w:noProof/>
      </w:rPr>
      <w:drawing>
        <wp:anchor distT="0" distB="0" distL="114300" distR="114300" simplePos="0" relativeHeight="251659264" behindDoc="0" locked="0" layoutInCell="1" allowOverlap="1" wp14:anchorId="169CC318" wp14:editId="03B21F64">
          <wp:simplePos x="0" y="0"/>
          <wp:positionH relativeFrom="margin">
            <wp:align>right</wp:align>
          </wp:positionH>
          <wp:positionV relativeFrom="paragraph">
            <wp:posOffset>-95885</wp:posOffset>
          </wp:positionV>
          <wp:extent cx="1409700" cy="55245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1409700" cy="552450"/>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C7D1C"/>
    <w:multiLevelType w:val="multilevel"/>
    <w:tmpl w:val="EF16E8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DF93AC1"/>
    <w:multiLevelType w:val="multilevel"/>
    <w:tmpl w:val="7FB85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2A964E9"/>
    <w:multiLevelType w:val="multilevel"/>
    <w:tmpl w:val="20C6A08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722C53D4"/>
    <w:multiLevelType w:val="multilevel"/>
    <w:tmpl w:val="724C4C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41808187">
    <w:abstractNumId w:val="3"/>
  </w:num>
  <w:num w:numId="2" w16cid:durableId="1817838455">
    <w:abstractNumId w:val="1"/>
  </w:num>
  <w:num w:numId="3" w16cid:durableId="737940599">
    <w:abstractNumId w:val="0"/>
  </w:num>
  <w:num w:numId="4" w16cid:durableId="163028008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78B"/>
    <w:rsid w:val="000B2ACD"/>
    <w:rsid w:val="000B587A"/>
    <w:rsid w:val="000F18D8"/>
    <w:rsid w:val="000F3A59"/>
    <w:rsid w:val="000F4709"/>
    <w:rsid w:val="003231F0"/>
    <w:rsid w:val="00325859"/>
    <w:rsid w:val="00344E5D"/>
    <w:rsid w:val="003B4BE1"/>
    <w:rsid w:val="003F121C"/>
    <w:rsid w:val="005838A4"/>
    <w:rsid w:val="00587FD6"/>
    <w:rsid w:val="00813911"/>
    <w:rsid w:val="00926607"/>
    <w:rsid w:val="00967550"/>
    <w:rsid w:val="00A778A8"/>
    <w:rsid w:val="00A97330"/>
    <w:rsid w:val="00C0748C"/>
    <w:rsid w:val="00C6778B"/>
    <w:rsid w:val="00D31ECF"/>
    <w:rsid w:val="00D35274"/>
    <w:rsid w:val="00D712A3"/>
    <w:rsid w:val="00DD67C0"/>
    <w:rsid w:val="00E34176"/>
    <w:rsid w:val="00ED78AE"/>
    <w:rsid w:val="00F414D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B0136"/>
  <w15:chartTrackingRefBased/>
  <w15:docId w15:val="{AE572AF6-1765-4816-A26D-36DC412EE8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6778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6778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6778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6778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6778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6778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6778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6778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6778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778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6778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6778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6778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6778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6778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6778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6778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6778B"/>
    <w:rPr>
      <w:rFonts w:eastAsiaTheme="majorEastAsia" w:cstheme="majorBidi"/>
      <w:color w:val="272727" w:themeColor="text1" w:themeTint="D8"/>
    </w:rPr>
  </w:style>
  <w:style w:type="paragraph" w:styleId="Title">
    <w:name w:val="Title"/>
    <w:basedOn w:val="Normal"/>
    <w:next w:val="Normal"/>
    <w:link w:val="TitleChar"/>
    <w:uiPriority w:val="10"/>
    <w:qFormat/>
    <w:rsid w:val="00C6778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6778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6778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6778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6778B"/>
    <w:pPr>
      <w:spacing w:before="160"/>
      <w:jc w:val="center"/>
    </w:pPr>
    <w:rPr>
      <w:i/>
      <w:iCs/>
      <w:color w:val="404040" w:themeColor="text1" w:themeTint="BF"/>
    </w:rPr>
  </w:style>
  <w:style w:type="character" w:customStyle="1" w:styleId="QuoteChar">
    <w:name w:val="Quote Char"/>
    <w:basedOn w:val="DefaultParagraphFont"/>
    <w:link w:val="Quote"/>
    <w:uiPriority w:val="29"/>
    <w:rsid w:val="00C6778B"/>
    <w:rPr>
      <w:i/>
      <w:iCs/>
      <w:color w:val="404040" w:themeColor="text1" w:themeTint="BF"/>
    </w:rPr>
  </w:style>
  <w:style w:type="paragraph" w:styleId="ListParagraph">
    <w:name w:val="List Paragraph"/>
    <w:basedOn w:val="Normal"/>
    <w:uiPriority w:val="34"/>
    <w:qFormat/>
    <w:rsid w:val="00C6778B"/>
    <w:pPr>
      <w:ind w:left="720"/>
      <w:contextualSpacing/>
    </w:pPr>
  </w:style>
  <w:style w:type="character" w:styleId="IntenseEmphasis">
    <w:name w:val="Intense Emphasis"/>
    <w:basedOn w:val="DefaultParagraphFont"/>
    <w:uiPriority w:val="21"/>
    <w:qFormat/>
    <w:rsid w:val="00C6778B"/>
    <w:rPr>
      <w:i/>
      <w:iCs/>
      <w:color w:val="0F4761" w:themeColor="accent1" w:themeShade="BF"/>
    </w:rPr>
  </w:style>
  <w:style w:type="paragraph" w:styleId="IntenseQuote">
    <w:name w:val="Intense Quote"/>
    <w:basedOn w:val="Normal"/>
    <w:next w:val="Normal"/>
    <w:link w:val="IntenseQuoteChar"/>
    <w:uiPriority w:val="30"/>
    <w:qFormat/>
    <w:rsid w:val="00C6778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6778B"/>
    <w:rPr>
      <w:i/>
      <w:iCs/>
      <w:color w:val="0F4761" w:themeColor="accent1" w:themeShade="BF"/>
    </w:rPr>
  </w:style>
  <w:style w:type="character" w:styleId="IntenseReference">
    <w:name w:val="Intense Reference"/>
    <w:basedOn w:val="DefaultParagraphFont"/>
    <w:uiPriority w:val="32"/>
    <w:qFormat/>
    <w:rsid w:val="00C6778B"/>
    <w:rPr>
      <w:b/>
      <w:bCs/>
      <w:smallCaps/>
      <w:color w:val="0F4761" w:themeColor="accent1" w:themeShade="BF"/>
      <w:spacing w:val="5"/>
    </w:rPr>
  </w:style>
  <w:style w:type="character" w:styleId="Hyperlink">
    <w:name w:val="Hyperlink"/>
    <w:basedOn w:val="DefaultParagraphFont"/>
    <w:uiPriority w:val="99"/>
    <w:unhideWhenUsed/>
    <w:rsid w:val="00C6778B"/>
    <w:rPr>
      <w:color w:val="467886" w:themeColor="hyperlink"/>
      <w:u w:val="single"/>
    </w:rPr>
  </w:style>
  <w:style w:type="character" w:styleId="UnresolvedMention">
    <w:name w:val="Unresolved Mention"/>
    <w:basedOn w:val="DefaultParagraphFont"/>
    <w:uiPriority w:val="99"/>
    <w:semiHidden/>
    <w:unhideWhenUsed/>
    <w:rsid w:val="00C6778B"/>
    <w:rPr>
      <w:color w:val="605E5C"/>
      <w:shd w:val="clear" w:color="auto" w:fill="E1DFDD"/>
    </w:rPr>
  </w:style>
  <w:style w:type="paragraph" w:styleId="Header">
    <w:name w:val="header"/>
    <w:basedOn w:val="Normal"/>
    <w:link w:val="HeaderChar"/>
    <w:uiPriority w:val="99"/>
    <w:unhideWhenUsed/>
    <w:rsid w:val="003231F0"/>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31F0"/>
  </w:style>
  <w:style w:type="paragraph" w:styleId="Footer">
    <w:name w:val="footer"/>
    <w:basedOn w:val="Normal"/>
    <w:link w:val="FooterChar"/>
    <w:uiPriority w:val="99"/>
    <w:unhideWhenUsed/>
    <w:rsid w:val="003231F0"/>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31F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cid:image001.png@01D0EA4A.2BD679A0"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44</TotalTime>
  <Pages>6</Pages>
  <Words>2158</Words>
  <Characters>12307</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Abs Bashar</dc:creator>
  <cp:keywords/>
  <dc:description/>
  <cp:lastModifiedBy>Salma Begum (2409645)</cp:lastModifiedBy>
  <cp:revision>21</cp:revision>
  <dcterms:created xsi:type="dcterms:W3CDTF">2025-11-08T15:01:00Z</dcterms:created>
  <dcterms:modified xsi:type="dcterms:W3CDTF">2025-11-09T19:59:00Z</dcterms:modified>
</cp:coreProperties>
</file>