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bookmarkStart w:name="_Hlk121518199" w:displacedByCustomXml="next" w:id="0"/>
    <w:bookmarkEnd w:displacedByCustomXml="next" w:id="0"/>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14:paraId="78ACA379" w14:textId="7777777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7D1947" w14:paraId="12085BC9" w14:textId="77777777">
              <w:pPr>
                <w:pStyle w:val="NoSpacing"/>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rPr>
              </w:pPr>
              <w:r>
                <w:rPr>
                  <w:rFonts w:asciiTheme="majorHAnsi" w:hAnsiTheme="majorHAnsi" w:eastAsiaTheme="majorEastAsia"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rsidR="007D1947" w:rsidRDefault="007D1947" w14:paraId="65B5E730" w14:textId="77777777">
              <w:pPr>
                <w:pStyle w:val="NoSpacing"/>
                <w:jc w:val="center"/>
                <w:rPr>
                  <w:color w:val="5B9BD5" w:themeColor="accent1"/>
                  <w:sz w:val="28"/>
                  <w:szCs w:val="28"/>
                </w:rPr>
              </w:pPr>
              <w:r>
                <w:rPr>
                  <w:color w:val="5B9BD5" w:themeColor="accent1"/>
                  <w:sz w:val="28"/>
                  <w:szCs w:val="28"/>
                </w:rPr>
                <w:t>[Document subtitle]</w:t>
              </w:r>
            </w:p>
          </w:sdtContent>
        </w:sdt>
        <w:p w:rsidRPr="00441EAD" w:rsidR="00441EAD" w:rsidP="00441EAD" w:rsidRDefault="00441EAD" w14:paraId="3992B75A" w14:textId="77777777">
          <w:pPr>
            <w:pStyle w:val="NoSpacing"/>
            <w:jc w:val="center"/>
            <w:rPr>
              <w:rFonts w:ascii="Arial" w:hAnsi="Arial" w:cs="Arial"/>
              <w:b/>
              <w:bCs/>
              <w:sz w:val="28"/>
              <w:szCs w:val="28"/>
            </w:rPr>
          </w:pPr>
          <w:r w:rsidRPr="00441EAD">
            <w:rPr>
              <w:rFonts w:ascii="Arial" w:hAnsi="Arial" w:cs="Arial"/>
              <w:b/>
              <w:bCs/>
              <w:sz w:val="28"/>
              <w:szCs w:val="28"/>
            </w:rPr>
            <w:t>Marriott International’s Financial Report</w:t>
          </w:r>
        </w:p>
        <w:p w:rsidRPr="00441EAD" w:rsidR="00441EAD" w:rsidP="00441EAD" w:rsidRDefault="00441EAD" w14:paraId="4C90C818" w14:textId="77777777">
          <w:pPr>
            <w:pStyle w:val="NoSpacing"/>
            <w:jc w:val="center"/>
            <w:rPr>
              <w:color w:val="5B9BD5" w:themeColor="accent1"/>
            </w:rPr>
          </w:pPr>
          <w:r w:rsidRPr="00441EAD">
            <w:rPr>
              <w:color w:val="5B9BD5" w:themeColor="accent1"/>
            </w:rPr>
            <w:tab/>
          </w:r>
          <w:r w:rsidRPr="00441EAD">
            <w:rPr>
              <w:color w:val="5B9BD5" w:themeColor="accent1"/>
            </w:rPr>
            <w:t xml:space="preserve"> </w:t>
          </w:r>
          <w:r w:rsidRPr="00441EAD">
            <w:rPr>
              <w:color w:val="5B9BD5" w:themeColor="accent1"/>
            </w:rPr>
            <w:tab/>
          </w:r>
        </w:p>
        <w:p w:rsidRPr="00441EAD" w:rsidR="00441EAD" w:rsidP="00441EAD" w:rsidRDefault="00441EAD" w14:paraId="695916BC" w14:textId="77777777">
          <w:pPr>
            <w:pStyle w:val="NoSpacing"/>
            <w:spacing w:line="360" w:lineRule="auto"/>
            <w:jc w:val="center"/>
            <w:rPr>
              <w:rFonts w:ascii="Arial" w:hAnsi="Arial" w:cs="Arial"/>
              <w:b/>
              <w:bCs/>
              <w:sz w:val="32"/>
              <w:szCs w:val="32"/>
            </w:rPr>
          </w:pPr>
          <w:r w:rsidRPr="00441EAD">
            <w:rPr>
              <w:rFonts w:ascii="Arial" w:hAnsi="Arial" w:cs="Arial"/>
              <w:b/>
              <w:bCs/>
              <w:sz w:val="32"/>
              <w:szCs w:val="32"/>
            </w:rPr>
            <w:t>Mohammed Hassan</w:t>
          </w:r>
        </w:p>
        <w:p w:rsidRPr="00441EAD" w:rsidR="00441EAD" w:rsidP="00441EAD" w:rsidRDefault="00441EAD" w14:paraId="19CA1838" w14:textId="77777777">
          <w:pPr>
            <w:pStyle w:val="NoSpacing"/>
            <w:spacing w:line="360" w:lineRule="auto"/>
            <w:jc w:val="center"/>
            <w:rPr>
              <w:rFonts w:ascii="Arial" w:hAnsi="Arial" w:cs="Arial"/>
              <w:b/>
              <w:bCs/>
              <w:sz w:val="32"/>
              <w:szCs w:val="32"/>
            </w:rPr>
          </w:pPr>
          <w:r w:rsidRPr="00441EAD">
            <w:rPr>
              <w:rFonts w:ascii="Arial" w:hAnsi="Arial" w:cs="Arial"/>
              <w:b/>
              <w:bCs/>
              <w:sz w:val="32"/>
              <w:szCs w:val="32"/>
            </w:rPr>
            <w:t>2027186</w:t>
          </w:r>
        </w:p>
        <w:p w:rsidRPr="00441EAD" w:rsidR="00441EAD" w:rsidP="00441EAD" w:rsidRDefault="00441EAD" w14:paraId="790FE1B9" w14:textId="77777777">
          <w:pPr>
            <w:pStyle w:val="NoSpacing"/>
            <w:spacing w:line="360" w:lineRule="auto"/>
            <w:jc w:val="center"/>
            <w:rPr>
              <w:rFonts w:ascii="Arial" w:hAnsi="Arial" w:cs="Arial"/>
              <w:b/>
              <w:bCs/>
              <w:sz w:val="32"/>
              <w:szCs w:val="32"/>
            </w:rPr>
          </w:pPr>
          <w:r w:rsidRPr="00441EAD">
            <w:rPr>
              <w:rFonts w:ascii="Arial" w:hAnsi="Arial" w:cs="Arial"/>
              <w:b/>
              <w:bCs/>
              <w:sz w:val="32"/>
              <w:szCs w:val="32"/>
            </w:rPr>
            <w:t xml:space="preserve">BMIH5007 </w:t>
          </w:r>
        </w:p>
        <w:p w:rsidRPr="00441EAD" w:rsidR="00441EAD" w:rsidP="00441EAD" w:rsidRDefault="00441EAD" w14:paraId="71537E0D" w14:textId="77777777">
          <w:pPr>
            <w:pStyle w:val="NoSpacing"/>
            <w:spacing w:line="360" w:lineRule="auto"/>
            <w:jc w:val="center"/>
            <w:rPr>
              <w:rFonts w:ascii="Arial" w:hAnsi="Arial" w:cs="Arial"/>
              <w:b/>
              <w:bCs/>
              <w:sz w:val="32"/>
              <w:szCs w:val="32"/>
            </w:rPr>
          </w:pPr>
          <w:r w:rsidRPr="00441EAD">
            <w:rPr>
              <w:rFonts w:ascii="Arial" w:hAnsi="Arial" w:cs="Arial"/>
              <w:b/>
              <w:bCs/>
              <w:sz w:val="32"/>
              <w:szCs w:val="32"/>
            </w:rPr>
            <w:t>Financial Management for the Hotel Industry</w:t>
          </w:r>
        </w:p>
        <w:p w:rsidRPr="00441EAD" w:rsidR="00441EAD" w:rsidP="00441EAD" w:rsidRDefault="00441EAD" w14:paraId="2B179EB4" w14:textId="77777777">
          <w:pPr>
            <w:pStyle w:val="NoSpacing"/>
            <w:jc w:val="center"/>
            <w:rPr>
              <w:color w:val="5B9BD5" w:themeColor="accent1"/>
            </w:rPr>
          </w:pPr>
        </w:p>
        <w:p w:rsidR="007D1947" w:rsidP="00441EAD" w:rsidRDefault="00441EAD" w14:paraId="0E730CFC" w14:textId="048CD219">
          <w:pPr>
            <w:pStyle w:val="NoSpacing"/>
            <w:spacing w:before="480"/>
            <w:jc w:val="center"/>
            <w:rPr>
              <w:color w:val="5B9BD5" w:themeColor="accent1"/>
            </w:rPr>
          </w:pPr>
          <w:r w:rsidRPr="00441EAD">
            <w:rPr>
              <w:rFonts w:ascii="Arial" w:hAnsi="Arial" w:cs="Arial"/>
              <w:b/>
              <w:bCs/>
              <w:sz w:val="32"/>
              <w:szCs w:val="32"/>
            </w:rPr>
            <w:t>Christopher Wilkin</w:t>
          </w:r>
          <w:r w:rsidRPr="00441EAD">
            <w:rPr>
              <w:noProof/>
              <w:lang w:val="en-GB" w:eastAsia="en-GB"/>
            </w:rPr>
            <w:t xml:space="preserve"> </w:t>
          </w:r>
          <w:r w:rsidR="007D1947">
            <w:rPr>
              <w:noProof/>
              <w:color w:val="5B9BD5" w:themeColor="accent1"/>
              <w:lang w:val="en-GB" w:eastAsia="en-GB"/>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rsidRPr="00F20263" w:rsidR="007D1947" w:rsidRDefault="00F20263" w14:paraId="58731C0A" w14:textId="1CD05A1F">
                                    <w:pPr>
                                      <w:pStyle w:val="NoSpacing"/>
                                      <w:spacing w:after="40"/>
                                      <w:jc w:val="center"/>
                                      <w:rPr>
                                        <w:rFonts w:ascii="Arial" w:hAnsi="Arial" w:cs="Arial"/>
                                        <w:b/>
                                        <w:bCs/>
                                        <w:caps/>
                                        <w:sz w:val="28"/>
                                        <w:szCs w:val="28"/>
                                      </w:rPr>
                                    </w:pPr>
                                    <w:r w:rsidRPr="00F20263">
                                      <w:rPr>
                                        <w:rFonts w:ascii="Arial" w:hAnsi="Arial" w:cs="Arial"/>
                                        <w:b/>
                                        <w:bCs/>
                                        <w:caps/>
                                        <w:sz w:val="28"/>
                                        <w:szCs w:val="28"/>
                                      </w:rPr>
                                      <w:t>09 Dec 2022</w:t>
                                    </w:r>
                                  </w:p>
                                </w:sdtContent>
                              </w:sdt>
                              <w:p w:rsidR="007D1947" w:rsidRDefault="00000000" w14:paraId="53078492" w14:textId="777777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000000" w14:paraId="6275C62E"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w14:anchorId="1F67D534">
                  <v:shapetype id="_x0000_t202" coordsize="21600,21600" o:spt="202" path="m,l,21600r21600,l21600,xe" w14:anchorId="42DF9E28">
                    <v:stroke joinstyle="miter"/>
                    <v:path gradientshapeok="t" o:connecttype="rect"/>
                  </v:shapetype>
                  <v:shape id="Text Box 14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id w:val="1413411509"/>
                            <w:rPr>
                              <w:rFonts w:ascii="Arial" w:hAnsi="Arial" w:cs="Arial"/>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rsidRPr="00F20263" w:rsidR="007D1947" w:rsidRDefault="00F20263" w14:paraId="72565CBA" w14:textId="1CD05A1F">
                              <w:pPr>
                                <w:pStyle w:val="NoSpacing"/>
                                <w:spacing w:after="40"/>
                                <w:jc w:val="center"/>
                                <w:rPr>
                                  <w:rFonts w:ascii="Arial" w:hAnsi="Arial" w:cs="Arial"/>
                                  <w:b/>
                                  <w:bCs/>
                                  <w:caps/>
                                  <w:sz w:val="28"/>
                                  <w:szCs w:val="28"/>
                                </w:rPr>
                              </w:pPr>
                              <w:r w:rsidRPr="00F20263">
                                <w:rPr>
                                  <w:rFonts w:ascii="Arial" w:hAnsi="Arial" w:cs="Arial"/>
                                  <w:b/>
                                  <w:bCs/>
                                  <w:caps/>
                                  <w:sz w:val="28"/>
                                  <w:szCs w:val="28"/>
                                </w:rPr>
                                <w:t>09 Dec 2022</w:t>
                              </w:r>
                            </w:p>
                          </w:sdtContent>
                        </w:sdt>
                        <w:p w:rsidR="007D1947" w:rsidRDefault="00000000" w14:paraId="32DFA9BB" w14:textId="77777777">
                          <w:pPr>
                            <w:pStyle w:val="NoSpacing"/>
                            <w:jc w:val="center"/>
                            <w:rPr>
                              <w:color w:val="5B9BD5" w:themeColor="accent1"/>
                            </w:rPr>
                          </w:pPr>
                          <w:sdt>
                            <w:sdtPr>
                              <w:id w:val="2065048379"/>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000000" w14:paraId="207CCF61" w14:textId="77777777">
                          <w:pPr>
                            <w:pStyle w:val="NoSpacing"/>
                            <w:jc w:val="center"/>
                            <w:rPr>
                              <w:color w:val="5B9BD5" w:themeColor="accent1"/>
                            </w:rPr>
                          </w:pPr>
                          <w:sdt>
                            <w:sdtPr>
                              <w:id w:val="1139439524"/>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rPr>
              <w:noProof/>
              <w:color w:val="5B9BD5" w:themeColor="accent1"/>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P="007D1947" w:rsidRDefault="007D1947" w14:paraId="6EC5CC47" w14:textId="77777777">
          <w:pPr>
            <w:pStyle w:val="Heading1"/>
          </w:pPr>
          <w:r>
            <w:br w:type="page"/>
          </w:r>
          <w:bookmarkStart w:name="_Toc463944599" w:id="1"/>
          <w:r>
            <w:lastRenderedPageBreak/>
            <w:t>Executive Summary</w:t>
          </w:r>
          <w:bookmarkEnd w:id="1"/>
        </w:p>
        <w:p w:rsidR="007D1947" w:rsidRDefault="007D1947" w14:paraId="46F14963" w14:textId="48CFA1C5"/>
        <w:p w:rsidR="00454D1D" w:rsidRDefault="00454D1D" w14:paraId="607DCC98" w14:textId="551ECEBD"/>
        <w:p w:rsidRPr="00454D1D" w:rsidR="00454D1D" w:rsidP="00454D1D" w:rsidRDefault="00454D1D" w14:paraId="5EFF05CF" w14:textId="77777777">
          <w:pPr>
            <w:spacing w:line="360" w:lineRule="auto"/>
            <w:rPr>
              <w:rFonts w:ascii="Arial" w:hAnsi="Arial" w:cs="Arial"/>
              <w:sz w:val="24"/>
              <w:szCs w:val="24"/>
            </w:rPr>
          </w:pPr>
          <w:r w:rsidRPr="00454D1D">
            <w:rPr>
              <w:rFonts w:ascii="Arial" w:hAnsi="Arial" w:cs="Arial"/>
              <w:sz w:val="24"/>
              <w:szCs w:val="24"/>
            </w:rPr>
            <w:t>This report’s goal is to examine Marriott International Inc.’s financial account, one of the biggest and strongest hospitality chain in the world, with 30 brands over in 139 countries. By comparing the Marriott 2020 and 2021 financial ratio performance, this report analyses the trends in its financial ratios and draws the necessary conclusions.</w:t>
          </w:r>
        </w:p>
        <w:p w:rsidRPr="00454D1D" w:rsidR="00454D1D" w:rsidP="00454D1D" w:rsidRDefault="00454D1D" w14:paraId="19EE1B9A" w14:textId="0533E47E">
          <w:pPr>
            <w:spacing w:line="360" w:lineRule="auto"/>
            <w:rPr>
              <w:rFonts w:ascii="Arial" w:hAnsi="Arial" w:cs="Arial"/>
              <w:sz w:val="24"/>
              <w:szCs w:val="24"/>
            </w:rPr>
          </w:pPr>
          <w:r w:rsidRPr="352799EA" w:rsidR="00454D1D">
            <w:rPr>
              <w:rFonts w:ascii="Arial" w:hAnsi="Arial" w:cs="Arial"/>
              <w:sz w:val="24"/>
              <w:szCs w:val="24"/>
            </w:rPr>
            <w:t xml:space="preserve">The company’s history will be covered in this report, along with Examine the balance sheet, income statement, and a cash flow statement. Additionally, the report presented use of statistics and details from a report by Marriott International. This research critically examines the technique’s limitations for horizontal ratio analysis, highlighting the reasons why </w:t>
          </w:r>
          <w:r w:rsidRPr="352799EA" w:rsidR="4AB7DB7F">
            <w:rPr>
              <w:rFonts w:ascii="Arial" w:hAnsi="Arial" w:cs="Arial"/>
              <w:sz w:val="24"/>
              <w:szCs w:val="24"/>
            </w:rPr>
            <w:t>some</w:t>
          </w:r>
          <w:r w:rsidRPr="352799EA" w:rsidR="00454D1D">
            <w:rPr>
              <w:rFonts w:ascii="Arial" w:hAnsi="Arial" w:cs="Arial"/>
              <w:sz w:val="24"/>
              <w:szCs w:val="24"/>
            </w:rPr>
            <w:t xml:space="preserve"> knowledge for ratios and information on their fluctuation is crucial for hotel management financial records.</w:t>
          </w:r>
        </w:p>
        <w:p w:rsidR="007D1947" w:rsidRDefault="007D1947" w14:paraId="319933FB" w14:textId="77777777"/>
        <w:p w:rsidR="007D1947" w:rsidRDefault="007D1947" w14:paraId="5D6BF5EE" w14:textId="77777777"/>
        <w:p w:rsidR="007D1947" w:rsidRDefault="007D1947" w14:paraId="11C68BD2" w14:textId="77777777"/>
        <w:p w:rsidR="007D1947" w:rsidRDefault="007D1947" w14:paraId="08EEC166" w14:textId="77777777"/>
        <w:p w:rsidR="007D1947" w:rsidRDefault="007D1947" w14:paraId="4A7E0BD1" w14:textId="77777777"/>
        <w:p w:rsidR="007D1947" w:rsidRDefault="007D1947" w14:paraId="60983FBE" w14:textId="77777777"/>
        <w:p w:rsidR="007D1947" w:rsidRDefault="007D1947" w14:paraId="4BD24EAA" w14:textId="77777777"/>
        <w:p w:rsidR="007D1947" w:rsidRDefault="007D1947" w14:paraId="5E20A626" w14:textId="77777777"/>
        <w:p w:rsidR="007D1947" w:rsidRDefault="007D1947" w14:paraId="2592EA34" w14:textId="77777777"/>
        <w:p w:rsidR="007D1947" w:rsidRDefault="007D1947" w14:paraId="102FA409" w14:textId="77777777"/>
        <w:p w:rsidR="007D1947" w:rsidRDefault="007D1947" w14:paraId="0EB4AA44" w14:textId="77777777"/>
        <w:p w:rsidR="007D1947" w:rsidRDefault="007D1947" w14:paraId="43F4A0A2" w14:textId="77777777"/>
        <w:p w:rsidR="007D1947" w:rsidRDefault="007D1947" w14:paraId="1AC34DF5" w14:textId="77777777"/>
        <w:p w:rsidR="007D1947" w:rsidRDefault="007D1947" w14:paraId="51926115" w14:textId="77777777"/>
        <w:p w:rsidR="007D1947" w:rsidRDefault="007D1947" w14:paraId="77A33B7E" w14:textId="77777777"/>
        <w:p w:rsidR="007D1947" w:rsidRDefault="007D1947" w14:paraId="4C2E3AF2" w14:textId="77777777"/>
        <w:p w:rsidR="007D1947" w:rsidRDefault="007D1947" w14:paraId="24983E97" w14:textId="77777777"/>
        <w:p w:rsidR="007D1947" w:rsidRDefault="007D1947" w14:paraId="7FA5F72D" w14:textId="77777777"/>
        <w:p w:rsidR="007D1947" w:rsidRDefault="007D1947" w14:paraId="1D086EC3" w14:textId="77777777"/>
        <w:p w:rsidR="007D1947" w:rsidRDefault="007D1947" w14:paraId="678DFA97" w14:textId="77777777"/>
        <w:p w:rsidR="007D1947" w:rsidRDefault="007D1947" w14:paraId="4CD36532" w14:textId="77777777"/>
        <w:p w:rsidR="007D1947" w:rsidRDefault="007D1947" w14:paraId="64DE100B" w14:textId="77777777"/>
        <w:p w:rsidR="007D1947" w:rsidRDefault="007D1947" w14:paraId="361A70E1" w14:textId="77777777"/>
        <w:p w:rsidR="007D1947" w:rsidRDefault="007D1947" w14:paraId="2F693D62" w14:textId="77777777"/>
        <w:p w:rsidR="007D1947" w:rsidRDefault="007D1947" w14:paraId="7364A3AD" w14:textId="77777777"/>
        <w:p w:rsidR="007D1947" w:rsidP="00350338" w:rsidRDefault="007D1947" w14:paraId="76E82432" w14:textId="77777777">
          <w:pPr>
            <w:jc w:val="right"/>
          </w:pPr>
        </w:p>
        <w:p w:rsidR="007D1947" w:rsidRDefault="007D1947" w14:paraId="42C19836" w14:textId="77777777"/>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14:paraId="17F927D0" w14:textId="77777777">
              <w:pPr>
                <w:pStyle w:val="TOCHeading"/>
              </w:pPr>
              <w:r>
                <w:t>Table of Contents</w:t>
              </w:r>
            </w:p>
            <w:p w:rsidR="00115B96" w:rsidRDefault="007D1947" w14:paraId="4C790205" w14:textId="777777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463944599">
                <w:r w:rsidRPr="009B0210" w:rsidR="00115B96">
                  <w:rPr>
                    <w:rStyle w:val="Hyperlink"/>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115B96">
                  <w:rPr>
                    <w:noProof/>
                    <w:webHidden/>
                  </w:rPr>
                  <w:t>1</w:t>
                </w:r>
                <w:r w:rsidR="00115B96">
                  <w:rPr>
                    <w:noProof/>
                    <w:webHidden/>
                  </w:rPr>
                  <w:fldChar w:fldCharType="end"/>
                </w:r>
              </w:hyperlink>
            </w:p>
            <w:p w:rsidR="00115B96" w:rsidRDefault="00000000" w14:paraId="594F6124" w14:textId="77777777">
              <w:pPr>
                <w:pStyle w:val="TOC1"/>
                <w:tabs>
                  <w:tab w:val="right" w:leader="dot" w:pos="9016"/>
                </w:tabs>
                <w:rPr>
                  <w:rFonts w:eastAsiaTheme="minorEastAsia"/>
                  <w:noProof/>
                  <w:lang w:eastAsia="en-GB"/>
                </w:rPr>
              </w:pPr>
              <w:hyperlink w:history="1" w:anchor="_Toc463944600">
                <w:r w:rsidRPr="009B0210" w:rsidR="00115B96">
                  <w:rPr>
                    <w:rStyle w:val="Hyperlink"/>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115B96">
                  <w:rPr>
                    <w:noProof/>
                    <w:webHidden/>
                  </w:rPr>
                  <w:t>3</w:t>
                </w:r>
                <w:r w:rsidR="00115B96">
                  <w:rPr>
                    <w:noProof/>
                    <w:webHidden/>
                  </w:rPr>
                  <w:fldChar w:fldCharType="end"/>
                </w:r>
              </w:hyperlink>
            </w:p>
            <w:p w:rsidR="00115B96" w:rsidRDefault="00000000" w14:paraId="554E8E6C" w14:textId="5FFB6B00">
              <w:pPr>
                <w:pStyle w:val="TOC1"/>
                <w:tabs>
                  <w:tab w:val="right" w:leader="dot" w:pos="9016"/>
                </w:tabs>
                <w:rPr>
                  <w:rFonts w:eastAsiaTheme="minorEastAsia"/>
                  <w:noProof/>
                  <w:lang w:eastAsia="en-GB"/>
                </w:rPr>
              </w:pPr>
              <w:hyperlink w:history="1" w:anchor="_Toc463944602">
                <w:r w:rsidRPr="009B0210" w:rsidR="00115B96">
                  <w:rPr>
                    <w:rStyle w:val="Hyperlink"/>
                    <w:noProof/>
                  </w:rPr>
                  <w:t>Financial Analysis Trends</w:t>
                </w:r>
                <w:r w:rsidR="00115B96">
                  <w:rPr>
                    <w:noProof/>
                    <w:webHidden/>
                  </w:rPr>
                  <w:tab/>
                </w:r>
                <w:r w:rsidR="00350338">
                  <w:rPr>
                    <w:noProof/>
                    <w:webHidden/>
                  </w:rPr>
                  <w:t>5</w:t>
                </w:r>
              </w:hyperlink>
            </w:p>
            <w:p w:rsidR="00115B96" w:rsidRDefault="00000000" w14:paraId="41BAB81A" w14:textId="13ADBB13">
              <w:pPr>
                <w:pStyle w:val="TOC2"/>
                <w:tabs>
                  <w:tab w:val="right" w:leader="dot" w:pos="9016"/>
                </w:tabs>
                <w:rPr>
                  <w:noProof/>
                </w:rPr>
              </w:pPr>
              <w:hyperlink w:history="1" w:anchor="_Toc463944603">
                <w:r w:rsidRPr="009B0210" w:rsidR="00115B96">
                  <w:rPr>
                    <w:rStyle w:val="Hyperlink"/>
                    <w:noProof/>
                  </w:rPr>
                  <w:t>Profitability</w:t>
                </w:r>
                <w:r w:rsidR="00115B96">
                  <w:rPr>
                    <w:noProof/>
                    <w:webHidden/>
                  </w:rPr>
                  <w:tab/>
                </w:r>
                <w:r w:rsidR="00350338">
                  <w:rPr>
                    <w:noProof/>
                    <w:webHidden/>
                  </w:rPr>
                  <w:t>6</w:t>
                </w:r>
              </w:hyperlink>
            </w:p>
            <w:p w:rsidR="00115B96" w:rsidRDefault="00000000" w14:paraId="33358261" w14:textId="75EAEBA3">
              <w:pPr>
                <w:pStyle w:val="TOC2"/>
                <w:tabs>
                  <w:tab w:val="right" w:leader="dot" w:pos="9016"/>
                </w:tabs>
                <w:rPr>
                  <w:noProof/>
                </w:rPr>
              </w:pPr>
              <w:hyperlink w:history="1" w:anchor="_Toc463944604">
                <w:r w:rsidRPr="009B0210" w:rsidR="00115B96">
                  <w:rPr>
                    <w:rStyle w:val="Hyperlink"/>
                    <w:noProof/>
                  </w:rPr>
                  <w:t>Liquidity</w:t>
                </w:r>
                <w:r w:rsidR="00115B96">
                  <w:rPr>
                    <w:noProof/>
                    <w:webHidden/>
                  </w:rPr>
                  <w:tab/>
                </w:r>
                <w:r w:rsidR="00350338">
                  <w:rPr>
                    <w:noProof/>
                    <w:webHidden/>
                  </w:rPr>
                  <w:t>7</w:t>
                </w:r>
              </w:hyperlink>
            </w:p>
            <w:p w:rsidR="00115B96" w:rsidRDefault="00000000" w14:paraId="26D7A146" w14:textId="087533BC">
              <w:pPr>
                <w:pStyle w:val="TOC2"/>
                <w:tabs>
                  <w:tab w:val="right" w:leader="dot" w:pos="9016"/>
                </w:tabs>
                <w:rPr>
                  <w:noProof/>
                </w:rPr>
              </w:pPr>
              <w:hyperlink w:history="1" w:anchor="_Toc463944605">
                <w:r w:rsidRPr="009B0210" w:rsidR="00115B96">
                  <w:rPr>
                    <w:rStyle w:val="Hyperlink"/>
                    <w:noProof/>
                  </w:rPr>
                  <w:t>Gearing</w:t>
                </w:r>
                <w:r w:rsidR="00115B96">
                  <w:rPr>
                    <w:noProof/>
                    <w:webHidden/>
                  </w:rPr>
                  <w:tab/>
                </w:r>
                <w:r w:rsidR="00350338">
                  <w:rPr>
                    <w:noProof/>
                    <w:webHidden/>
                  </w:rPr>
                  <w:t>8</w:t>
                </w:r>
              </w:hyperlink>
            </w:p>
            <w:p w:rsidR="00115B96" w:rsidRDefault="00000000" w14:paraId="3952D2B2" w14:textId="3237451A">
              <w:pPr>
                <w:pStyle w:val="TOC1"/>
                <w:tabs>
                  <w:tab w:val="right" w:leader="dot" w:pos="9016"/>
                </w:tabs>
                <w:rPr>
                  <w:rFonts w:eastAsiaTheme="minorEastAsia"/>
                  <w:noProof/>
                  <w:lang w:eastAsia="en-GB"/>
                </w:rPr>
              </w:pPr>
              <w:hyperlink w:history="1" w:anchor="_Toc463944606">
                <w:r w:rsidRPr="009B0210" w:rsidR="00115B96">
                  <w:rPr>
                    <w:rStyle w:val="Hyperlink"/>
                    <w:noProof/>
                  </w:rPr>
                  <w:t>Knowledge from Ratio Analysis</w:t>
                </w:r>
                <w:r w:rsidR="00115B96">
                  <w:rPr>
                    <w:noProof/>
                    <w:webHidden/>
                  </w:rPr>
                  <w:tab/>
                </w:r>
                <w:r w:rsidR="00C13D5B">
                  <w:rPr>
                    <w:noProof/>
                    <w:webHidden/>
                  </w:rPr>
                  <w:t>9</w:t>
                </w:r>
              </w:hyperlink>
            </w:p>
            <w:p w:rsidR="00115B96" w:rsidRDefault="00000000" w14:paraId="3969CF74" w14:textId="1B6321F8">
              <w:pPr>
                <w:pStyle w:val="TOC1"/>
                <w:tabs>
                  <w:tab w:val="right" w:leader="dot" w:pos="9016"/>
                </w:tabs>
                <w:rPr>
                  <w:rFonts w:eastAsiaTheme="minorEastAsia"/>
                  <w:noProof/>
                  <w:lang w:eastAsia="en-GB"/>
                </w:rPr>
              </w:pPr>
              <w:hyperlink w:history="1" w:anchor="_Toc463944607">
                <w:r w:rsidRPr="009B0210" w:rsidR="00115B96">
                  <w:rPr>
                    <w:rStyle w:val="Hyperlink"/>
                    <w:noProof/>
                  </w:rPr>
                  <w:t>Benefits and Limitations of Ratio Analysis</w:t>
                </w:r>
                <w:r w:rsidR="00115B96">
                  <w:rPr>
                    <w:noProof/>
                    <w:webHidden/>
                  </w:rPr>
                  <w:tab/>
                </w:r>
                <w:r w:rsidR="00C13D5B">
                  <w:rPr>
                    <w:noProof/>
                    <w:webHidden/>
                  </w:rPr>
                  <w:t>10</w:t>
                </w:r>
              </w:hyperlink>
            </w:p>
            <w:p w:rsidR="00115B96" w:rsidRDefault="00000000" w14:paraId="2B487859" w14:textId="1B3B7016">
              <w:pPr>
                <w:pStyle w:val="TOC1"/>
                <w:tabs>
                  <w:tab w:val="right" w:leader="dot" w:pos="9016"/>
                </w:tabs>
                <w:rPr>
                  <w:rFonts w:eastAsiaTheme="minorEastAsia"/>
                  <w:noProof/>
                  <w:lang w:eastAsia="en-GB"/>
                </w:rPr>
              </w:pPr>
              <w:hyperlink w:history="1" w:anchor="_Toc463944608">
                <w:r w:rsidRPr="009B0210" w:rsidR="00115B96">
                  <w:rPr>
                    <w:rStyle w:val="Hyperlink"/>
                    <w:noProof/>
                  </w:rPr>
                  <w:t>Conclusion (average of 10% of word count)</w:t>
                </w:r>
                <w:r w:rsidR="00115B96">
                  <w:rPr>
                    <w:noProof/>
                    <w:webHidden/>
                  </w:rPr>
                  <w:tab/>
                </w:r>
                <w:r w:rsidR="00C13D5B">
                  <w:rPr>
                    <w:noProof/>
                    <w:webHidden/>
                  </w:rPr>
                  <w:t>11</w:t>
                </w:r>
              </w:hyperlink>
            </w:p>
            <w:p w:rsidR="00115B96" w:rsidRDefault="00000000" w14:paraId="163DB4B1" w14:textId="10B67626">
              <w:pPr>
                <w:pStyle w:val="TOC1"/>
                <w:tabs>
                  <w:tab w:val="right" w:leader="dot" w:pos="9016"/>
                </w:tabs>
                <w:rPr>
                  <w:rFonts w:eastAsiaTheme="minorEastAsia"/>
                  <w:noProof/>
                  <w:lang w:eastAsia="en-GB"/>
                </w:rPr>
              </w:pPr>
              <w:hyperlink w:history="1" w:anchor="_Toc463944609">
                <w:r w:rsidRPr="009B0210" w:rsidR="00115B96">
                  <w:rPr>
                    <w:rStyle w:val="Hyperlink"/>
                    <w:noProof/>
                  </w:rPr>
                  <w:t>Bibliography</w:t>
                </w:r>
                <w:r w:rsidR="00115B96">
                  <w:rPr>
                    <w:noProof/>
                    <w:webHidden/>
                  </w:rPr>
                  <w:tab/>
                </w:r>
                <w:r w:rsidR="002A0B56">
                  <w:rPr>
                    <w:noProof/>
                    <w:webHidden/>
                  </w:rPr>
                  <w:t>13</w:t>
                </w:r>
              </w:hyperlink>
            </w:p>
            <w:p w:rsidR="007D1947" w:rsidRDefault="007D1947" w14:paraId="5849B348" w14:textId="77777777">
              <w:r>
                <w:rPr>
                  <w:b/>
                  <w:bCs/>
                  <w:noProof/>
                </w:rPr>
                <w:fldChar w:fldCharType="end"/>
              </w:r>
              <w:r w:rsidR="00115B96">
                <w:rPr>
                  <w:b/>
                  <w:bCs/>
                  <w:noProof/>
                </w:rPr>
                <w:t>UPDATE TABLE FREQUENTLY – CHECK IT HAS BEEN UPDATED PRIOR TO SUBMISSION</w:t>
              </w:r>
            </w:p>
          </w:sdtContent>
        </w:sdt>
        <w:p w:rsidR="007D1947" w:rsidRDefault="007D1947" w14:paraId="1E6FA7DA" w14:textId="77777777"/>
        <w:p w:rsidR="007D1947" w:rsidRDefault="007D1947" w14:paraId="3C870FBE" w14:textId="77777777"/>
        <w:p w:rsidR="007D1947" w:rsidRDefault="007D1947" w14:paraId="2473B2AF" w14:textId="77777777"/>
        <w:p w:rsidR="007D1947" w:rsidRDefault="007D1947" w14:paraId="059AA211" w14:textId="77777777"/>
        <w:p w:rsidR="007D1947" w:rsidRDefault="007D1947" w14:paraId="18482C63" w14:textId="77777777"/>
        <w:p w:rsidR="007D1947" w:rsidRDefault="007D1947" w14:paraId="23DB8D03" w14:textId="77777777"/>
        <w:p w:rsidR="007D1947" w:rsidRDefault="007D1947" w14:paraId="38BD64A9" w14:textId="77777777"/>
        <w:p w:rsidR="007D1947" w:rsidRDefault="007D1947" w14:paraId="54CB868D" w14:textId="77777777"/>
        <w:p w:rsidR="007D1947" w:rsidRDefault="007D1947" w14:paraId="1EF5C34A" w14:textId="77777777"/>
        <w:p w:rsidR="007D1947" w:rsidRDefault="007D1947" w14:paraId="5551AF38" w14:textId="77777777"/>
        <w:p w:rsidR="007D1947" w:rsidRDefault="007D1947" w14:paraId="39BBE02B" w14:textId="77777777"/>
        <w:p w:rsidR="007D1947" w:rsidRDefault="007D1947" w14:paraId="7793AFE1" w14:textId="77777777"/>
        <w:p w:rsidR="007D1947" w:rsidRDefault="007D1947" w14:paraId="77CF37E8" w14:textId="77777777"/>
        <w:p w:rsidR="007D1947" w:rsidRDefault="007D1947" w14:paraId="63A0B225" w14:textId="77777777"/>
        <w:p w:rsidR="007D1947" w:rsidRDefault="007D1947" w14:paraId="26DF20D1" w14:textId="77777777"/>
        <w:p w:rsidR="007D1947" w:rsidRDefault="007D1947" w14:paraId="58FAB091" w14:textId="77777777"/>
        <w:p w:rsidR="007D1947" w:rsidRDefault="007D1947" w14:paraId="24547ED3" w14:textId="77777777"/>
        <w:p w:rsidR="007D1947" w:rsidRDefault="007D1947" w14:paraId="58921774" w14:textId="77777777"/>
        <w:p w:rsidR="007D1947" w:rsidRDefault="007D1947" w14:paraId="779A9CD2" w14:textId="77777777"/>
        <w:p w:rsidR="007D1947" w:rsidRDefault="007D1947" w14:paraId="017F22C6" w14:textId="77777777"/>
        <w:p w:rsidR="007D1947" w:rsidRDefault="007D1947" w14:paraId="0565AA6C" w14:textId="77777777"/>
        <w:p w:rsidR="007D1947" w:rsidRDefault="007D1947" w14:paraId="2847B652" w14:textId="77777777"/>
        <w:p w:rsidR="007D1947" w:rsidRDefault="007D1947" w14:paraId="622A38E4" w14:textId="77777777"/>
        <w:p w:rsidR="007D1947" w:rsidRDefault="007D1947" w14:paraId="08D58039" w14:textId="77777777"/>
        <w:p w:rsidR="007D1947" w:rsidRDefault="007D1947" w14:paraId="01A4D065" w14:textId="77777777"/>
        <w:p w:rsidR="007D1947" w:rsidRDefault="007D1947" w14:paraId="2ADB6352" w14:textId="77777777"/>
        <w:p w:rsidR="007D1947" w:rsidRDefault="007D1947" w14:paraId="3D7E1635" w14:textId="77777777"/>
        <w:p w:rsidR="007D1947" w:rsidRDefault="007D1947" w14:paraId="2926D74B" w14:textId="77777777"/>
        <w:p w:rsidR="007D1947" w:rsidP="007D1947" w:rsidRDefault="007D1947" w14:paraId="521E26EC" w14:textId="77777777">
          <w:pPr>
            <w:pStyle w:val="Heading1"/>
          </w:pPr>
          <w:bookmarkStart w:name="_Toc463944600" w:id="2"/>
          <w:r>
            <w:t>Introduction</w:t>
          </w:r>
          <w:bookmarkEnd w:id="2"/>
        </w:p>
        <w:p w:rsidR="004A11F6" w:rsidP="007D1947" w:rsidRDefault="004A11F6" w14:paraId="5344B2AD" w14:textId="17454E29"/>
        <w:p w:rsidR="00C26FE3" w:rsidP="007D1947" w:rsidRDefault="00C26FE3" w14:paraId="58D444C6" w14:textId="625F3D83"/>
        <w:p w:rsidRPr="00C26FE3" w:rsidR="00C26FE3" w:rsidP="00C26FE3" w:rsidRDefault="00C26FE3" w14:paraId="2AD4E51D" w14:textId="5851611B">
          <w:pPr>
            <w:spacing w:line="360" w:lineRule="auto"/>
            <w:rPr>
              <w:rFonts w:ascii="Arial" w:hAnsi="Arial" w:cs="Arial"/>
              <w:sz w:val="24"/>
              <w:szCs w:val="24"/>
            </w:rPr>
          </w:pPr>
          <w:r w:rsidRPr="352799EA" w:rsidR="4AA34811">
            <w:rPr>
              <w:rFonts w:ascii="Arial" w:hAnsi="Arial" w:cs="Arial"/>
              <w:sz w:val="24"/>
              <w:szCs w:val="24"/>
            </w:rPr>
            <w:t>Let us</w:t>
          </w:r>
          <w:r w:rsidRPr="352799EA" w:rsidR="00C26FE3">
            <w:rPr>
              <w:rFonts w:ascii="Arial" w:hAnsi="Arial" w:cs="Arial"/>
              <w:sz w:val="24"/>
              <w:szCs w:val="24"/>
            </w:rPr>
            <w:t xml:space="preserve"> look at Background of a multinational hospitality company is Marriott International. </w:t>
          </w:r>
          <w:bookmarkStart w:name="_Int_BNXp5kJV" w:id="693083182"/>
          <w:r w:rsidRPr="352799EA" w:rsidR="48A113DE">
            <w:rPr>
              <w:rFonts w:ascii="Arial" w:hAnsi="Arial" w:cs="Arial"/>
              <w:sz w:val="24"/>
              <w:szCs w:val="24"/>
            </w:rPr>
            <w:t>Who is</w:t>
          </w:r>
          <w:bookmarkEnd w:id="693083182"/>
          <w:r w:rsidRPr="352799EA" w:rsidR="00C26FE3">
            <w:rPr>
              <w:rFonts w:ascii="Arial" w:hAnsi="Arial" w:cs="Arial"/>
              <w:sz w:val="24"/>
              <w:szCs w:val="24"/>
            </w:rPr>
            <w:t xml:space="preserve"> founding took place in Washington, D.C. in 1927. Robert Willard and Alice Marriott founded the business as A&amp;W at first. And later converted it to hot shoppes from Root Beer Stand restaurants following the addition of food items to the menu. Marriott entered in hotel industry in 1957 with the opening of the first motor hotel in Arlington, Virginia. Now in 2022 Marriott have the strongest portfolio in the industry, </w:t>
          </w:r>
          <w:r w:rsidRPr="352799EA" w:rsidR="00C26FE3">
            <w:rPr>
              <w:rFonts w:ascii="Arial" w:hAnsi="Arial" w:cs="Arial"/>
              <w:sz w:val="24"/>
              <w:szCs w:val="24"/>
            </w:rPr>
            <w:t>providing</w:t>
          </w:r>
          <w:r w:rsidRPr="352799EA" w:rsidR="00C26FE3">
            <w:rPr>
              <w:rFonts w:ascii="Arial" w:hAnsi="Arial" w:cs="Arial"/>
              <w:sz w:val="24"/>
              <w:szCs w:val="24"/>
            </w:rPr>
            <w:t xml:space="preserve"> more options for people to interact, learn, and broaden their perspective. Marriott’s portfolio includes 30 Brands and 8000+ dispersed across 139 countries and territories, White, (2021).</w:t>
          </w:r>
        </w:p>
        <w:p w:rsidRPr="00C26FE3" w:rsidR="00C26FE3" w:rsidP="00C26FE3" w:rsidRDefault="00C26FE3" w14:paraId="44665F1A" w14:textId="65FFCBF5">
          <w:pPr>
            <w:spacing w:line="360" w:lineRule="auto"/>
            <w:rPr>
              <w:rFonts w:ascii="Arial" w:hAnsi="Arial" w:cs="Arial"/>
              <w:sz w:val="24"/>
              <w:szCs w:val="24"/>
            </w:rPr>
          </w:pPr>
          <w:r w:rsidRPr="352799EA" w:rsidR="00C26FE3">
            <w:rPr>
              <w:rFonts w:ascii="Arial" w:hAnsi="Arial" w:cs="Arial"/>
              <w:sz w:val="24"/>
              <w:szCs w:val="24"/>
            </w:rPr>
            <w:t xml:space="preserve">An effective business’s </w:t>
          </w:r>
          <w:r w:rsidRPr="352799EA" w:rsidR="00C26FE3">
            <w:rPr>
              <w:rFonts w:ascii="Arial" w:hAnsi="Arial" w:cs="Arial"/>
              <w:sz w:val="24"/>
              <w:szCs w:val="24"/>
            </w:rPr>
            <w:t>financial management</w:t>
          </w:r>
          <w:r w:rsidRPr="352799EA" w:rsidR="00C26FE3">
            <w:rPr>
              <w:rFonts w:ascii="Arial" w:hAnsi="Arial" w:cs="Arial"/>
              <w:sz w:val="24"/>
              <w:szCs w:val="24"/>
            </w:rPr>
            <w:t xml:space="preserve"> creates the groundwork for its success. Like how successful hotels relay on sound </w:t>
          </w:r>
          <w:bookmarkStart w:name="_Int_h2oUAjR9" w:id="1637998706"/>
          <w:r w:rsidRPr="352799EA" w:rsidR="2E357C56">
            <w:rPr>
              <w:rFonts w:ascii="Arial" w:hAnsi="Arial" w:cs="Arial"/>
              <w:sz w:val="24"/>
              <w:szCs w:val="24"/>
            </w:rPr>
            <w:t>fiscal management</w:t>
          </w:r>
          <w:bookmarkEnd w:id="1637998706"/>
          <w:r w:rsidRPr="352799EA" w:rsidR="00C26FE3">
            <w:rPr>
              <w:rFonts w:ascii="Arial" w:hAnsi="Arial" w:cs="Arial"/>
              <w:sz w:val="24"/>
              <w:szCs w:val="24"/>
            </w:rPr>
            <w:t xml:space="preserve"> techniques to run their businesses profitability. The creation of an </w:t>
          </w:r>
          <w:r w:rsidRPr="352799EA" w:rsidR="70F5704D">
            <w:rPr>
              <w:rFonts w:ascii="Arial" w:hAnsi="Arial" w:cs="Arial"/>
              <w:sz w:val="24"/>
              <w:szCs w:val="24"/>
            </w:rPr>
            <w:t>annual</w:t>
          </w:r>
          <w:r w:rsidRPr="352799EA" w:rsidR="00C26FE3">
            <w:rPr>
              <w:rFonts w:ascii="Arial" w:hAnsi="Arial" w:cs="Arial"/>
              <w:sz w:val="24"/>
              <w:szCs w:val="24"/>
            </w:rPr>
            <w:t xml:space="preserve"> </w:t>
          </w:r>
          <w:r w:rsidRPr="352799EA" w:rsidR="6665FCDC">
            <w:rPr>
              <w:rFonts w:ascii="Arial" w:hAnsi="Arial" w:cs="Arial"/>
              <w:sz w:val="24"/>
              <w:szCs w:val="24"/>
            </w:rPr>
            <w:t>budget</w:t>
          </w:r>
          <w:r w:rsidRPr="352799EA" w:rsidR="00C26FE3">
            <w:rPr>
              <w:rFonts w:ascii="Arial" w:hAnsi="Arial" w:cs="Arial"/>
              <w:sz w:val="24"/>
              <w:szCs w:val="24"/>
            </w:rPr>
            <w:t xml:space="preserve">, the development of a comprehensive financial monitoring model, ongoing audits, and the development of a reporting structure that enables managers to keep track of data are all examples of best practices for </w:t>
          </w:r>
          <w:r w:rsidRPr="352799EA" w:rsidR="00C26FE3">
            <w:rPr>
              <w:rFonts w:ascii="Arial" w:hAnsi="Arial" w:cs="Arial"/>
              <w:sz w:val="24"/>
              <w:szCs w:val="24"/>
            </w:rPr>
            <w:t>financial management</w:t>
          </w:r>
          <w:r w:rsidRPr="352799EA" w:rsidR="00C26FE3">
            <w:rPr>
              <w:rFonts w:ascii="Arial" w:hAnsi="Arial" w:cs="Arial"/>
              <w:sz w:val="24"/>
              <w:szCs w:val="24"/>
            </w:rPr>
            <w:t xml:space="preserve"> in the hospitality sector, Gittens, (2022).</w:t>
          </w:r>
        </w:p>
        <w:p w:rsidRPr="00C26FE3" w:rsidR="00C26FE3" w:rsidP="00C26FE3" w:rsidRDefault="00C26FE3" w14:paraId="265B52EC" w14:textId="3387EA35">
          <w:pPr>
            <w:spacing w:line="360" w:lineRule="auto"/>
            <w:rPr>
              <w:rFonts w:ascii="Arial" w:hAnsi="Arial" w:cs="Arial"/>
              <w:sz w:val="24"/>
              <w:szCs w:val="24"/>
            </w:rPr>
          </w:pPr>
          <w:r w:rsidRPr="352799EA" w:rsidR="00C26FE3">
            <w:rPr>
              <w:rFonts w:ascii="Arial" w:hAnsi="Arial" w:cs="Arial"/>
              <w:sz w:val="24"/>
              <w:szCs w:val="24"/>
            </w:rPr>
            <w:t xml:space="preserve">The hospitality sector has a high concentration of fixed and tangible assets, </w:t>
          </w:r>
          <w:r w:rsidRPr="352799EA" w:rsidR="00C26FE3">
            <w:rPr>
              <w:rFonts w:ascii="Arial" w:hAnsi="Arial" w:cs="Arial"/>
              <w:sz w:val="24"/>
              <w:szCs w:val="24"/>
            </w:rPr>
            <w:t>necessitating</w:t>
          </w:r>
          <w:r w:rsidRPr="352799EA" w:rsidR="00C26FE3">
            <w:rPr>
              <w:rFonts w:ascii="Arial" w:hAnsi="Arial" w:cs="Arial"/>
              <w:sz w:val="24"/>
              <w:szCs w:val="24"/>
            </w:rPr>
            <w:t xml:space="preserve"> the use of a particularly specialised set of financial parameters to effectively assess the sector. A use of few useful financial measures to make apple-to-apple comparisons, profitability ratios, gearing ratios, and liquidity ratios are only a few examples. Using these </w:t>
          </w:r>
          <w:bookmarkStart w:name="_Int_Flg46S28" w:id="1611640553"/>
          <w:r w:rsidRPr="352799EA" w:rsidR="793E1A68">
            <w:rPr>
              <w:rFonts w:ascii="Arial" w:hAnsi="Arial" w:cs="Arial"/>
              <w:sz w:val="24"/>
              <w:szCs w:val="24"/>
            </w:rPr>
            <w:t>ratios</w:t>
          </w:r>
          <w:bookmarkEnd w:id="1611640553"/>
          <w:r w:rsidRPr="352799EA" w:rsidR="00C26FE3">
            <w:rPr>
              <w:rFonts w:ascii="Arial" w:hAnsi="Arial" w:cs="Arial"/>
              <w:sz w:val="24"/>
              <w:szCs w:val="24"/>
            </w:rPr>
            <w:t xml:space="preserve"> and their formulas, one can analyse and assess the efficacy of actual activities in relation to the history of the previous two years, Tarver, (2021).</w:t>
          </w:r>
        </w:p>
        <w:p w:rsidR="00C26FE3" w:rsidP="00C26FE3" w:rsidRDefault="00C26FE3" w14:paraId="7AC7C5C5" w14:textId="1F43196B">
          <w:pPr>
            <w:spacing w:line="360" w:lineRule="auto"/>
            <w:rPr>
              <w:rFonts w:ascii="Arial" w:hAnsi="Arial" w:cs="Arial"/>
              <w:sz w:val="24"/>
              <w:szCs w:val="24"/>
            </w:rPr>
          </w:pPr>
          <w:r w:rsidRPr="352799EA" w:rsidR="00C26FE3">
            <w:rPr>
              <w:rFonts w:ascii="Arial" w:hAnsi="Arial" w:cs="Arial"/>
              <w:sz w:val="24"/>
              <w:szCs w:val="24"/>
            </w:rPr>
            <w:t xml:space="preserve">Trend analysis is a common name for horizontal analysis, </w:t>
          </w:r>
          <w:bookmarkStart w:name="_Int_TS7HAUFY" w:id="1055302670"/>
          <w:r w:rsidRPr="352799EA" w:rsidR="6A35AA71">
            <w:rPr>
              <w:rFonts w:ascii="Arial" w:hAnsi="Arial" w:cs="Arial"/>
              <w:sz w:val="24"/>
              <w:szCs w:val="24"/>
            </w:rPr>
            <w:t>to</w:t>
          </w:r>
          <w:bookmarkEnd w:id="1055302670"/>
          <w:r w:rsidRPr="352799EA" w:rsidR="00C26FE3">
            <w:rPr>
              <w:rFonts w:ascii="Arial" w:hAnsi="Arial" w:cs="Arial"/>
              <w:sz w:val="24"/>
              <w:szCs w:val="24"/>
            </w:rPr>
            <w:t xml:space="preserve"> fine trend and forecast results, trend analysis entrails analysing data from </w:t>
          </w:r>
          <w:r w:rsidRPr="352799EA" w:rsidR="00C26FE3">
            <w:rPr>
              <w:rFonts w:ascii="Arial" w:hAnsi="Arial" w:cs="Arial"/>
              <w:sz w:val="24"/>
              <w:szCs w:val="24"/>
            </w:rPr>
            <w:t>numerous</w:t>
          </w:r>
          <w:r w:rsidRPr="352799EA" w:rsidR="00C26FE3">
            <w:rPr>
              <w:rFonts w:ascii="Arial" w:hAnsi="Arial" w:cs="Arial"/>
              <w:sz w:val="24"/>
              <w:szCs w:val="24"/>
            </w:rPr>
            <w:t xml:space="preserve"> successive time eras. For example, a business can </w:t>
          </w:r>
          <w:r w:rsidRPr="352799EA" w:rsidR="7A2BD437">
            <w:rPr>
              <w:rFonts w:ascii="Arial" w:hAnsi="Arial" w:cs="Arial"/>
              <w:sz w:val="24"/>
              <w:szCs w:val="24"/>
            </w:rPr>
            <w:t>compare</w:t>
          </w:r>
          <w:r w:rsidRPr="352799EA" w:rsidR="00C26FE3">
            <w:rPr>
              <w:rFonts w:ascii="Arial" w:hAnsi="Arial" w:cs="Arial"/>
              <w:sz w:val="24"/>
              <w:szCs w:val="24"/>
            </w:rPr>
            <w:t xml:space="preserve"> sales from the current</w:t>
          </w:r>
        </w:p>
        <w:p w:rsidR="00A22E91" w:rsidP="00A22E91" w:rsidRDefault="00A22E91" w14:paraId="34357186" w14:textId="0CD7E895">
          <w:pPr>
            <w:spacing w:line="360" w:lineRule="auto"/>
            <w:rPr>
              <w:rFonts w:ascii="Arial" w:hAnsi="Arial" w:cs="Arial"/>
              <w:sz w:val="24"/>
              <w:szCs w:val="24"/>
            </w:rPr>
          </w:pPr>
          <w:r w:rsidRPr="00A22E91">
            <w:rPr>
              <w:rFonts w:ascii="Arial" w:hAnsi="Arial" w:cs="Arial"/>
              <w:sz w:val="24"/>
              <w:szCs w:val="24"/>
            </w:rPr>
            <w:t xml:space="preserve">and past years, </w:t>
          </w:r>
        </w:p>
        <w:p w:rsidRPr="00A22E91" w:rsidR="005E4B21" w:rsidP="00A22E91" w:rsidRDefault="005E4B21" w14:paraId="52025A2B" w14:textId="6A1AD9D4">
          <w:pPr>
            <w:spacing w:line="360" w:lineRule="auto"/>
            <w:rPr>
              <w:rFonts w:ascii="Arial" w:hAnsi="Arial" w:cs="Arial"/>
              <w:sz w:val="24"/>
              <w:szCs w:val="24"/>
            </w:rPr>
          </w:pPr>
          <w:r>
            <w:rPr>
              <w:rFonts w:ascii="Arial" w:hAnsi="Arial" w:cs="Arial"/>
              <w:noProof/>
              <w:sz w:val="24"/>
              <w:szCs w:val="24"/>
            </w:rPr>
            <w:drawing>
              <wp:inline distT="0" distB="0" distL="0" distR="0" wp14:anchorId="3454A385" wp14:editId="048E81EB">
                <wp:extent cx="5730875" cy="74993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749935"/>
                        </a:xfrm>
                        <a:prstGeom prst="rect">
                          <a:avLst/>
                        </a:prstGeom>
                        <a:noFill/>
                      </pic:spPr>
                    </pic:pic>
                  </a:graphicData>
                </a:graphic>
              </wp:inline>
            </w:drawing>
          </w:r>
        </w:p>
        <w:p w:rsidRPr="00A22E91" w:rsidR="00A22E91" w:rsidP="00A22E91" w:rsidRDefault="00A22E91" w14:paraId="0151008B" w14:textId="77777777">
          <w:pPr>
            <w:spacing w:line="360" w:lineRule="auto"/>
            <w:rPr>
              <w:rFonts w:ascii="Arial" w:hAnsi="Arial" w:cs="Arial"/>
              <w:sz w:val="24"/>
              <w:szCs w:val="24"/>
            </w:rPr>
          </w:pPr>
          <w:r w:rsidRPr="00A22E91">
            <w:rPr>
              <w:rFonts w:ascii="Arial" w:hAnsi="Arial" w:cs="Arial"/>
              <w:sz w:val="24"/>
              <w:szCs w:val="24"/>
            </w:rPr>
            <w:t>While using horizontal formula to determine the dollar difference,</w:t>
          </w:r>
        </w:p>
        <w:p w:rsidRPr="00A22E91" w:rsidR="00A22E91" w:rsidP="00A22E91" w:rsidRDefault="00053696" w14:paraId="1B8E8653" w14:textId="123948DC">
          <w:pPr>
            <w:spacing w:line="360" w:lineRule="auto"/>
            <w:rPr>
              <w:rFonts w:ascii="Arial" w:hAnsi="Arial" w:cs="Arial"/>
              <w:sz w:val="24"/>
              <w:szCs w:val="24"/>
            </w:rPr>
          </w:pPr>
          <w:r>
            <w:rPr>
              <w:rFonts w:ascii="Arial" w:hAnsi="Arial" w:cs="Arial"/>
              <w:noProof/>
              <w:sz w:val="24"/>
              <w:szCs w:val="24"/>
            </w:rPr>
            <w:drawing>
              <wp:inline distT="0" distB="0" distL="0" distR="0" wp14:anchorId="69165450" wp14:editId="33FD29CC">
                <wp:extent cx="5730875" cy="70739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707390"/>
                        </a:xfrm>
                        <a:prstGeom prst="rect">
                          <a:avLst/>
                        </a:prstGeom>
                        <a:noFill/>
                      </pic:spPr>
                    </pic:pic>
                  </a:graphicData>
                </a:graphic>
              </wp:inline>
            </w:drawing>
          </w:r>
        </w:p>
        <w:p w:rsidRPr="00A22E91" w:rsidR="00A22E91" w:rsidP="00A22E91" w:rsidRDefault="00A22E91" w14:paraId="45C3EFFA" w14:textId="77777777">
          <w:pPr>
            <w:spacing w:line="360" w:lineRule="auto"/>
            <w:rPr>
              <w:rFonts w:ascii="Arial" w:hAnsi="Arial" w:cs="Arial"/>
              <w:sz w:val="24"/>
              <w:szCs w:val="24"/>
            </w:rPr>
          </w:pPr>
          <w:r w:rsidRPr="00A22E91">
            <w:rPr>
              <w:rFonts w:ascii="Arial" w:hAnsi="Arial" w:cs="Arial"/>
              <w:sz w:val="24"/>
              <w:szCs w:val="24"/>
            </w:rPr>
            <w:t xml:space="preserve"> </w:t>
          </w:r>
        </w:p>
        <w:p w:rsidRPr="00C26FE3" w:rsidR="00A22E91" w:rsidP="00C26FE3" w:rsidRDefault="00A22E91" w14:paraId="25D00F72" w14:textId="77777777">
          <w:pPr>
            <w:spacing w:line="360" w:lineRule="auto"/>
            <w:rPr>
              <w:rFonts w:ascii="Arial" w:hAnsi="Arial" w:cs="Arial"/>
              <w:sz w:val="24"/>
              <w:szCs w:val="24"/>
            </w:rPr>
          </w:pPr>
        </w:p>
        <w:p w:rsidR="004A11F6" w:rsidP="007D1947" w:rsidRDefault="004A11F6" w14:paraId="0D878A77" w14:textId="77777777"/>
        <w:p w:rsidR="004A11F6" w:rsidP="007D1947" w:rsidRDefault="004A11F6" w14:paraId="23D7B520" w14:textId="77777777"/>
        <w:p w:rsidR="004A11F6" w:rsidP="007D1947" w:rsidRDefault="004A11F6" w14:paraId="254C4174" w14:textId="77777777"/>
        <w:p w:rsidR="004A11F6" w:rsidP="007D1947" w:rsidRDefault="004A11F6" w14:paraId="7977B4C9" w14:textId="77777777"/>
        <w:p w:rsidR="004A11F6" w:rsidP="007D1947" w:rsidRDefault="004A11F6" w14:paraId="21842701" w14:textId="77777777"/>
        <w:p w:rsidR="004A11F6" w:rsidP="004D519C" w:rsidRDefault="004D519C" w14:paraId="65D911F3" w14:textId="77777777">
          <w:pPr>
            <w:pStyle w:val="Heading1"/>
          </w:pPr>
          <w:bookmarkStart w:name="_Toc463944602" w:id="3"/>
          <w:r>
            <w:t>Financial Analysis Trends</w:t>
          </w:r>
          <w:bookmarkEnd w:id="3"/>
        </w:p>
        <w:p w:rsidR="00284F1F" w:rsidP="00284F1F" w:rsidRDefault="00284F1F" w14:paraId="53928725" w14:textId="77777777"/>
        <w:p w:rsidRPr="00FD1C1B" w:rsidR="00810AAD" w:rsidP="00FD1C1B" w:rsidRDefault="00810AAD" w14:paraId="37D86739" w14:textId="77777777">
          <w:pPr>
            <w:spacing w:line="360" w:lineRule="auto"/>
            <w:rPr>
              <w:rFonts w:ascii="Arial" w:hAnsi="Arial" w:cs="Arial"/>
              <w:sz w:val="24"/>
              <w:szCs w:val="24"/>
            </w:rPr>
          </w:pPr>
          <w:r w:rsidRPr="00FD1C1B">
            <w:rPr>
              <w:rFonts w:ascii="Arial" w:hAnsi="Arial" w:cs="Arial"/>
              <w:sz w:val="24"/>
              <w:szCs w:val="24"/>
            </w:rPr>
            <w:t>In this Financial report of Marriott International, In. is analysed. To comprehend the organization’s development. It is crucial to assess the organization’s financial status and its capabilities. Numerous economic and financial success indicators might give a thorough review of the business’s previous and present operations while assessing the general advancement made over time. A thorough valuation model is offered. Complete with historical information and figures from years 2020 to 2021, Gordon, (2022).</w:t>
          </w:r>
        </w:p>
        <w:p w:rsidRPr="00FD1C1B" w:rsidR="00810AAD" w:rsidP="00FD1C1B" w:rsidRDefault="00810AAD" w14:paraId="03FCC9DB" w14:textId="1428994A">
          <w:pPr>
            <w:spacing w:line="360" w:lineRule="auto"/>
            <w:rPr>
              <w:rFonts w:ascii="Arial" w:hAnsi="Arial" w:cs="Arial"/>
              <w:sz w:val="24"/>
              <w:szCs w:val="24"/>
            </w:rPr>
          </w:pPr>
          <w:r w:rsidRPr="352799EA" w:rsidR="00810AAD">
            <w:rPr>
              <w:rFonts w:ascii="Arial" w:hAnsi="Arial" w:cs="Arial"/>
              <w:sz w:val="24"/>
              <w:szCs w:val="24"/>
            </w:rPr>
            <w:t xml:space="preserve">Considering how COVID-19 affected international travel in the previous year, our global revenue per available room (RevPAR) decreased by 60% from 2019 with global occupancy from year was 35.5 percent. Net spaces 2020 was 3.1% growth. Prior to the founding of the company, there were difficulties, in Marriott’s 93 years of existence, the Great Depression, company have survived sizable business slowdowns following the recession of 1990, 9/11, and </w:t>
          </w:r>
          <w:bookmarkStart w:name="_Int_7bAtVMU1" w:id="1206733314"/>
          <w:r w:rsidRPr="352799EA" w:rsidR="67D9AD38">
            <w:rPr>
              <w:rFonts w:ascii="Arial" w:hAnsi="Arial" w:cs="Arial"/>
              <w:sz w:val="24"/>
              <w:szCs w:val="24"/>
            </w:rPr>
            <w:t>several</w:t>
          </w:r>
          <w:bookmarkEnd w:id="1206733314"/>
          <w:r w:rsidRPr="352799EA" w:rsidR="00810AAD">
            <w:rPr>
              <w:rFonts w:ascii="Arial" w:hAnsi="Arial" w:cs="Arial"/>
              <w:sz w:val="24"/>
              <w:szCs w:val="24"/>
            </w:rPr>
            <w:t xml:space="preserve"> other global events. But 2020 was once again difficult. The result of COVID-19. As we now know proved to be unprecedented.</w:t>
          </w:r>
        </w:p>
        <w:p w:rsidR="00284F1F" w:rsidP="00FD1C1B" w:rsidRDefault="00810AAD" w14:paraId="31921F49" w14:textId="684494B6">
          <w:pPr>
            <w:spacing w:line="360" w:lineRule="auto"/>
            <w:rPr>
              <w:rFonts w:ascii="Arial" w:hAnsi="Arial" w:cs="Arial"/>
              <w:sz w:val="24"/>
              <w:szCs w:val="24"/>
            </w:rPr>
          </w:pPr>
          <w:r w:rsidRPr="352799EA" w:rsidR="00810AAD">
            <w:rPr>
              <w:rFonts w:ascii="Arial" w:hAnsi="Arial" w:cs="Arial"/>
              <w:sz w:val="24"/>
              <w:szCs w:val="24"/>
            </w:rPr>
            <w:t xml:space="preserve">Gross fee revenue reached $2.7 billion for the entire year of 2021, a significant increase over 2020 in both base and franchise fees </w:t>
          </w:r>
          <w:bookmarkStart w:name="_Int_5urLrb77" w:id="1498624692"/>
          <w:r w:rsidRPr="352799EA" w:rsidR="7139A261">
            <w:rPr>
              <w:rFonts w:ascii="Arial" w:hAnsi="Arial" w:cs="Arial"/>
              <w:sz w:val="24"/>
              <w:szCs w:val="24"/>
            </w:rPr>
            <w:t>because of</w:t>
          </w:r>
          <w:bookmarkEnd w:id="1498624692"/>
          <w:r w:rsidRPr="352799EA" w:rsidR="00810AAD">
            <w:rPr>
              <w:rFonts w:ascii="Arial" w:hAnsi="Arial" w:cs="Arial"/>
              <w:sz w:val="24"/>
              <w:szCs w:val="24"/>
            </w:rPr>
            <w:t xml:space="preserve"> greater RevPAR and net room expansion $235 in incentives management costs for the entire year compared to 2020 fees, million </w:t>
          </w:r>
          <w:r w:rsidRPr="352799EA" w:rsidR="7BD2FA26">
            <w:rPr>
              <w:rFonts w:ascii="Arial" w:hAnsi="Arial" w:cs="Arial"/>
              <w:sz w:val="24"/>
              <w:szCs w:val="24"/>
            </w:rPr>
            <w:t>tripled</w:t>
          </w:r>
          <w:r w:rsidRPr="352799EA" w:rsidR="00810AAD">
            <w:rPr>
              <w:rFonts w:ascii="Arial" w:hAnsi="Arial" w:cs="Arial"/>
              <w:sz w:val="24"/>
              <w:szCs w:val="24"/>
            </w:rPr>
            <w:t>. There is tremendous upside potential in the upcoming years because incentives management fees are still significantly lower than the peal of $637 million in 2019.</w:t>
          </w:r>
        </w:p>
        <w:p w:rsidRPr="00FD1C1B" w:rsidR="00A227A8" w:rsidP="00FD1C1B" w:rsidRDefault="00A227A8" w14:paraId="054453B6" w14:textId="5F6AC302">
          <w:pPr>
            <w:spacing w:line="360" w:lineRule="auto"/>
            <w:rPr>
              <w:rFonts w:ascii="Arial" w:hAnsi="Arial" w:cs="Arial"/>
              <w:sz w:val="24"/>
              <w:szCs w:val="24"/>
            </w:rPr>
          </w:pPr>
          <w:r>
            <w:rPr>
              <w:rFonts w:ascii="Arial" w:hAnsi="Arial" w:cs="Arial"/>
              <w:noProof/>
              <w:sz w:val="24"/>
              <w:szCs w:val="24"/>
            </w:rPr>
            <w:drawing>
              <wp:inline distT="0" distB="0" distL="0" distR="0" wp14:anchorId="1DC81EC3" wp14:editId="36403AE3">
                <wp:extent cx="5731510" cy="1708150"/>
                <wp:effectExtent l="0" t="0" r="2540" b="635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708150"/>
                        </a:xfrm>
                        <a:prstGeom prst="rect">
                          <a:avLst/>
                        </a:prstGeom>
                      </pic:spPr>
                    </pic:pic>
                  </a:graphicData>
                </a:graphic>
              </wp:inline>
            </w:drawing>
          </w:r>
        </w:p>
        <w:p w:rsidR="004D519C" w:rsidP="004D519C" w:rsidRDefault="004D519C" w14:paraId="4DC6FCCD" w14:textId="6659E6ED">
          <w:pPr>
            <w:pStyle w:val="Heading2"/>
          </w:pPr>
          <w:bookmarkStart w:name="_Toc463944603" w:id="4"/>
          <w:r>
            <w:lastRenderedPageBreak/>
            <w:t>Profitability</w:t>
          </w:r>
          <w:bookmarkEnd w:id="4"/>
        </w:p>
        <w:p w:rsidR="003A0D03" w:rsidP="003A0D03" w:rsidRDefault="003A0D03" w14:paraId="21FD06C3" w14:textId="02F93991"/>
        <w:p w:rsidR="003A0D03" w:rsidP="003A0D03" w:rsidRDefault="003A0D03" w14:paraId="1ADF1874" w14:textId="77777777"/>
        <w:p w:rsidRPr="003A0D03" w:rsidR="003A0D03" w:rsidP="003A0D03" w:rsidRDefault="003A0D03" w14:paraId="7BB9D3C2" w14:textId="77777777">
          <w:pPr>
            <w:spacing w:line="360" w:lineRule="auto"/>
            <w:rPr>
              <w:rFonts w:ascii="Arial" w:hAnsi="Arial" w:cs="Arial"/>
              <w:sz w:val="24"/>
              <w:szCs w:val="24"/>
            </w:rPr>
          </w:pPr>
          <w:r w:rsidRPr="003A0D03">
            <w:rPr>
              <w:rFonts w:ascii="Arial" w:hAnsi="Arial" w:cs="Arial"/>
              <w:sz w:val="24"/>
              <w:szCs w:val="24"/>
            </w:rPr>
            <w:t>Profitability ratios can be controlled to efficiently ratios, which take inti account how successfully a company utilises its assets internally to generate income as opposed to after-cost profit. They are a type of financial indicator that is used to evaluate a company’s capacity to create earnings in relation to its revenue, Hayes, (2022).</w:t>
          </w:r>
        </w:p>
        <w:p w:rsidRPr="003A0D03" w:rsidR="003A0D03" w:rsidP="003A0D03" w:rsidRDefault="003A0D03" w14:paraId="22FDAD78" w14:textId="2E9B53DA">
          <w:pPr>
            <w:spacing w:line="360" w:lineRule="auto"/>
            <w:rPr>
              <w:rFonts w:ascii="Arial" w:hAnsi="Arial" w:cs="Arial"/>
              <w:sz w:val="24"/>
              <w:szCs w:val="24"/>
            </w:rPr>
          </w:pPr>
          <w:r w:rsidRPr="352799EA" w:rsidR="003A0D03">
            <w:rPr>
              <w:rFonts w:ascii="Arial" w:hAnsi="Arial" w:cs="Arial"/>
              <w:sz w:val="24"/>
              <w:szCs w:val="24"/>
            </w:rPr>
            <w:t xml:space="preserve">Net sales are subtracted from direct expenses or cost of goods sold (cogs) to get the gross profit margin. The gross profit margin is one of three primary profitability ratios. It informs you how much money company made after paying for the direct costs of conducting business. </w:t>
          </w:r>
          <w:bookmarkStart w:name="_Int_gpqtolF8" w:id="142972915"/>
          <w:r w:rsidRPr="352799EA" w:rsidR="1CC66981">
            <w:rPr>
              <w:rFonts w:ascii="Arial" w:hAnsi="Arial" w:cs="Arial"/>
              <w:sz w:val="24"/>
              <w:szCs w:val="24"/>
            </w:rPr>
            <w:t>It is</w:t>
          </w:r>
          <w:bookmarkEnd w:id="142972915"/>
          <w:r w:rsidRPr="352799EA" w:rsidR="003A0D03">
            <w:rPr>
              <w:rFonts w:ascii="Arial" w:hAnsi="Arial" w:cs="Arial"/>
              <w:sz w:val="24"/>
              <w:szCs w:val="24"/>
            </w:rPr>
            <w:t xml:space="preserve"> indeed </w:t>
          </w:r>
          <w:r w:rsidRPr="352799EA" w:rsidR="003A0D03">
            <w:rPr>
              <w:rFonts w:ascii="Arial" w:hAnsi="Arial" w:cs="Arial"/>
              <w:sz w:val="24"/>
              <w:szCs w:val="24"/>
            </w:rPr>
            <w:t>apparent</w:t>
          </w:r>
          <w:r w:rsidRPr="352799EA" w:rsidR="003A0D03">
            <w:rPr>
              <w:rFonts w:ascii="Arial" w:hAnsi="Arial" w:cs="Arial"/>
              <w:sz w:val="24"/>
              <w:szCs w:val="24"/>
            </w:rPr>
            <w:t xml:space="preserve"> that Marriott earned a gross profit of only 1.8 percent in 2020, that is significantly lower than the GP earned in 2021. Its imposition of limits on financial transactions and </w:t>
          </w:r>
          <w:r w:rsidRPr="352799EA" w:rsidR="003A0D03">
            <w:rPr>
              <w:rFonts w:ascii="Arial" w:hAnsi="Arial" w:cs="Arial"/>
              <w:sz w:val="24"/>
              <w:szCs w:val="24"/>
            </w:rPr>
            <w:t>maintaining</w:t>
          </w:r>
          <w:r w:rsidRPr="352799EA" w:rsidR="003A0D03">
            <w:rPr>
              <w:rFonts w:ascii="Arial" w:hAnsi="Arial" w:cs="Arial"/>
              <w:sz w:val="24"/>
              <w:szCs w:val="24"/>
            </w:rPr>
            <w:t xml:space="preserve"> social isolation is the cause of decreasing profits in 2020. However, after releasing lockdowns, the corporation produced a revenue of 20.21 % in 2021, which is a reasonable number and delivers an exceptional benefit to the business.</w:t>
          </w:r>
        </w:p>
        <w:p w:rsidRPr="003A0D03" w:rsidR="003A0D03" w:rsidP="003A0D03" w:rsidRDefault="003A0D03" w14:paraId="78F48EF6" w14:textId="77777777">
          <w:pPr>
            <w:spacing w:line="360" w:lineRule="auto"/>
            <w:rPr>
              <w:rFonts w:ascii="Arial" w:hAnsi="Arial" w:cs="Arial"/>
              <w:sz w:val="24"/>
              <w:szCs w:val="24"/>
            </w:rPr>
          </w:pPr>
          <w:r w:rsidRPr="003A0D03">
            <w:rPr>
              <w:rFonts w:ascii="Arial" w:hAnsi="Arial" w:cs="Arial"/>
              <w:sz w:val="24"/>
              <w:szCs w:val="24"/>
            </w:rPr>
            <w:t>A net profit margin, or commonly total profit, is a percentage of sales that indicates how much net income or profit is created. It is the ratio of a company's or business segment's net profits to revenues. Net profit margin is commonly reported as a percentage, but it can be expressed in numeric. The net profit margin shows what kind of every dollar of earnings generated by a company is converted into profitability, Murphy, (2022). As per that figure, Marriott will have a net profit of 7.93 % in 2021, which is significantly better than the old year. Even though the company's net profit in 2021 is a good indicator. However, because to the global economic lockdown and restrictions, Marriott is expected to lose money in 2020. Nonetheless, after limits were lifted, the hotel business profited more in 2021, as stated in the figure over.</w:t>
          </w:r>
        </w:p>
        <w:p w:rsidRPr="003A0D03" w:rsidR="003A0D03" w:rsidP="003A0D03" w:rsidRDefault="003A0D03" w14:paraId="591D6050" w14:textId="2BEFB9E7">
          <w:pPr>
            <w:spacing w:line="360" w:lineRule="auto"/>
            <w:rPr>
              <w:rFonts w:ascii="Arial" w:hAnsi="Arial" w:cs="Arial"/>
              <w:sz w:val="24"/>
              <w:szCs w:val="24"/>
            </w:rPr>
          </w:pPr>
          <w:r w:rsidRPr="352799EA" w:rsidR="003A0D03">
            <w:rPr>
              <w:rFonts w:ascii="Arial" w:hAnsi="Arial" w:cs="Arial"/>
              <w:sz w:val="24"/>
              <w:szCs w:val="24"/>
            </w:rPr>
            <w:t xml:space="preserve">Return on Equity (ROE) is a percentage that expresses a company's annual return (net income) divided by the total amount of its entire investors' equity. ROE can also be measured by deducting the retailer's dividend per share by its profits retention rate. A company that has a sustained and improving ROE over time may be good at building profitability, so it recognizes how to use its revenues effectively </w:t>
          </w:r>
          <w:bookmarkStart w:name="_Int_LrlopWXI" w:id="1849529511"/>
          <w:r w:rsidRPr="352799EA" w:rsidR="4E5C465E">
            <w:rPr>
              <w:rFonts w:ascii="Arial" w:hAnsi="Arial" w:cs="Arial"/>
              <w:sz w:val="24"/>
              <w:szCs w:val="24"/>
            </w:rPr>
            <w:t>to</w:t>
          </w:r>
          <w:bookmarkEnd w:id="1849529511"/>
          <w:r w:rsidRPr="352799EA" w:rsidR="003A0D03">
            <w:rPr>
              <w:rFonts w:ascii="Arial" w:hAnsi="Arial" w:cs="Arial"/>
              <w:sz w:val="24"/>
              <w:szCs w:val="24"/>
            </w:rPr>
            <w:t xml:space="preserve"> </w:t>
          </w:r>
          <w:r w:rsidRPr="352799EA" w:rsidR="003A0D03">
            <w:rPr>
              <w:rFonts w:ascii="Arial" w:hAnsi="Arial" w:cs="Arial"/>
              <w:sz w:val="24"/>
              <w:szCs w:val="24"/>
            </w:rPr>
            <w:t>be productive and profitability, Team, (2022). According to this data, investors suffered a loss of 60 especially in comparison to the ROE of 77.72, owing to increased desire in the hotel business and growing preference for tourists following the removal of 19 limitations.</w:t>
          </w:r>
        </w:p>
        <w:p w:rsidRPr="003A0D03" w:rsidR="003A0D03" w:rsidP="003A0D03" w:rsidRDefault="003A0D03" w14:paraId="5704BB19" w14:textId="0D2411A8">
          <w:pPr>
            <w:spacing w:line="360" w:lineRule="auto"/>
            <w:rPr>
              <w:rFonts w:ascii="Arial" w:hAnsi="Arial" w:cs="Arial"/>
              <w:sz w:val="24"/>
              <w:szCs w:val="24"/>
            </w:rPr>
          </w:pPr>
          <w:r w:rsidRPr="352799EA" w:rsidR="003A0D03">
            <w:rPr>
              <w:rFonts w:ascii="Arial" w:hAnsi="Arial" w:cs="Arial"/>
              <w:sz w:val="24"/>
              <w:szCs w:val="24"/>
            </w:rPr>
            <w:t xml:space="preserve">Return on assets measures the worth of a firm's profits to the revenues it generates over a specific </w:t>
          </w:r>
          <w:bookmarkStart w:name="_Int_S8NmNaVz" w:id="186972060"/>
          <w:r w:rsidRPr="352799EA" w:rsidR="11BD6C6E">
            <w:rPr>
              <w:rFonts w:ascii="Arial" w:hAnsi="Arial" w:cs="Arial"/>
              <w:sz w:val="24"/>
              <w:szCs w:val="24"/>
            </w:rPr>
            <w:t>time</w:t>
          </w:r>
          <w:bookmarkEnd w:id="186972060"/>
          <w:r w:rsidRPr="352799EA" w:rsidR="003A0D03">
            <w:rPr>
              <w:rFonts w:ascii="Arial" w:hAnsi="Arial" w:cs="Arial"/>
              <w:sz w:val="24"/>
              <w:szCs w:val="24"/>
            </w:rPr>
            <w:t>. Administrators and market advisers use return on assets to evaluate how well a business uses its funds to develop a gain. ROA is a useful indicator for assessing the success of a particular organisation. Whenever the firm's ROA grows with time, it means that it is extracting higher earnings by each dollar of capital it controls, Birken, (2021).</w:t>
          </w:r>
        </w:p>
        <w:p w:rsidR="003A0D03" w:rsidP="003A0D03" w:rsidRDefault="003A0D03" w14:paraId="2E22112C" w14:textId="6278E8BA">
          <w:pPr>
            <w:spacing w:line="360" w:lineRule="auto"/>
            <w:rPr>
              <w:rFonts w:ascii="Arial" w:hAnsi="Arial" w:cs="Arial"/>
              <w:sz w:val="24"/>
              <w:szCs w:val="24"/>
            </w:rPr>
          </w:pPr>
          <w:r w:rsidRPr="352799EA" w:rsidR="003A0D03">
            <w:rPr>
              <w:rFonts w:ascii="Arial" w:hAnsi="Arial" w:cs="Arial"/>
              <w:sz w:val="24"/>
              <w:szCs w:val="24"/>
            </w:rPr>
            <w:t xml:space="preserve">reveals that Marriott hotels have produced poor ROA </w:t>
          </w:r>
          <w:bookmarkStart w:name="_Int_Jh1jzVvg" w:id="1721672328"/>
          <w:r w:rsidRPr="352799EA" w:rsidR="543312AD">
            <w:rPr>
              <w:rFonts w:ascii="Arial" w:hAnsi="Arial" w:cs="Arial"/>
              <w:sz w:val="24"/>
              <w:szCs w:val="24"/>
            </w:rPr>
            <w:t>because of</w:t>
          </w:r>
          <w:bookmarkEnd w:id="1721672328"/>
          <w:r w:rsidRPr="352799EA" w:rsidR="003A0D03">
            <w:rPr>
              <w:rFonts w:ascii="Arial" w:hAnsi="Arial" w:cs="Arial"/>
              <w:sz w:val="24"/>
              <w:szCs w:val="24"/>
            </w:rPr>
            <w:t xml:space="preserve"> covid's regulations on halting covid 19 in the wider populace. Furthermore, once financial development was abolished, Marriott hotels achieved earnings of 4.3, which is a sufficient capital gain for the hotel's investors.</w:t>
          </w:r>
        </w:p>
        <w:p w:rsidRPr="003A0D03" w:rsidR="00D578A3" w:rsidP="003A0D03" w:rsidRDefault="00D578A3" w14:paraId="6F4F52CF" w14:textId="77777777">
          <w:pPr>
            <w:spacing w:line="360" w:lineRule="auto"/>
            <w:rPr>
              <w:rFonts w:ascii="Arial" w:hAnsi="Arial" w:cs="Arial"/>
              <w:sz w:val="24"/>
              <w:szCs w:val="24"/>
            </w:rPr>
          </w:pPr>
        </w:p>
        <w:p w:rsidR="004D519C" w:rsidP="004D519C" w:rsidRDefault="004D519C" w14:paraId="6CD58C45" w14:textId="6B8F8377">
          <w:pPr>
            <w:pStyle w:val="Heading2"/>
          </w:pPr>
          <w:bookmarkStart w:name="_Toc463944604" w:id="5"/>
          <w:r>
            <w:t>Liquidity</w:t>
          </w:r>
          <w:bookmarkEnd w:id="5"/>
        </w:p>
        <w:p w:rsidR="00D578A3" w:rsidP="00D578A3" w:rsidRDefault="00D578A3" w14:paraId="7BB3617D" w14:textId="2BB002F4"/>
        <w:p w:rsidR="00D578A3" w:rsidP="00D578A3" w:rsidRDefault="00D578A3" w14:paraId="1A6E1EF0" w14:textId="310443FD">
          <w:pPr>
            <w:spacing w:line="360" w:lineRule="auto"/>
            <w:rPr>
              <w:rFonts w:ascii="Arial" w:hAnsi="Arial" w:cs="Arial"/>
              <w:sz w:val="24"/>
              <w:szCs w:val="24"/>
            </w:rPr>
          </w:pPr>
          <w:r w:rsidRPr="352799EA" w:rsidR="00D578A3">
            <w:rPr>
              <w:rFonts w:ascii="Arial" w:hAnsi="Arial" w:cs="Arial"/>
              <w:sz w:val="24"/>
              <w:szCs w:val="24"/>
            </w:rPr>
            <w:t xml:space="preserve">Nothing gets the blood pumping like cash flow research, so is to get started. Margin is a measure of a hotel's </w:t>
          </w:r>
          <w:r w:rsidRPr="352799EA" w:rsidR="00D578A3">
            <w:rPr>
              <w:rFonts w:ascii="Arial" w:hAnsi="Arial" w:cs="Arial"/>
              <w:sz w:val="24"/>
              <w:szCs w:val="24"/>
            </w:rPr>
            <w:t>capacity</w:t>
          </w:r>
          <w:r w:rsidRPr="352799EA" w:rsidR="00D578A3">
            <w:rPr>
              <w:rFonts w:ascii="Arial" w:hAnsi="Arial" w:cs="Arial"/>
              <w:sz w:val="24"/>
              <w:szCs w:val="24"/>
            </w:rPr>
            <w:t xml:space="preserve"> to pay down its short-term obligations due in less than a year. It is typically displayed as a ratio or proportion of what the corporation pays versus what it holds. Such metrics can </w:t>
          </w:r>
          <w:r w:rsidRPr="352799EA" w:rsidR="00D578A3">
            <w:rPr>
              <w:rFonts w:ascii="Arial" w:hAnsi="Arial" w:cs="Arial"/>
              <w:sz w:val="24"/>
              <w:szCs w:val="24"/>
            </w:rPr>
            <w:t>provide</w:t>
          </w:r>
          <w:r w:rsidRPr="352799EA" w:rsidR="00D578A3">
            <w:rPr>
              <w:rFonts w:ascii="Arial" w:hAnsi="Arial" w:cs="Arial"/>
              <w:sz w:val="24"/>
              <w:szCs w:val="24"/>
            </w:rPr>
            <w:t xml:space="preserve"> insight in to company's financial health. the hotel's balance sheet has the data </w:t>
          </w:r>
          <w:bookmarkStart w:name="_Int_7NJwtHgN" w:id="286678176"/>
          <w:r w:rsidRPr="352799EA" w:rsidR="286A5022">
            <w:rPr>
              <w:rFonts w:ascii="Arial" w:hAnsi="Arial" w:cs="Arial"/>
              <w:sz w:val="24"/>
              <w:szCs w:val="24"/>
            </w:rPr>
            <w:t>you will</w:t>
          </w:r>
          <w:bookmarkEnd w:id="286678176"/>
          <w:r w:rsidRPr="352799EA" w:rsidR="00D578A3">
            <w:rPr>
              <w:rFonts w:ascii="Arial" w:hAnsi="Arial" w:cs="Arial"/>
              <w:sz w:val="24"/>
              <w:szCs w:val="24"/>
            </w:rPr>
            <w:t xml:space="preserve"> have to analyse liquidity. The resources are given in the ratio in which they can be converted into cash. So, funds, the most liquid commodity, sits at the top of the income statement, Beaver,  (2022).</w:t>
          </w:r>
        </w:p>
        <w:p w:rsidRPr="00D578A3" w:rsidR="00D578A3" w:rsidP="00D578A3" w:rsidRDefault="003A609F" w14:paraId="560F1FAD" w14:textId="3532346F">
          <w:pPr>
            <w:spacing w:line="360" w:lineRule="auto"/>
            <w:rPr>
              <w:rFonts w:ascii="Arial" w:hAnsi="Arial" w:cs="Arial"/>
              <w:sz w:val="24"/>
              <w:szCs w:val="24"/>
            </w:rPr>
          </w:pPr>
          <w:r>
            <w:rPr>
              <w:rFonts w:ascii="Arial" w:hAnsi="Arial" w:cs="Arial"/>
              <w:noProof/>
              <w:sz w:val="24"/>
              <w:szCs w:val="24"/>
            </w:rPr>
            <w:drawing>
              <wp:inline distT="0" distB="0" distL="0" distR="0" wp14:anchorId="63C2E41A" wp14:editId="107009BC">
                <wp:extent cx="5694045" cy="80454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94045" cy="804545"/>
                        </a:xfrm>
                        <a:prstGeom prst="rect">
                          <a:avLst/>
                        </a:prstGeom>
                        <a:noFill/>
                      </pic:spPr>
                    </pic:pic>
                  </a:graphicData>
                </a:graphic>
              </wp:inline>
            </w:drawing>
          </w:r>
        </w:p>
        <w:p w:rsidR="00BD7D0C" w:rsidP="004D519C" w:rsidRDefault="00BD7D0C" w14:paraId="446197CF" w14:textId="77777777">
          <w:pPr>
            <w:pStyle w:val="Heading2"/>
          </w:pPr>
          <w:bookmarkStart w:name="_Toc463944605" w:id="6"/>
        </w:p>
        <w:p w:rsidRPr="00BD7D0C" w:rsidR="00BD7D0C" w:rsidP="00BD7D0C" w:rsidRDefault="00BD7D0C" w14:paraId="613BD9EF" w14:textId="1A2B08C6">
          <w:pPr>
            <w:pStyle w:val="Heading2"/>
            <w:spacing w:line="360" w:lineRule="auto"/>
            <w:rPr>
              <w:rFonts w:ascii="Arial" w:hAnsi="Arial" w:cs="Arial"/>
              <w:color w:val="auto"/>
              <w:sz w:val="24"/>
              <w:szCs w:val="24"/>
            </w:rPr>
          </w:pPr>
          <w:r w:rsidRPr="352799EA" w:rsidR="00BD7D0C">
            <w:rPr>
              <w:rFonts w:ascii="Arial" w:hAnsi="Arial" w:cs="Arial"/>
              <w:color w:val="auto"/>
              <w:sz w:val="24"/>
              <w:szCs w:val="24"/>
            </w:rPr>
            <w:t xml:space="preserve">A higher number suggests that the company is in good financial condition. According to the above data, Marriott Hotels has little least 1 value, showing that Marriott is having difficulty paying its existing obligations. Even though the quality has improved marginally in 2021 as shown figure of 0.56 is little improved from 2020 which was 0.49 </w:t>
          </w:r>
          <w:bookmarkStart w:name="_Int_tYV1Zp7j" w:id="796399933"/>
          <w:r w:rsidRPr="352799EA" w:rsidR="5C87E86E">
            <w:rPr>
              <w:rFonts w:ascii="Arial" w:hAnsi="Arial" w:cs="Arial"/>
              <w:color w:val="auto"/>
              <w:sz w:val="24"/>
              <w:szCs w:val="24"/>
            </w:rPr>
            <w:t>because of</w:t>
          </w:r>
          <w:bookmarkEnd w:id="796399933"/>
          <w:r w:rsidRPr="352799EA" w:rsidR="00BD7D0C">
            <w:rPr>
              <w:rFonts w:ascii="Arial" w:hAnsi="Arial" w:cs="Arial"/>
              <w:color w:val="auto"/>
              <w:sz w:val="24"/>
              <w:szCs w:val="24"/>
            </w:rPr>
            <w:t xml:space="preserve"> enhanced hotels revenue, stronger business strategy is still </w:t>
          </w:r>
          <w:r w:rsidRPr="352799EA" w:rsidR="00BD7D0C">
            <w:rPr>
              <w:rFonts w:ascii="Arial" w:hAnsi="Arial" w:cs="Arial"/>
              <w:color w:val="auto"/>
              <w:sz w:val="24"/>
              <w:szCs w:val="24"/>
            </w:rPr>
            <w:t>required</w:t>
          </w:r>
          <w:r w:rsidRPr="352799EA" w:rsidR="00BD7D0C">
            <w:rPr>
              <w:rFonts w:ascii="Arial" w:hAnsi="Arial" w:cs="Arial"/>
              <w:color w:val="auto"/>
              <w:sz w:val="24"/>
              <w:szCs w:val="24"/>
            </w:rPr>
            <w:t>.</w:t>
          </w:r>
        </w:p>
        <w:p w:rsidR="004D519C" w:rsidP="004D519C" w:rsidRDefault="004D519C" w14:paraId="76DC4E55" w14:textId="6DE85D22">
          <w:pPr>
            <w:pStyle w:val="Heading2"/>
          </w:pPr>
          <w:r w:rsidRPr="004D519C">
            <w:t>Gearing</w:t>
          </w:r>
          <w:bookmarkEnd w:id="6"/>
        </w:p>
        <w:p w:rsidR="00D84F72" w:rsidP="00D84F72" w:rsidRDefault="00D84F72" w14:paraId="0649D4E5" w14:textId="59790C43"/>
        <w:p w:rsidR="00D84F72" w:rsidP="00D84F72" w:rsidRDefault="00D84F72" w14:paraId="13D85397" w14:textId="52C3A12B">
          <w:pPr>
            <w:spacing w:line="360" w:lineRule="auto"/>
            <w:rPr>
              <w:rFonts w:ascii="Arial" w:hAnsi="Arial" w:cs="Arial"/>
              <w:sz w:val="24"/>
              <w:szCs w:val="24"/>
            </w:rPr>
          </w:pPr>
          <w:r w:rsidRPr="00D84F72">
            <w:rPr>
              <w:rFonts w:ascii="Arial" w:hAnsi="Arial" w:cs="Arial"/>
              <w:sz w:val="24"/>
              <w:szCs w:val="24"/>
            </w:rPr>
            <w:t>Financial gearing ratios are a class of prominent liquidity measures that evaluate a hotel's debt to other financial indicators like corporate equity or assets. This is a source of business pressure which indicates how much of a hotel's actions are backed by net income vs bondholders' finances. A high gearing ratio indicates a high level of debt, indicating that a corporation does use revenue to fund its ongoing work. During a slow economy, these enterprises may struggle to satisfy existing debt repayment obligations and may lose business. If a corporation has loan commitments with interest rates, a sharp rise in prices might generate substantial periodic interest concerns, Anon. (2022).</w:t>
          </w:r>
        </w:p>
        <w:p w:rsidR="00A70D3C" w:rsidP="00D84F72" w:rsidRDefault="00635E8B" w14:paraId="0A6A3C58" w14:textId="360AC7B6">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6AE2F728" wp14:editId="00E8FDAF">
                <wp:simplePos x="0" y="0"/>
                <wp:positionH relativeFrom="margin">
                  <wp:align>right</wp:align>
                </wp:positionH>
                <wp:positionV relativeFrom="paragraph">
                  <wp:posOffset>238760</wp:posOffset>
                </wp:positionV>
                <wp:extent cx="5645150" cy="54229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45150" cy="542290"/>
                        </a:xfrm>
                        <a:prstGeom prst="rect">
                          <a:avLst/>
                        </a:prstGeom>
                        <a:noFill/>
                      </pic:spPr>
                    </pic:pic>
                  </a:graphicData>
                </a:graphic>
              </wp:anchor>
            </w:drawing>
          </w:r>
        </w:p>
        <w:p w:rsidRPr="00D84F72" w:rsidR="00A70D3C" w:rsidP="00D84F72" w:rsidRDefault="00A70D3C" w14:paraId="6896A55C" w14:textId="5A600066">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5B9E0286" wp14:editId="39E0B342">
                <wp:simplePos x="0" y="0"/>
                <wp:positionH relativeFrom="column">
                  <wp:posOffset>0</wp:posOffset>
                </wp:positionH>
                <wp:positionV relativeFrom="paragraph">
                  <wp:posOffset>414020</wp:posOffset>
                </wp:positionV>
                <wp:extent cx="5785485" cy="1146175"/>
                <wp:effectExtent l="0" t="0" r="571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85485" cy="1146175"/>
                        </a:xfrm>
                        <a:prstGeom prst="rect">
                          <a:avLst/>
                        </a:prstGeom>
                        <a:noFill/>
                      </pic:spPr>
                    </pic:pic>
                  </a:graphicData>
                </a:graphic>
              </wp:anchor>
            </w:drawing>
          </w:r>
        </w:p>
        <w:p w:rsidRPr="00024E63" w:rsidR="00024E63" w:rsidP="00024E63" w:rsidRDefault="00024E63" w14:paraId="12A1B7C4" w14:textId="068255B1">
          <w:pPr>
            <w:spacing w:line="360" w:lineRule="auto"/>
            <w:rPr>
              <w:rFonts w:ascii="Arial" w:hAnsi="Arial" w:cs="Arial"/>
              <w:sz w:val="24"/>
              <w:szCs w:val="24"/>
            </w:rPr>
          </w:pPr>
          <w:r w:rsidRPr="00024E63">
            <w:rPr>
              <w:rFonts w:ascii="Arial" w:hAnsi="Arial" w:cs="Arial"/>
              <w:sz w:val="24"/>
              <w:szCs w:val="24"/>
            </w:rPr>
            <w:t xml:space="preserve">The liquidity illustrates much of the expenses is borne by the lender's capital vs borrowing. According to the above data, Marriott Hotels had a large debt relation in 2020 since the </w:t>
          </w:r>
          <w:r w:rsidRPr="00024E63">
            <w:rPr>
              <w:rFonts w:ascii="Arial" w:hAnsi="Arial" w:cs="Arial"/>
              <w:sz w:val="24"/>
              <w:szCs w:val="24"/>
            </w:rPr>
            <w:t>hotel</w:t>
          </w:r>
          <w:r w:rsidRPr="00024E63">
            <w:rPr>
              <w:rFonts w:ascii="Arial" w:hAnsi="Arial" w:cs="Arial"/>
              <w:sz w:val="24"/>
              <w:szCs w:val="24"/>
            </w:rPr>
            <w:t xml:space="preserve"> was unable to produce income for current operations to the covid 19 prohibitions. Unfortunately, the gap will close in 2021 as visitor numbers and need rise. So, in 2021, Marriott Hotels is in healthy position, and it can happily cover off its liabilities.</w:t>
          </w:r>
        </w:p>
        <w:p w:rsidRPr="00024E63" w:rsidR="00024E63" w:rsidP="00024E63" w:rsidRDefault="00024E63" w14:paraId="61139758" w14:textId="660E0107">
          <w:pPr>
            <w:spacing w:line="360" w:lineRule="auto"/>
            <w:rPr>
              <w:rFonts w:ascii="Arial" w:hAnsi="Arial" w:cs="Arial"/>
              <w:sz w:val="24"/>
              <w:szCs w:val="24"/>
            </w:rPr>
          </w:pPr>
          <w:r w:rsidRPr="352799EA" w:rsidR="00024E63">
            <w:rPr>
              <w:rFonts w:ascii="Arial" w:hAnsi="Arial" w:cs="Arial"/>
              <w:sz w:val="24"/>
              <w:szCs w:val="24"/>
            </w:rPr>
            <w:t xml:space="preserve">It is calculated by dividing net income, taxes, maintenance, and amortisation by profits raised </w:t>
          </w:r>
          <w:bookmarkStart w:name="_Int_dkpKAj7c" w:id="1955977833"/>
          <w:r w:rsidRPr="352799EA" w:rsidR="035BF611">
            <w:rPr>
              <w:rFonts w:ascii="Arial" w:hAnsi="Arial" w:cs="Arial"/>
              <w:sz w:val="24"/>
              <w:szCs w:val="24"/>
            </w:rPr>
            <w:t>in each</w:t>
          </w:r>
          <w:bookmarkEnd w:id="1955977833"/>
          <w:r w:rsidRPr="352799EA" w:rsidR="00024E63">
            <w:rPr>
              <w:rFonts w:ascii="Arial" w:hAnsi="Arial" w:cs="Arial"/>
              <w:sz w:val="24"/>
              <w:szCs w:val="24"/>
            </w:rPr>
            <w:t xml:space="preserve"> annum. Bigger numbers suggest that the Marriott is at a greater danger. The figure above includes all items ratio in 2020. The ratio was raised to 14.75 % in 2021, and </w:t>
          </w:r>
          <w:bookmarkStart w:name="_Int_bT46ycuu" w:id="920985198"/>
          <w:r w:rsidRPr="352799EA" w:rsidR="5D8C4429">
            <w:rPr>
              <w:rFonts w:ascii="Arial" w:hAnsi="Arial" w:cs="Arial"/>
              <w:sz w:val="24"/>
              <w:szCs w:val="24"/>
            </w:rPr>
            <w:t>it is</w:t>
          </w:r>
          <w:bookmarkEnd w:id="920985198"/>
          <w:r w:rsidRPr="352799EA" w:rsidR="00024E63">
            <w:rPr>
              <w:rFonts w:ascii="Arial" w:hAnsi="Arial" w:cs="Arial"/>
              <w:sz w:val="24"/>
              <w:szCs w:val="24"/>
            </w:rPr>
            <w:t xml:space="preserve"> not a high enough percentage to just be </w:t>
          </w:r>
          <w:r w:rsidRPr="352799EA" w:rsidR="00024E63">
            <w:rPr>
              <w:rFonts w:ascii="Arial" w:hAnsi="Arial" w:cs="Arial"/>
              <w:sz w:val="24"/>
              <w:szCs w:val="24"/>
            </w:rPr>
            <w:t>deemed</w:t>
          </w:r>
          <w:r w:rsidRPr="352799EA" w:rsidR="00024E63">
            <w:rPr>
              <w:rFonts w:ascii="Arial" w:hAnsi="Arial" w:cs="Arial"/>
              <w:sz w:val="24"/>
              <w:szCs w:val="24"/>
            </w:rPr>
            <w:t xml:space="preserve"> an economic concern for Marriott Hotel. </w:t>
          </w:r>
        </w:p>
        <w:p w:rsidR="00BD7D0C" w:rsidP="00024E63" w:rsidRDefault="00024E63" w14:paraId="443D71BA" w14:textId="3615C071">
          <w:pPr>
            <w:spacing w:line="360" w:lineRule="auto"/>
            <w:rPr>
              <w:rFonts w:ascii="Arial" w:hAnsi="Arial" w:cs="Arial"/>
              <w:sz w:val="24"/>
              <w:szCs w:val="24"/>
            </w:rPr>
          </w:pPr>
          <w:r w:rsidRPr="00024E63">
            <w:rPr>
              <w:rFonts w:ascii="Arial" w:hAnsi="Arial" w:cs="Arial"/>
              <w:sz w:val="24"/>
              <w:szCs w:val="24"/>
            </w:rPr>
            <w:t>According to the above chart, Marriott hotel has a reduced EBIT ratio, that is a promising indicator for such firm ’s liquidity. But this percentage grew to 14 percent in 2021, usually due to greater funding through foreign entities. Therefore, higher revenue would soon compensate such costs.</w:t>
          </w:r>
        </w:p>
        <w:p w:rsidRPr="00024E63" w:rsidR="00BF28AD" w:rsidP="00024E63" w:rsidRDefault="00BF28AD" w14:paraId="7B847614" w14:textId="77777777">
          <w:pPr>
            <w:spacing w:line="360" w:lineRule="auto"/>
            <w:rPr>
              <w:rFonts w:ascii="Arial" w:hAnsi="Arial" w:cs="Arial"/>
              <w:sz w:val="24"/>
              <w:szCs w:val="24"/>
            </w:rPr>
          </w:pPr>
        </w:p>
        <w:p w:rsidR="00AA2A91" w:rsidP="00AA2A91" w:rsidRDefault="00AA2A91" w14:paraId="6D469E22" w14:textId="74B792C7">
          <w:pPr>
            <w:pStyle w:val="Heading1"/>
          </w:pPr>
          <w:bookmarkStart w:name="_Toc463944606" w:id="7"/>
          <w:r>
            <w:t>Knowledge from Ratio Analysis</w:t>
          </w:r>
          <w:bookmarkEnd w:id="7"/>
        </w:p>
        <w:p w:rsidRPr="00AB79EA" w:rsidR="00AB79EA" w:rsidP="00AB79EA" w:rsidRDefault="00AB79EA" w14:paraId="4186DA19" w14:textId="0E7812F6"/>
        <w:p w:rsidRPr="00AB79EA" w:rsidR="00AB79EA" w:rsidP="00AB79EA" w:rsidRDefault="00AB79EA" w14:paraId="6C704240" w14:textId="77777777">
          <w:pPr>
            <w:spacing w:line="360" w:lineRule="auto"/>
            <w:rPr>
              <w:rFonts w:ascii="Arial" w:hAnsi="Arial" w:cs="Arial"/>
              <w:sz w:val="24"/>
              <w:szCs w:val="24"/>
            </w:rPr>
          </w:pPr>
          <w:r w:rsidRPr="00AB79EA">
            <w:rPr>
              <w:rFonts w:ascii="Arial" w:hAnsi="Arial" w:cs="Arial"/>
              <w:sz w:val="24"/>
              <w:szCs w:val="24"/>
            </w:rPr>
            <w:t>Finance's role cannot be limited to accurately relaying on what has occurred in the past. You must provide the rest of the firm with a clear, succinct image of the financial statement while also unlocking significant, forward-looking insights. Profitability statements serve as basis for accomplishing the assignment. Understand which ones are most critical to monitor.</w:t>
          </w:r>
        </w:p>
        <w:p w:rsidR="00AA2A91" w:rsidP="00AB79EA" w:rsidRDefault="00AB79EA" w14:paraId="6F79F50F" w14:textId="044D8FB7">
          <w:pPr>
            <w:spacing w:line="360" w:lineRule="auto"/>
            <w:rPr>
              <w:rFonts w:ascii="Arial" w:hAnsi="Arial" w:cs="Arial"/>
              <w:sz w:val="24"/>
              <w:szCs w:val="24"/>
            </w:rPr>
          </w:pPr>
          <w:r w:rsidRPr="00AB79EA">
            <w:rPr>
              <w:rFonts w:ascii="Arial" w:hAnsi="Arial" w:cs="Arial"/>
              <w:sz w:val="24"/>
              <w:szCs w:val="24"/>
            </w:rPr>
            <w:t>The proper financial statistics may tell investors if company present expansion is permanent, what effective company invoicing staff is at making receivables, or how much you should invest money on ads or concentrate on their products instead. Statistics could also advise you regarding the business's recruit capital, Michalowski, (2021).</w:t>
          </w:r>
        </w:p>
        <w:p w:rsidRPr="00B54075" w:rsidR="00B54075" w:rsidP="00B54075" w:rsidRDefault="00B54075" w14:paraId="7E881AEC" w14:textId="77777777">
          <w:pPr>
            <w:spacing w:line="360" w:lineRule="auto"/>
            <w:rPr>
              <w:rFonts w:ascii="Arial" w:hAnsi="Arial" w:cs="Arial"/>
              <w:b/>
              <w:bCs/>
              <w:color w:val="0070C0"/>
              <w:sz w:val="28"/>
              <w:szCs w:val="28"/>
            </w:rPr>
          </w:pPr>
          <w:r w:rsidRPr="00B54075">
            <w:rPr>
              <w:rFonts w:ascii="Arial" w:hAnsi="Arial" w:cs="Arial"/>
              <w:b/>
              <w:bCs/>
              <w:color w:val="0070C0"/>
              <w:sz w:val="28"/>
              <w:szCs w:val="28"/>
            </w:rPr>
            <w:t>LTV:CAC Ratio</w:t>
          </w:r>
        </w:p>
        <w:p w:rsidR="00B54075" w:rsidP="00B54075" w:rsidRDefault="00096D34" w14:paraId="2E8F2012" w14:textId="1D943E0C">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0551DF9F" wp14:editId="73931F26">
                <wp:simplePos x="0" y="0"/>
                <wp:positionH relativeFrom="column">
                  <wp:posOffset>1479550</wp:posOffset>
                </wp:positionH>
                <wp:positionV relativeFrom="paragraph">
                  <wp:posOffset>1191260</wp:posOffset>
                </wp:positionV>
                <wp:extent cx="3584575" cy="701040"/>
                <wp:effectExtent l="0" t="0" r="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4575" cy="701040"/>
                        </a:xfrm>
                        <a:prstGeom prst="rect">
                          <a:avLst/>
                        </a:prstGeom>
                        <a:noFill/>
                      </pic:spPr>
                    </pic:pic>
                  </a:graphicData>
                </a:graphic>
              </wp:anchor>
            </w:drawing>
          </w:r>
          <w:r w:rsidRPr="00B54075" w:rsidR="00B54075">
            <w:rPr>
              <w:rFonts w:ascii="Arial" w:hAnsi="Arial" w:cs="Arial"/>
              <w:sz w:val="24"/>
              <w:szCs w:val="24"/>
            </w:rPr>
            <w:t>LTV/CAC analyses the link among a consumer's satisfaction levels and the ability to purchase that client. The satisfaction (LTV) is the accounted by a client, while the consumer actual cost (CAC) is the cost invested in persuading the consumer to buy the product,</w:t>
          </w:r>
        </w:p>
        <w:p w:rsidR="00096D34" w:rsidP="00B54075" w:rsidRDefault="00096D34" w14:paraId="79DD0AD7" w14:textId="14E00348">
          <w:pPr>
            <w:spacing w:line="360" w:lineRule="auto"/>
            <w:rPr>
              <w:rFonts w:ascii="Arial" w:hAnsi="Arial" w:cs="Arial"/>
              <w:sz w:val="24"/>
              <w:szCs w:val="24"/>
            </w:rPr>
          </w:pPr>
        </w:p>
        <w:p w:rsidRPr="00816F18" w:rsidR="00816F18" w:rsidP="00816F18" w:rsidRDefault="00816F18" w14:paraId="0AD61BEB" w14:textId="77777777">
          <w:pPr>
            <w:spacing w:line="360" w:lineRule="auto"/>
            <w:rPr>
              <w:rFonts w:ascii="Arial" w:hAnsi="Arial" w:cs="Arial"/>
              <w:b/>
              <w:bCs/>
              <w:color w:val="0070C0"/>
              <w:sz w:val="28"/>
              <w:szCs w:val="28"/>
            </w:rPr>
          </w:pPr>
          <w:r w:rsidRPr="00816F18">
            <w:rPr>
              <w:rFonts w:ascii="Arial" w:hAnsi="Arial" w:cs="Arial"/>
              <w:b/>
              <w:bCs/>
              <w:color w:val="0070C0"/>
              <w:sz w:val="28"/>
              <w:szCs w:val="28"/>
            </w:rPr>
            <w:lastRenderedPageBreak/>
            <w:t>Quick Ratio</w:t>
          </w:r>
        </w:p>
        <w:p w:rsidR="00816F18" w:rsidP="00816F18" w:rsidRDefault="00816F18" w14:paraId="70EA9F7F" w14:textId="3AE671E7">
          <w:pPr>
            <w:spacing w:line="360" w:lineRule="auto"/>
            <w:rPr>
              <w:rFonts w:ascii="Arial" w:hAnsi="Arial" w:cs="Arial"/>
              <w:sz w:val="24"/>
              <w:szCs w:val="24"/>
            </w:rPr>
          </w:pPr>
          <w:r w:rsidRPr="00816F18">
            <w:rPr>
              <w:rFonts w:ascii="Arial" w:hAnsi="Arial" w:cs="Arial"/>
              <w:sz w:val="24"/>
              <w:szCs w:val="24"/>
            </w:rPr>
            <w:t>What if a business requires easy accessibility to further revenue than it has on available to satisfy debt responsibilities? How about a typhoon downed power lines for many days, compelling the organization to suspend and lose revenue, or even a client is overdue taking a significant payment – but salaries must be done, therefore obligations must be paid.</w:t>
          </w:r>
        </w:p>
        <w:p w:rsidR="00775E5C" w:rsidP="00816F18" w:rsidRDefault="00775E5C" w14:paraId="35AC8069" w14:textId="35C71FA6">
          <w:pPr>
            <w:spacing w:line="360" w:lineRule="auto"/>
            <w:rPr>
              <w:rFonts w:ascii="Arial" w:hAnsi="Arial" w:cs="Arial"/>
              <w:sz w:val="24"/>
              <w:szCs w:val="24"/>
            </w:rPr>
          </w:pPr>
        </w:p>
        <w:p w:rsidRPr="00775E5C" w:rsidR="00775E5C" w:rsidP="00775E5C" w:rsidRDefault="00775E5C" w14:paraId="0CA82085" w14:textId="77777777">
          <w:pPr>
            <w:spacing w:line="360" w:lineRule="auto"/>
            <w:rPr>
              <w:rFonts w:ascii="Arial" w:hAnsi="Arial" w:cs="Arial"/>
              <w:b/>
              <w:bCs/>
              <w:color w:val="0070C0"/>
              <w:sz w:val="28"/>
              <w:szCs w:val="28"/>
            </w:rPr>
          </w:pPr>
          <w:r w:rsidRPr="00775E5C">
            <w:rPr>
              <w:rFonts w:ascii="Arial" w:hAnsi="Arial" w:cs="Arial"/>
              <w:b/>
              <w:bCs/>
              <w:color w:val="0070C0"/>
              <w:sz w:val="28"/>
              <w:szCs w:val="28"/>
            </w:rPr>
            <w:t>AR Turnover Ratio</w:t>
          </w:r>
        </w:p>
        <w:p w:rsidR="00775E5C" w:rsidP="00775E5C" w:rsidRDefault="00775E5C" w14:paraId="33160589" w14:textId="701200E9">
          <w:pPr>
            <w:spacing w:line="360" w:lineRule="auto"/>
            <w:rPr>
              <w:rFonts w:ascii="Arial" w:hAnsi="Arial" w:cs="Arial"/>
              <w:sz w:val="24"/>
              <w:szCs w:val="24"/>
            </w:rPr>
          </w:pPr>
          <w:r w:rsidRPr="00775E5C">
            <w:rPr>
              <w:rFonts w:ascii="Arial" w:hAnsi="Arial" w:cs="Arial"/>
              <w:sz w:val="24"/>
              <w:szCs w:val="24"/>
            </w:rPr>
            <w:t>The Receivable Liquidity Position assesses the effectiveness with which a corporation generates revenue out of its customers. Among the most significant trade receivables indicators to measure is the defendant's rotation percentage. The greater your business's AR Turnover Ratio, the better it is at handling cash via customers' payables teams.</w:t>
          </w:r>
        </w:p>
        <w:p w:rsidR="00893984" w:rsidP="00775E5C" w:rsidRDefault="00893984" w14:paraId="7DB9EAC5" w14:textId="607078C8">
          <w:pPr>
            <w:spacing w:line="360" w:lineRule="auto"/>
            <w:rPr>
              <w:rFonts w:ascii="Arial" w:hAnsi="Arial" w:cs="Arial"/>
              <w:sz w:val="24"/>
              <w:szCs w:val="24"/>
            </w:rPr>
          </w:pPr>
        </w:p>
        <w:p w:rsidRPr="00AB79EA" w:rsidR="00893984" w:rsidP="00775E5C" w:rsidRDefault="00893984" w14:paraId="55D67C2D" w14:textId="77777777">
          <w:pPr>
            <w:spacing w:line="360" w:lineRule="auto"/>
            <w:rPr>
              <w:rFonts w:ascii="Arial" w:hAnsi="Arial" w:cs="Arial"/>
              <w:sz w:val="24"/>
              <w:szCs w:val="24"/>
            </w:rPr>
          </w:pPr>
        </w:p>
        <w:p w:rsidRPr="00622BD0" w:rsidR="00893984" w:rsidP="00893984" w:rsidRDefault="00893984" w14:paraId="3A5CA114" w14:textId="77777777">
          <w:pPr>
            <w:spacing w:line="360" w:lineRule="auto"/>
            <w:rPr>
              <w:rFonts w:ascii="Arial" w:hAnsi="Arial" w:cs="Arial"/>
              <w:b/>
              <w:bCs/>
              <w:color w:val="0070C0"/>
              <w:sz w:val="28"/>
              <w:szCs w:val="28"/>
            </w:rPr>
          </w:pPr>
          <w:r w:rsidRPr="00622BD0">
            <w:rPr>
              <w:rFonts w:ascii="Arial" w:hAnsi="Arial" w:cs="Arial"/>
              <w:b/>
              <w:bCs/>
              <w:color w:val="0070C0"/>
              <w:sz w:val="28"/>
              <w:szCs w:val="28"/>
            </w:rPr>
            <w:t>Coverage ratios</w:t>
          </w:r>
        </w:p>
        <w:p w:rsidR="00AB79EA" w:rsidP="00893984" w:rsidRDefault="00893984" w14:paraId="73333F8A" w14:textId="0E9C4B78">
          <w:pPr>
            <w:spacing w:line="360" w:lineRule="auto"/>
          </w:pPr>
          <w:r w:rsidRPr="00893984">
            <w:rPr>
              <w:rFonts w:ascii="Arial" w:hAnsi="Arial" w:cs="Arial"/>
              <w:sz w:val="24"/>
              <w:szCs w:val="24"/>
            </w:rPr>
            <w:t>Coverage ratios are related to the covering of indebtedness as well as other responsibilities like as interest charges, royalties, etc. Total liabilities, cash ratio, profit liquidity ratios, liabilities borrowings, and overall liquidity borrowings are some instances of replacement percentages</w:t>
          </w:r>
          <w:r>
            <w:t>.</w:t>
          </w:r>
        </w:p>
        <w:p w:rsidR="00AA2A91" w:rsidP="00AA2A91" w:rsidRDefault="00AA2A91" w14:paraId="34BB229B" w14:textId="258111C4">
          <w:pPr>
            <w:pStyle w:val="Heading1"/>
          </w:pPr>
          <w:bookmarkStart w:name="_Toc463944607" w:id="8"/>
          <w:r>
            <w:t>Benefits and Limitations of Ratio Analysis</w:t>
          </w:r>
          <w:bookmarkEnd w:id="8"/>
        </w:p>
        <w:p w:rsidR="00C25D2C" w:rsidP="00C25D2C" w:rsidRDefault="00C25D2C" w14:paraId="639358DA" w14:textId="26C49C6E"/>
        <w:p w:rsidRPr="007C745F" w:rsidR="00C25D2C" w:rsidP="007C745F" w:rsidRDefault="00C25D2C" w14:paraId="0116A20A" w14:textId="2DD70910">
          <w:pPr>
            <w:spacing w:line="360" w:lineRule="auto"/>
            <w:rPr>
              <w:rFonts w:ascii="Arial" w:hAnsi="Arial" w:cs="Arial"/>
              <w:sz w:val="24"/>
              <w:szCs w:val="24"/>
            </w:rPr>
          </w:pPr>
          <w:r w:rsidRPr="352799EA" w:rsidR="00C25D2C">
            <w:rPr>
              <w:rFonts w:ascii="Arial" w:hAnsi="Arial" w:cs="Arial"/>
              <w:sz w:val="24"/>
              <w:szCs w:val="24"/>
            </w:rPr>
            <w:t xml:space="preserve">Accounting information is amongst the most accounting - based methodologies for businesses, </w:t>
          </w:r>
          <w:bookmarkStart w:name="_Int_2SZCJ2tm" w:id="1608662172"/>
          <w:r w:rsidRPr="352799EA" w:rsidR="35BE3767">
            <w:rPr>
              <w:rFonts w:ascii="Arial" w:hAnsi="Arial" w:cs="Arial"/>
              <w:sz w:val="24"/>
              <w:szCs w:val="24"/>
            </w:rPr>
            <w:t>small</w:t>
          </w:r>
          <w:bookmarkEnd w:id="1608662172"/>
          <w:r w:rsidRPr="352799EA" w:rsidR="00C25D2C">
            <w:rPr>
              <w:rFonts w:ascii="Arial" w:hAnsi="Arial" w:cs="Arial"/>
              <w:sz w:val="24"/>
              <w:szCs w:val="24"/>
            </w:rPr>
            <w:t xml:space="preserve"> businesses. Asset </w:t>
          </w:r>
          <w:r w:rsidRPr="352799EA" w:rsidR="00C25D2C">
            <w:rPr>
              <w:rFonts w:ascii="Arial" w:hAnsi="Arial" w:cs="Arial"/>
              <w:sz w:val="24"/>
              <w:szCs w:val="24"/>
            </w:rPr>
            <w:t>utilization</w:t>
          </w:r>
          <w:r w:rsidRPr="352799EA" w:rsidR="00C25D2C">
            <w:rPr>
              <w:rFonts w:ascii="Arial" w:hAnsi="Arial" w:cs="Arial"/>
              <w:sz w:val="24"/>
              <w:szCs w:val="24"/>
            </w:rPr>
            <w:t xml:space="preserve"> informs corporate leaders on patterns among their own firm, also known as pattern or time application, as well as patterns throughout the sector, also known as sector or bridge assessment. Without comparisons, profitability ratio is pointless. Several corporations employ comparable businesses when conducting market research. Standard organizations are ones that are thought to be the most reliable yet significant, Carlson, (2022).</w:t>
          </w:r>
        </w:p>
        <w:p w:rsidRPr="007C745F" w:rsidR="00C25D2C" w:rsidP="007C745F" w:rsidRDefault="00C25D2C" w14:paraId="5C53150D" w14:textId="77777777">
          <w:pPr>
            <w:spacing w:line="360" w:lineRule="auto"/>
            <w:rPr>
              <w:rFonts w:ascii="Arial" w:hAnsi="Arial" w:cs="Arial"/>
              <w:sz w:val="24"/>
              <w:szCs w:val="24"/>
            </w:rPr>
          </w:pPr>
          <w:r w:rsidRPr="007C745F">
            <w:rPr>
              <w:rFonts w:ascii="Arial" w:hAnsi="Arial" w:cs="Arial"/>
              <w:sz w:val="24"/>
              <w:szCs w:val="24"/>
            </w:rPr>
            <w:lastRenderedPageBreak/>
            <w:t>Accounting records proportion assessment is crucial since this highlights the links across accounting data. They do, therefore, have several limits that should be considered when creating or utilising products.</w:t>
          </w:r>
        </w:p>
        <w:p w:rsidRPr="007C745F" w:rsidR="00C25D2C" w:rsidP="007C745F" w:rsidRDefault="00C25D2C" w14:paraId="7A5B6F22" w14:textId="784B2DF6">
          <w:pPr>
            <w:spacing w:line="360" w:lineRule="auto"/>
            <w:rPr>
              <w:rFonts w:ascii="Arial" w:hAnsi="Arial" w:cs="Arial"/>
              <w:sz w:val="24"/>
              <w:szCs w:val="24"/>
            </w:rPr>
          </w:pPr>
          <w:r w:rsidRPr="352799EA" w:rsidR="00C25D2C">
            <w:rPr>
              <w:rFonts w:ascii="Arial" w:hAnsi="Arial" w:cs="Arial"/>
              <w:sz w:val="24"/>
              <w:szCs w:val="24"/>
            </w:rPr>
            <w:t xml:space="preserve">(1) Ratios are calculated using bookkeeping statistics from bank records. Accounting information, on either hand, are prone to flaws, estimates, variation in practise, and, to certain measure, falsification. As a result, percentages </w:t>
          </w:r>
          <w:bookmarkStart w:name="_Int_MoUHURMN" w:id="1987580832"/>
          <w:r w:rsidRPr="352799EA" w:rsidR="79B12BA1">
            <w:rPr>
              <w:rFonts w:ascii="Arial" w:hAnsi="Arial" w:cs="Arial"/>
              <w:sz w:val="24"/>
              <w:szCs w:val="24"/>
            </w:rPr>
            <w:t>are not</w:t>
          </w:r>
          <w:bookmarkEnd w:id="1987580832"/>
          <w:r w:rsidRPr="352799EA" w:rsidR="00C25D2C">
            <w:rPr>
              <w:rFonts w:ascii="Arial" w:hAnsi="Arial" w:cs="Arial"/>
              <w:sz w:val="24"/>
              <w:szCs w:val="24"/>
            </w:rPr>
            <w:t xml:space="preserve"> </w:t>
          </w:r>
          <w:r w:rsidRPr="352799EA" w:rsidR="00C25D2C">
            <w:rPr>
              <w:rFonts w:ascii="Arial" w:hAnsi="Arial" w:cs="Arial"/>
              <w:sz w:val="24"/>
              <w:szCs w:val="24"/>
            </w:rPr>
            <w:t>very useful</w:t>
          </w:r>
          <w:r w:rsidRPr="352799EA" w:rsidR="00C25D2C">
            <w:rPr>
              <w:rFonts w:ascii="Arial" w:hAnsi="Arial" w:cs="Arial"/>
              <w:sz w:val="24"/>
              <w:szCs w:val="24"/>
            </w:rPr>
            <w:t xml:space="preserve"> for </w:t>
          </w:r>
          <w:r w:rsidRPr="352799EA" w:rsidR="00C25D2C">
            <w:rPr>
              <w:rFonts w:ascii="Arial" w:hAnsi="Arial" w:cs="Arial"/>
              <w:sz w:val="24"/>
              <w:szCs w:val="24"/>
            </w:rPr>
            <w:t>establishing</w:t>
          </w:r>
          <w:r w:rsidRPr="352799EA" w:rsidR="00C25D2C">
            <w:rPr>
              <w:rFonts w:ascii="Arial" w:hAnsi="Arial" w:cs="Arial"/>
              <w:sz w:val="24"/>
              <w:szCs w:val="24"/>
            </w:rPr>
            <w:t xml:space="preserve"> findings.</w:t>
          </w:r>
        </w:p>
        <w:p w:rsidRPr="007C745F" w:rsidR="00C25D2C" w:rsidP="007C745F" w:rsidRDefault="00C25D2C" w14:paraId="20C367BC" w14:textId="77777777">
          <w:pPr>
            <w:spacing w:line="360" w:lineRule="auto"/>
            <w:rPr>
              <w:rFonts w:ascii="Arial" w:hAnsi="Arial" w:cs="Arial"/>
              <w:sz w:val="24"/>
              <w:szCs w:val="24"/>
            </w:rPr>
          </w:pPr>
          <w:r w:rsidRPr="007C745F">
            <w:rPr>
              <w:rFonts w:ascii="Arial" w:hAnsi="Arial" w:cs="Arial"/>
              <w:sz w:val="24"/>
              <w:szCs w:val="24"/>
            </w:rPr>
            <w:t>(2) Ratios have a difficulty with impartiality. Organizations that are comparable could utilize distinctive financial statements, that can also make analysing certain crucial connections difficult. For examples, cash flow may vary between companies that use the FIFO technique of revenue recognition and those that use the Following techniques.</w:t>
          </w:r>
        </w:p>
        <w:p w:rsidRPr="007C745F" w:rsidR="00C25D2C" w:rsidP="007C745F" w:rsidRDefault="00C25D2C" w14:paraId="036F5EDB" w14:textId="244C61EC">
          <w:pPr>
            <w:spacing w:line="360" w:lineRule="auto"/>
            <w:rPr>
              <w:rFonts w:ascii="Arial" w:hAnsi="Arial" w:cs="Arial"/>
              <w:sz w:val="24"/>
              <w:szCs w:val="24"/>
            </w:rPr>
          </w:pPr>
          <w:r w:rsidRPr="352799EA" w:rsidR="00C25D2C">
            <w:rPr>
              <w:rFonts w:ascii="Arial" w:hAnsi="Arial" w:cs="Arial"/>
              <w:sz w:val="24"/>
              <w:szCs w:val="24"/>
            </w:rPr>
            <w:t xml:space="preserve">(3) Hyperinflation could reduce the usefulness of financial measures. Because of hyperinflation, past expense income accounts and accounting data </w:t>
          </w:r>
          <w:bookmarkStart w:name="_Int_yzTEdbKK" w:id="2127838205"/>
          <w:r w:rsidRPr="352799EA" w:rsidR="4DFCE2CE">
            <w:rPr>
              <w:rFonts w:ascii="Arial" w:hAnsi="Arial" w:cs="Arial"/>
              <w:sz w:val="24"/>
              <w:szCs w:val="24"/>
            </w:rPr>
            <w:t>do not</w:t>
          </w:r>
          <w:bookmarkEnd w:id="2127838205"/>
          <w:r w:rsidRPr="352799EA" w:rsidR="00C25D2C">
            <w:rPr>
              <w:rFonts w:ascii="Arial" w:hAnsi="Arial" w:cs="Arial"/>
              <w:sz w:val="24"/>
              <w:szCs w:val="24"/>
            </w:rPr>
            <w:t xml:space="preserve"> really match the actual valuation data, particularly when resources are obtained at various years with different firms.</w:t>
          </w:r>
        </w:p>
        <w:p w:rsidRPr="007C745F" w:rsidR="00C25D2C" w:rsidP="007C745F" w:rsidRDefault="00C25D2C" w14:paraId="6296BCF1" w14:textId="0F554B3E">
          <w:pPr>
            <w:spacing w:line="360" w:lineRule="auto"/>
            <w:rPr>
              <w:rFonts w:ascii="Arial" w:hAnsi="Arial" w:cs="Arial"/>
              <w:sz w:val="24"/>
              <w:szCs w:val="24"/>
            </w:rPr>
          </w:pPr>
          <w:r w:rsidRPr="352799EA" w:rsidR="00C25D2C">
            <w:rPr>
              <w:rFonts w:ascii="Arial" w:hAnsi="Arial" w:cs="Arial"/>
              <w:sz w:val="24"/>
              <w:szCs w:val="24"/>
            </w:rPr>
            <w:t xml:space="preserve">(4) Financial metrics just </w:t>
          </w:r>
          <w:bookmarkStart w:name="_Int_2u7mmTo0" w:id="898901296"/>
          <w:r w:rsidRPr="352799EA" w:rsidR="54569627">
            <w:rPr>
              <w:rFonts w:ascii="Arial" w:hAnsi="Arial" w:cs="Arial"/>
              <w:sz w:val="24"/>
              <w:szCs w:val="24"/>
            </w:rPr>
            <w:t>are not</w:t>
          </w:r>
          <w:bookmarkEnd w:id="898901296"/>
          <w:r w:rsidRPr="352799EA" w:rsidR="00C25D2C">
            <w:rPr>
              <w:rFonts w:ascii="Arial" w:hAnsi="Arial" w:cs="Arial"/>
              <w:sz w:val="24"/>
              <w:szCs w:val="24"/>
            </w:rPr>
            <w:t xml:space="preserve"> entirely reliable, and individuals should be used upon considering price trends, sector circumstance, placement of companies, production system, company size, switching costs, and other factors that can cause enterprises to be readily distinguishable and hence actually effect ratio analysis calculation.</w:t>
          </w:r>
        </w:p>
        <w:p w:rsidRPr="007C745F" w:rsidR="00C25D2C" w:rsidP="007C745F" w:rsidRDefault="00C25D2C" w14:paraId="5FB1FDC1" w14:textId="4BDB4B08">
          <w:pPr>
            <w:spacing w:line="360" w:lineRule="auto"/>
            <w:rPr>
              <w:rFonts w:ascii="Arial" w:hAnsi="Arial" w:cs="Arial"/>
              <w:sz w:val="24"/>
              <w:szCs w:val="24"/>
            </w:rPr>
          </w:pPr>
          <w:r w:rsidRPr="007C745F">
            <w:rPr>
              <w:rFonts w:ascii="Arial" w:hAnsi="Arial" w:cs="Arial"/>
              <w:sz w:val="24"/>
              <w:szCs w:val="24"/>
            </w:rPr>
            <w:t>(5) The efficacy of metrics is also influenced by the various techniques of calculation. Sometimes in equivalent scenarios, the differing ideas utilised to determine the numbers in a certain ordinal variable need not aid in making valid findings, Agarwal, (n.d.).</w:t>
          </w:r>
        </w:p>
        <w:p w:rsidR="004D519C" w:rsidP="004D519C" w:rsidRDefault="004D519C" w14:paraId="3EE87C95" w14:textId="77777777"/>
        <w:p w:rsidR="00AA2A91" w:rsidP="004D519C" w:rsidRDefault="00AA2A91" w14:paraId="78002955" w14:textId="77777777"/>
        <w:p w:rsidR="00AA2A91" w:rsidP="004D519C" w:rsidRDefault="00AA2A91" w14:paraId="393E8D7A" w14:textId="77777777"/>
        <w:p w:rsidR="00AA2A91" w:rsidP="004D519C" w:rsidRDefault="00AA2A91" w14:paraId="2FC654DE" w14:textId="77777777"/>
        <w:p w:rsidR="00AA2A91" w:rsidP="004D519C" w:rsidRDefault="00AA2A91" w14:paraId="66B2906D" w14:textId="77777777"/>
        <w:p w:rsidR="00AA2A91" w:rsidP="004D519C" w:rsidRDefault="00AA2A91" w14:paraId="6B5BA63F" w14:textId="77777777"/>
        <w:p w:rsidR="00AA2A91" w:rsidP="004D519C" w:rsidRDefault="00AA2A91" w14:paraId="3605BA5F" w14:textId="77777777"/>
        <w:p w:rsidR="00AA2A91" w:rsidP="004D519C" w:rsidRDefault="00AA2A91" w14:paraId="515275D2" w14:textId="77777777"/>
        <w:p w:rsidR="00AA2A91" w:rsidP="00AA2A91" w:rsidRDefault="00AA2A91" w14:paraId="637ECABC" w14:textId="0C30A44E">
          <w:pPr>
            <w:pStyle w:val="Heading1"/>
          </w:pPr>
          <w:bookmarkStart w:name="_Toc463944608" w:id="9"/>
          <w:r>
            <w:t>Conclusion</w:t>
          </w:r>
          <w:r w:rsidR="00D854A5">
            <w:t xml:space="preserve"> </w:t>
          </w:r>
          <w:bookmarkEnd w:id="9"/>
        </w:p>
        <w:p w:rsidR="007B4E19" w:rsidP="007B4E19" w:rsidRDefault="007B4E19" w14:paraId="51820EA4" w14:textId="05788897"/>
        <w:p w:rsidRPr="007B4E19" w:rsidR="007B4E19" w:rsidP="007B4E19" w:rsidRDefault="007B4E19" w14:paraId="7C1CC89E" w14:textId="77777777"/>
        <w:p w:rsidRPr="007B4E19" w:rsidR="00AA2A91" w:rsidP="007B4E19" w:rsidRDefault="007B4E19" w14:paraId="12347926" w14:textId="349B5140">
          <w:pPr>
            <w:spacing w:line="360" w:lineRule="auto"/>
            <w:rPr>
              <w:rFonts w:ascii="Arial" w:hAnsi="Arial" w:cs="Arial"/>
              <w:sz w:val="24"/>
              <w:szCs w:val="24"/>
            </w:rPr>
          </w:pPr>
          <w:r w:rsidRPr="007B4E19">
            <w:rPr>
              <w:rFonts w:ascii="Arial" w:hAnsi="Arial" w:cs="Arial"/>
              <w:sz w:val="24"/>
              <w:szCs w:val="24"/>
            </w:rPr>
            <w:t>Marriott Hotel is a well-known American hotel corporation based in Virginia, USA. That research includes a comprehensive accounting ratio about Marriott Hotels between 2020 to 2021. During the introduction of covid 19, the hotel sector suffered a major setback as legislatures in several nations-imposed limits on commercial and transportation activity. As just a result, the  management, such as Marriott Hotels, experienced heavy casualties plus decreasing consumer expectations in 2020. Furthermore, that after limits were lifted, Marriott reaped profitability, as evidenced by a careful statistical study of fiscal summaries.</w:t>
          </w:r>
        </w:p>
        <w:p w:rsidR="00AA2A91" w:rsidP="00AA2A91" w:rsidRDefault="00AA2A91" w14:paraId="02185B09" w14:textId="77777777"/>
        <w:p w:rsidR="00AA2A91" w:rsidP="00AA2A91" w:rsidRDefault="00AA2A91" w14:paraId="7B690C88" w14:textId="77777777"/>
        <w:p w:rsidR="00AA2A91" w:rsidP="00AA2A91" w:rsidRDefault="00AA2A91" w14:paraId="0812BA51" w14:textId="77777777"/>
        <w:p w:rsidR="00AA2A91" w:rsidP="00AA2A91" w:rsidRDefault="00AA2A91" w14:paraId="51827809" w14:textId="77777777"/>
        <w:p w:rsidR="00AA2A91" w:rsidP="00AA2A91" w:rsidRDefault="00AA2A91" w14:paraId="1543DD78" w14:textId="77777777"/>
        <w:p w:rsidR="00AA2A91" w:rsidP="00AA2A91" w:rsidRDefault="00AA2A91" w14:paraId="67940328" w14:textId="77777777"/>
        <w:p w:rsidR="00AA2A91" w:rsidP="00AA2A91" w:rsidRDefault="00AA2A91" w14:paraId="344A0912" w14:textId="77777777"/>
        <w:p w:rsidR="00AA2A91" w:rsidP="00AA2A91" w:rsidRDefault="00AA2A91" w14:paraId="174AD4D4" w14:textId="77777777"/>
        <w:p w:rsidR="00AA2A91" w:rsidP="00AA2A91" w:rsidRDefault="00AA2A91" w14:paraId="2CD381F6" w14:textId="77777777"/>
        <w:p w:rsidR="00AA2A91" w:rsidP="00AA2A91" w:rsidRDefault="00AA2A91" w14:paraId="492D9601" w14:textId="77777777"/>
        <w:p w:rsidR="00AA2A91" w:rsidP="00AA2A91" w:rsidRDefault="00AA2A91" w14:paraId="74E083D2" w14:textId="77777777"/>
        <w:p w:rsidR="00AA2A91" w:rsidP="00AA2A91" w:rsidRDefault="00AA2A91" w14:paraId="642DF8DC" w14:textId="77777777"/>
        <w:p w:rsidR="00AA2A91" w:rsidP="00AA2A91" w:rsidRDefault="00AA2A91" w14:paraId="52B10D93" w14:textId="77777777"/>
        <w:p w:rsidR="00AA2A91" w:rsidP="00AA2A91" w:rsidRDefault="00AA2A91" w14:paraId="6D62B1B1" w14:textId="77777777"/>
        <w:p w:rsidR="00AA2A91" w:rsidP="00AA2A91" w:rsidRDefault="00AA2A91" w14:paraId="7E47C5B6" w14:textId="77777777"/>
        <w:p w:rsidR="00AA2A91" w:rsidP="00AA2A91" w:rsidRDefault="00AA2A91" w14:paraId="2278E568" w14:textId="77777777"/>
        <w:p w:rsidR="00AA2A91" w:rsidP="00AA2A91" w:rsidRDefault="00AA2A91" w14:paraId="13059E3A" w14:textId="77777777"/>
        <w:p w:rsidR="00AA2A91" w:rsidP="00AA2A91" w:rsidRDefault="00AA2A91" w14:paraId="5993C992" w14:textId="77777777"/>
        <w:p w:rsidRPr="00AA2A91" w:rsidR="00AA2A91" w:rsidP="00AA2A91" w:rsidRDefault="00AA2A91" w14:paraId="403DF109" w14:textId="77777777">
          <w:pPr>
            <w:pStyle w:val="Heading1"/>
          </w:pPr>
          <w:bookmarkStart w:name="_Toc463944609" w:id="10"/>
          <w:r>
            <w:lastRenderedPageBreak/>
            <w:t>Bibliography</w:t>
          </w:r>
          <w:bookmarkEnd w:id="10"/>
        </w:p>
        <w:p w:rsidR="008D245B" w:rsidP="008D245B" w:rsidRDefault="00000000" w14:paraId="53C0951E" w14:textId="77777777"/>
      </w:sdtContent>
    </w:sdt>
    <w:p w:rsidRPr="008D245B" w:rsidR="008D245B" w:rsidP="008D245B" w:rsidRDefault="008D245B" w14:paraId="4C9953D1" w14:textId="4B88A220">
      <w:r w:rsidRPr="008D245B">
        <w:t xml:space="preserve"> </w:t>
      </w:r>
      <w:r w:rsidRPr="008D245B">
        <w:rPr>
          <w:rFonts w:ascii="Arial" w:hAnsi="Arial" w:cs="Arial"/>
          <w:sz w:val="24"/>
          <w:szCs w:val="24"/>
        </w:rPr>
        <w:t>White, M (2021) Financial Analysis- Marriott International. Citations Journal of Undergraduate Research, Volume (18), p. 1-18.</w:t>
      </w:r>
    </w:p>
    <w:p w:rsidRPr="008D245B" w:rsidR="008D245B" w:rsidP="008D245B" w:rsidRDefault="008D245B" w14:paraId="31316580" w14:textId="77777777">
      <w:pPr>
        <w:spacing w:line="360" w:lineRule="auto"/>
        <w:rPr>
          <w:rFonts w:ascii="Arial" w:hAnsi="Arial" w:cs="Arial"/>
          <w:sz w:val="24"/>
          <w:szCs w:val="24"/>
        </w:rPr>
      </w:pPr>
    </w:p>
    <w:p w:rsidRPr="008D245B" w:rsidR="008D245B" w:rsidP="008D245B" w:rsidRDefault="008D245B" w14:paraId="4F0F9A8B" w14:textId="77777777">
      <w:pPr>
        <w:spacing w:line="360" w:lineRule="auto"/>
        <w:rPr>
          <w:rFonts w:ascii="Arial" w:hAnsi="Arial" w:cs="Arial"/>
          <w:sz w:val="24"/>
          <w:szCs w:val="24"/>
        </w:rPr>
      </w:pPr>
      <w:r w:rsidRPr="008D245B">
        <w:rPr>
          <w:rFonts w:ascii="Arial" w:hAnsi="Arial" w:cs="Arial"/>
          <w:sz w:val="24"/>
          <w:szCs w:val="24"/>
        </w:rPr>
        <w:t>Gittens, C. (2022) Financial management in the hospitality industry.</w:t>
      </w:r>
    </w:p>
    <w:p w:rsidRPr="008D245B" w:rsidR="008D245B" w:rsidP="008D245B" w:rsidRDefault="008D245B" w14:paraId="24A8A56F" w14:textId="77777777">
      <w:pPr>
        <w:spacing w:line="360" w:lineRule="auto"/>
        <w:rPr>
          <w:rFonts w:ascii="Arial" w:hAnsi="Arial" w:cs="Arial"/>
          <w:sz w:val="24"/>
          <w:szCs w:val="24"/>
        </w:rPr>
      </w:pPr>
      <w:r w:rsidRPr="008D245B">
        <w:rPr>
          <w:rFonts w:ascii="Arial" w:hAnsi="Arial" w:cs="Arial"/>
          <w:sz w:val="24"/>
          <w:szCs w:val="24"/>
        </w:rPr>
        <w:t>Available at: https://www.instituteofhospitality.org/</w:t>
      </w:r>
    </w:p>
    <w:p w:rsidR="008D245B" w:rsidP="008D245B" w:rsidRDefault="008D245B" w14:paraId="35780EF7" w14:textId="40701781">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274291F2" w14:textId="77777777">
      <w:pPr>
        <w:spacing w:line="360" w:lineRule="auto"/>
        <w:rPr>
          <w:rFonts w:ascii="Arial" w:hAnsi="Arial" w:cs="Arial"/>
          <w:sz w:val="24"/>
          <w:szCs w:val="24"/>
        </w:rPr>
      </w:pPr>
    </w:p>
    <w:p w:rsidRPr="008D245B" w:rsidR="008D245B" w:rsidP="008D245B" w:rsidRDefault="008D245B" w14:paraId="59E2DB24" w14:textId="507B620B">
      <w:pPr>
        <w:spacing w:line="360" w:lineRule="auto"/>
        <w:rPr>
          <w:rFonts w:ascii="Arial" w:hAnsi="Arial" w:cs="Arial"/>
          <w:sz w:val="24"/>
          <w:szCs w:val="24"/>
        </w:rPr>
      </w:pPr>
      <w:r w:rsidRPr="352799EA" w:rsidR="008D245B">
        <w:rPr>
          <w:rFonts w:ascii="Arial" w:hAnsi="Arial" w:cs="Arial"/>
          <w:sz w:val="24"/>
          <w:szCs w:val="24"/>
        </w:rPr>
        <w:t xml:space="preserve">TARVER, B. E. (2021) Key Financial Ratios to </w:t>
      </w:r>
      <w:r w:rsidRPr="352799EA" w:rsidR="133CCEDE">
        <w:rPr>
          <w:rFonts w:ascii="Arial" w:hAnsi="Arial" w:cs="Arial"/>
          <w:sz w:val="24"/>
          <w:szCs w:val="24"/>
        </w:rPr>
        <w:t>Analyse</w:t>
      </w:r>
      <w:r w:rsidRPr="352799EA" w:rsidR="008D245B">
        <w:rPr>
          <w:rFonts w:ascii="Arial" w:hAnsi="Arial" w:cs="Arial"/>
          <w:sz w:val="24"/>
          <w:szCs w:val="24"/>
        </w:rPr>
        <w:t xml:space="preserve"> the Hospitality Industry. </w:t>
      </w:r>
    </w:p>
    <w:p w:rsidRPr="008D245B" w:rsidR="008D245B" w:rsidP="008D245B" w:rsidRDefault="008D245B" w14:paraId="6EFDE3DE" w14:textId="77777777">
      <w:pPr>
        <w:spacing w:line="360" w:lineRule="auto"/>
        <w:rPr>
          <w:rFonts w:ascii="Arial" w:hAnsi="Arial" w:cs="Arial"/>
          <w:sz w:val="24"/>
          <w:szCs w:val="24"/>
        </w:rPr>
      </w:pPr>
      <w:r w:rsidRPr="008D245B">
        <w:rPr>
          <w:rFonts w:ascii="Arial" w:hAnsi="Arial" w:cs="Arial"/>
          <w:sz w:val="24"/>
          <w:szCs w:val="24"/>
        </w:rPr>
        <w:t>Available at: https://www.investopedia.com/</w:t>
      </w:r>
    </w:p>
    <w:p w:rsidRPr="008D245B" w:rsidR="008D245B" w:rsidP="008D245B" w:rsidRDefault="008D245B" w14:paraId="1D1BBC27"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4C0DEB6D" w14:textId="77777777">
      <w:pPr>
        <w:spacing w:line="360" w:lineRule="auto"/>
        <w:rPr>
          <w:rFonts w:ascii="Arial" w:hAnsi="Arial" w:cs="Arial"/>
          <w:sz w:val="24"/>
          <w:szCs w:val="24"/>
        </w:rPr>
      </w:pPr>
    </w:p>
    <w:p w:rsidRPr="008D245B" w:rsidR="008D245B" w:rsidP="008D245B" w:rsidRDefault="008D245B" w14:paraId="4D0D8479" w14:textId="77777777">
      <w:pPr>
        <w:spacing w:line="360" w:lineRule="auto"/>
        <w:rPr>
          <w:rFonts w:ascii="Arial" w:hAnsi="Arial" w:cs="Arial"/>
          <w:sz w:val="24"/>
          <w:szCs w:val="24"/>
        </w:rPr>
      </w:pPr>
      <w:r w:rsidRPr="008D245B">
        <w:rPr>
          <w:rFonts w:ascii="Arial" w:hAnsi="Arial" w:cs="Arial"/>
          <w:sz w:val="24"/>
          <w:szCs w:val="24"/>
        </w:rPr>
        <w:t xml:space="preserve">Gordon, J. (2022) Trend Analysis - Explained. </w:t>
      </w:r>
    </w:p>
    <w:p w:rsidRPr="008D245B" w:rsidR="008D245B" w:rsidP="008D245B" w:rsidRDefault="008D245B" w14:paraId="1A9FE190" w14:textId="77777777">
      <w:pPr>
        <w:spacing w:line="360" w:lineRule="auto"/>
        <w:rPr>
          <w:rFonts w:ascii="Arial" w:hAnsi="Arial" w:cs="Arial"/>
          <w:sz w:val="24"/>
          <w:szCs w:val="24"/>
        </w:rPr>
      </w:pPr>
      <w:r w:rsidRPr="008D245B">
        <w:rPr>
          <w:rFonts w:ascii="Arial" w:hAnsi="Arial" w:cs="Arial"/>
          <w:sz w:val="24"/>
          <w:szCs w:val="24"/>
        </w:rPr>
        <w:t>Available at: https://thebusinessprofessor.com/</w:t>
      </w:r>
    </w:p>
    <w:p w:rsidRPr="008D245B" w:rsidR="008D245B" w:rsidP="008D245B" w:rsidRDefault="008D245B" w14:paraId="029D0F5B"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5E62D8D1" w14:textId="77777777">
      <w:pPr>
        <w:spacing w:line="360" w:lineRule="auto"/>
        <w:rPr>
          <w:rFonts w:ascii="Arial" w:hAnsi="Arial" w:cs="Arial"/>
          <w:sz w:val="24"/>
          <w:szCs w:val="24"/>
        </w:rPr>
      </w:pPr>
    </w:p>
    <w:p w:rsidRPr="008D245B" w:rsidR="008D245B" w:rsidP="008D245B" w:rsidRDefault="008D245B" w14:paraId="1124C410" w14:textId="77777777">
      <w:pPr>
        <w:spacing w:line="360" w:lineRule="auto"/>
        <w:rPr>
          <w:rFonts w:ascii="Arial" w:hAnsi="Arial" w:cs="Arial"/>
          <w:sz w:val="24"/>
          <w:szCs w:val="24"/>
        </w:rPr>
      </w:pPr>
      <w:r w:rsidRPr="008D245B">
        <w:rPr>
          <w:rFonts w:ascii="Arial" w:hAnsi="Arial" w:cs="Arial"/>
          <w:sz w:val="24"/>
          <w:szCs w:val="24"/>
        </w:rPr>
        <w:t>HAYES, A. (2022) Profitability Ratios: What They Are, Common Types, and How Businesses Use Them.</w:t>
      </w:r>
    </w:p>
    <w:p w:rsidRPr="008D245B" w:rsidR="008D245B" w:rsidP="008D245B" w:rsidRDefault="008D245B" w14:paraId="4A826723" w14:textId="77777777">
      <w:pPr>
        <w:spacing w:line="360" w:lineRule="auto"/>
        <w:rPr>
          <w:rFonts w:ascii="Arial" w:hAnsi="Arial" w:cs="Arial"/>
          <w:sz w:val="24"/>
          <w:szCs w:val="24"/>
        </w:rPr>
      </w:pPr>
      <w:r w:rsidRPr="008D245B">
        <w:rPr>
          <w:rFonts w:ascii="Arial" w:hAnsi="Arial" w:cs="Arial"/>
          <w:sz w:val="24"/>
          <w:szCs w:val="24"/>
        </w:rPr>
        <w:t>Available at: https://www.investopedia.com/</w:t>
      </w:r>
    </w:p>
    <w:p w:rsidRPr="008D245B" w:rsidR="008D245B" w:rsidP="008D245B" w:rsidRDefault="008D245B" w14:paraId="07BB94F1" w14:textId="77777777">
      <w:pPr>
        <w:spacing w:line="360" w:lineRule="auto"/>
        <w:rPr>
          <w:rFonts w:ascii="Arial" w:hAnsi="Arial" w:cs="Arial"/>
          <w:sz w:val="24"/>
          <w:szCs w:val="24"/>
        </w:rPr>
      </w:pPr>
      <w:r w:rsidRPr="008D245B">
        <w:rPr>
          <w:rFonts w:ascii="Arial" w:hAnsi="Arial" w:cs="Arial"/>
          <w:sz w:val="24"/>
          <w:szCs w:val="24"/>
        </w:rPr>
        <w:t>Accessed 09 Dec 2022).</w:t>
      </w:r>
    </w:p>
    <w:p w:rsidR="008D245B" w:rsidP="008D245B" w:rsidRDefault="008D245B" w14:paraId="3CAAB164" w14:textId="77777777">
      <w:pPr>
        <w:spacing w:line="360" w:lineRule="auto"/>
        <w:rPr>
          <w:rFonts w:ascii="Arial" w:hAnsi="Arial" w:cs="Arial"/>
          <w:sz w:val="24"/>
          <w:szCs w:val="24"/>
        </w:rPr>
      </w:pPr>
    </w:p>
    <w:p w:rsidRPr="008D245B" w:rsidR="008D245B" w:rsidP="008D245B" w:rsidRDefault="008D245B" w14:paraId="34F0A400" w14:textId="7035026B">
      <w:pPr>
        <w:spacing w:line="360" w:lineRule="auto"/>
        <w:rPr>
          <w:rFonts w:ascii="Arial" w:hAnsi="Arial" w:cs="Arial"/>
          <w:sz w:val="24"/>
          <w:szCs w:val="24"/>
        </w:rPr>
      </w:pPr>
      <w:r w:rsidRPr="008D245B">
        <w:rPr>
          <w:rFonts w:ascii="Arial" w:hAnsi="Arial" w:cs="Arial"/>
          <w:sz w:val="24"/>
          <w:szCs w:val="24"/>
        </w:rPr>
        <w:t>MURPHY, C. B. (2022) What is Net Profit Margin? Formula for Calculation and Examples.</w:t>
      </w:r>
    </w:p>
    <w:p w:rsidRPr="008D245B" w:rsidR="008D245B" w:rsidP="008D245B" w:rsidRDefault="008D245B" w14:paraId="0ED06C6B" w14:textId="77777777">
      <w:pPr>
        <w:spacing w:line="360" w:lineRule="auto"/>
        <w:rPr>
          <w:rFonts w:ascii="Arial" w:hAnsi="Arial" w:cs="Arial"/>
          <w:sz w:val="24"/>
          <w:szCs w:val="24"/>
        </w:rPr>
      </w:pPr>
      <w:r w:rsidRPr="008D245B">
        <w:rPr>
          <w:rFonts w:ascii="Arial" w:hAnsi="Arial" w:cs="Arial"/>
          <w:sz w:val="24"/>
          <w:szCs w:val="24"/>
        </w:rPr>
        <w:t>Available at: https://www.investopedia.com/</w:t>
      </w:r>
    </w:p>
    <w:p w:rsidR="002A0B56" w:rsidP="008D245B" w:rsidRDefault="008D245B" w14:paraId="40372F70"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539A6519" w14:textId="0385D489">
      <w:pPr>
        <w:spacing w:line="360" w:lineRule="auto"/>
        <w:rPr>
          <w:rFonts w:ascii="Arial" w:hAnsi="Arial" w:cs="Arial"/>
          <w:sz w:val="24"/>
          <w:szCs w:val="24"/>
        </w:rPr>
      </w:pPr>
      <w:r w:rsidRPr="008D245B">
        <w:rPr>
          <w:rFonts w:ascii="Arial" w:hAnsi="Arial" w:cs="Arial"/>
          <w:sz w:val="24"/>
          <w:szCs w:val="24"/>
        </w:rPr>
        <w:lastRenderedPageBreak/>
        <w:t>Team, C. (2022) Return on Equity (ROE).</w:t>
      </w:r>
    </w:p>
    <w:p w:rsidRPr="008D245B" w:rsidR="008D245B" w:rsidP="008D245B" w:rsidRDefault="008D245B" w14:paraId="65253FF4" w14:textId="77777777">
      <w:pPr>
        <w:spacing w:line="360" w:lineRule="auto"/>
        <w:rPr>
          <w:rFonts w:ascii="Arial" w:hAnsi="Arial" w:cs="Arial"/>
          <w:sz w:val="24"/>
          <w:szCs w:val="24"/>
        </w:rPr>
      </w:pPr>
      <w:r w:rsidRPr="008D245B">
        <w:rPr>
          <w:rFonts w:ascii="Arial" w:hAnsi="Arial" w:cs="Arial"/>
          <w:sz w:val="24"/>
          <w:szCs w:val="24"/>
        </w:rPr>
        <w:t>Available at: https://corporatefinanceinstitute.com/</w:t>
      </w:r>
    </w:p>
    <w:p w:rsidRPr="008D245B" w:rsidR="008D245B" w:rsidP="008D245B" w:rsidRDefault="008D245B" w14:paraId="6113659B"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402DCFB6" w14:textId="77777777">
      <w:pPr>
        <w:spacing w:line="360" w:lineRule="auto"/>
        <w:rPr>
          <w:rFonts w:ascii="Arial" w:hAnsi="Arial" w:cs="Arial"/>
          <w:sz w:val="24"/>
          <w:szCs w:val="24"/>
        </w:rPr>
      </w:pPr>
    </w:p>
    <w:p w:rsidRPr="008D245B" w:rsidR="008D245B" w:rsidP="008D245B" w:rsidRDefault="008D245B" w14:paraId="3886623E" w14:textId="77777777" w14:noSpellErr="1">
      <w:pPr>
        <w:spacing w:line="360" w:lineRule="auto"/>
        <w:rPr>
          <w:rFonts w:ascii="Arial" w:hAnsi="Arial" w:cs="Arial"/>
          <w:sz w:val="24"/>
          <w:szCs w:val="24"/>
        </w:rPr>
      </w:pPr>
      <w:r w:rsidRPr="352799EA" w:rsidR="008D245B">
        <w:rPr>
          <w:rFonts w:ascii="Arial" w:hAnsi="Arial" w:cs="Arial"/>
          <w:sz w:val="24"/>
          <w:szCs w:val="24"/>
        </w:rPr>
        <w:t xml:space="preserve">Birken, E. G. (2021) Understanding Return </w:t>
      </w:r>
      <w:bookmarkStart w:name="_Int_dfqZIMoN" w:id="705767116"/>
      <w:r w:rsidRPr="352799EA" w:rsidR="008D245B">
        <w:rPr>
          <w:rFonts w:ascii="Arial" w:hAnsi="Arial" w:cs="Arial"/>
          <w:sz w:val="24"/>
          <w:szCs w:val="24"/>
        </w:rPr>
        <w:t>On</w:t>
      </w:r>
      <w:bookmarkEnd w:id="705767116"/>
      <w:r w:rsidRPr="352799EA" w:rsidR="008D245B">
        <w:rPr>
          <w:rFonts w:ascii="Arial" w:hAnsi="Arial" w:cs="Arial"/>
          <w:sz w:val="24"/>
          <w:szCs w:val="24"/>
        </w:rPr>
        <w:t xml:space="preserve"> Assets (ROA). </w:t>
      </w:r>
    </w:p>
    <w:p w:rsidRPr="008D245B" w:rsidR="008D245B" w:rsidP="008D245B" w:rsidRDefault="008D245B" w14:paraId="1673B84C" w14:textId="77777777">
      <w:pPr>
        <w:spacing w:line="360" w:lineRule="auto"/>
        <w:rPr>
          <w:rFonts w:ascii="Arial" w:hAnsi="Arial" w:cs="Arial"/>
          <w:sz w:val="24"/>
          <w:szCs w:val="24"/>
        </w:rPr>
      </w:pPr>
      <w:r w:rsidRPr="008D245B">
        <w:rPr>
          <w:rFonts w:ascii="Arial" w:hAnsi="Arial" w:cs="Arial"/>
          <w:sz w:val="24"/>
          <w:szCs w:val="24"/>
        </w:rPr>
        <w:t>Available at: https://www.forbes.com/</w:t>
      </w:r>
    </w:p>
    <w:p w:rsidRPr="008D245B" w:rsidR="008D245B" w:rsidP="008D245B" w:rsidRDefault="008D245B" w14:paraId="7071F1EE"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5E5B2BC0" w14:textId="77777777">
      <w:pPr>
        <w:spacing w:line="360" w:lineRule="auto"/>
        <w:rPr>
          <w:rFonts w:ascii="Arial" w:hAnsi="Arial" w:cs="Arial"/>
          <w:sz w:val="24"/>
          <w:szCs w:val="24"/>
        </w:rPr>
      </w:pPr>
    </w:p>
    <w:p w:rsidRPr="008D245B" w:rsidR="008D245B" w:rsidP="008D245B" w:rsidRDefault="008D245B" w14:paraId="6AAA3AFD" w14:textId="77777777" w14:noSpellErr="1">
      <w:pPr>
        <w:spacing w:line="360" w:lineRule="auto"/>
        <w:rPr>
          <w:rFonts w:ascii="Arial" w:hAnsi="Arial" w:cs="Arial"/>
          <w:sz w:val="24"/>
          <w:szCs w:val="24"/>
        </w:rPr>
      </w:pPr>
      <w:r w:rsidRPr="352799EA" w:rsidR="008D245B">
        <w:rPr>
          <w:rFonts w:ascii="Arial" w:hAnsi="Arial" w:cs="Arial"/>
          <w:sz w:val="24"/>
          <w:szCs w:val="24"/>
        </w:rPr>
        <w:t xml:space="preserve">Beaver, S. (2022) What is Liquidity and Why Does it Matter to </w:t>
      </w:r>
      <w:bookmarkStart w:name="_Int_aqjMdFWW" w:id="18893827"/>
      <w:r w:rsidRPr="352799EA" w:rsidR="008D245B">
        <w:rPr>
          <w:rFonts w:ascii="Arial" w:hAnsi="Arial" w:cs="Arial"/>
          <w:sz w:val="24"/>
          <w:szCs w:val="24"/>
        </w:rPr>
        <w:t>Businesses?.</w:t>
      </w:r>
      <w:bookmarkEnd w:id="18893827"/>
    </w:p>
    <w:p w:rsidRPr="008D245B" w:rsidR="008D245B" w:rsidP="008D245B" w:rsidRDefault="008D245B" w14:paraId="1FA5FEBD" w14:textId="77777777">
      <w:pPr>
        <w:spacing w:line="360" w:lineRule="auto"/>
        <w:rPr>
          <w:rFonts w:ascii="Arial" w:hAnsi="Arial" w:cs="Arial"/>
          <w:sz w:val="24"/>
          <w:szCs w:val="24"/>
        </w:rPr>
      </w:pPr>
      <w:r w:rsidRPr="008D245B">
        <w:rPr>
          <w:rFonts w:ascii="Arial" w:hAnsi="Arial" w:cs="Arial"/>
          <w:sz w:val="24"/>
          <w:szCs w:val="24"/>
        </w:rPr>
        <w:t>Available at: https://www.netsuite.com/</w:t>
      </w:r>
    </w:p>
    <w:p w:rsidRPr="008D245B" w:rsidR="008D245B" w:rsidP="008D245B" w:rsidRDefault="008D245B" w14:paraId="3E2A51AE"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788C62D0" w14:textId="77777777">
      <w:pPr>
        <w:spacing w:line="360" w:lineRule="auto"/>
        <w:rPr>
          <w:rFonts w:ascii="Arial" w:hAnsi="Arial" w:cs="Arial"/>
          <w:sz w:val="24"/>
          <w:szCs w:val="24"/>
        </w:rPr>
      </w:pPr>
    </w:p>
    <w:p w:rsidRPr="008D245B" w:rsidR="008D245B" w:rsidP="008D245B" w:rsidRDefault="008D245B" w14:paraId="3CB7C744" w14:textId="77777777">
      <w:pPr>
        <w:spacing w:line="360" w:lineRule="auto"/>
        <w:rPr>
          <w:rFonts w:ascii="Arial" w:hAnsi="Arial" w:cs="Arial"/>
          <w:sz w:val="24"/>
          <w:szCs w:val="24"/>
        </w:rPr>
      </w:pPr>
      <w:r w:rsidRPr="008D245B">
        <w:rPr>
          <w:rFonts w:ascii="Arial" w:hAnsi="Arial" w:cs="Arial"/>
          <w:sz w:val="24"/>
          <w:szCs w:val="24"/>
        </w:rPr>
        <w:t>Anon. (2022). Gearing ratio definition.</w:t>
      </w:r>
    </w:p>
    <w:p w:rsidRPr="008D245B" w:rsidR="008D245B" w:rsidP="008D245B" w:rsidRDefault="008D245B" w14:paraId="71643F5C" w14:textId="77777777">
      <w:pPr>
        <w:spacing w:line="360" w:lineRule="auto"/>
        <w:rPr>
          <w:rFonts w:ascii="Arial" w:hAnsi="Arial" w:cs="Arial"/>
          <w:sz w:val="24"/>
          <w:szCs w:val="24"/>
        </w:rPr>
      </w:pPr>
      <w:r w:rsidRPr="008D245B">
        <w:rPr>
          <w:rFonts w:ascii="Arial" w:hAnsi="Arial" w:cs="Arial"/>
          <w:sz w:val="24"/>
          <w:szCs w:val="24"/>
        </w:rPr>
        <w:t>Available at: https://www.accountingtools.com/</w:t>
      </w:r>
    </w:p>
    <w:p w:rsidRPr="008D245B" w:rsidR="008D245B" w:rsidP="008D245B" w:rsidRDefault="008D245B" w14:paraId="2DDFAD73"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790DE685" w14:textId="77777777">
      <w:pPr>
        <w:spacing w:line="360" w:lineRule="auto"/>
        <w:rPr>
          <w:rFonts w:ascii="Arial" w:hAnsi="Arial" w:cs="Arial"/>
          <w:sz w:val="24"/>
          <w:szCs w:val="24"/>
        </w:rPr>
      </w:pPr>
    </w:p>
    <w:p w:rsidRPr="008D245B" w:rsidR="008D245B" w:rsidP="008D245B" w:rsidRDefault="008D245B" w14:paraId="2551830A" w14:textId="77777777">
      <w:pPr>
        <w:spacing w:line="360" w:lineRule="auto"/>
        <w:rPr>
          <w:rFonts w:ascii="Arial" w:hAnsi="Arial" w:cs="Arial"/>
          <w:sz w:val="24"/>
          <w:szCs w:val="24"/>
        </w:rPr>
      </w:pPr>
      <w:r w:rsidRPr="008D245B">
        <w:rPr>
          <w:rFonts w:ascii="Arial" w:hAnsi="Arial" w:cs="Arial"/>
          <w:sz w:val="24"/>
          <w:szCs w:val="24"/>
        </w:rPr>
        <w:t xml:space="preserve">Carlson, R. (2022) 6 Limitations of Using Financial Ratio Analysis. </w:t>
      </w:r>
    </w:p>
    <w:p w:rsidRPr="008D245B" w:rsidR="008D245B" w:rsidP="008D245B" w:rsidRDefault="008D245B" w14:paraId="431CE0E3" w14:textId="77777777">
      <w:pPr>
        <w:spacing w:line="360" w:lineRule="auto"/>
        <w:rPr>
          <w:rFonts w:ascii="Arial" w:hAnsi="Arial" w:cs="Arial"/>
          <w:sz w:val="24"/>
          <w:szCs w:val="24"/>
        </w:rPr>
      </w:pPr>
      <w:r w:rsidRPr="008D245B">
        <w:rPr>
          <w:rFonts w:ascii="Arial" w:hAnsi="Arial" w:cs="Arial"/>
          <w:sz w:val="24"/>
          <w:szCs w:val="24"/>
        </w:rPr>
        <w:t>Available at: https://www.thebalancemoney.com/</w:t>
      </w:r>
    </w:p>
    <w:p w:rsidRPr="008D245B" w:rsidR="008D245B" w:rsidP="008D245B" w:rsidRDefault="008D245B" w14:paraId="45EC3E87" w14:textId="77777777">
      <w:pPr>
        <w:spacing w:line="360" w:lineRule="auto"/>
        <w:rPr>
          <w:rFonts w:ascii="Arial" w:hAnsi="Arial" w:cs="Arial"/>
          <w:sz w:val="24"/>
          <w:szCs w:val="24"/>
        </w:rPr>
      </w:pPr>
      <w:r w:rsidRPr="008D245B">
        <w:rPr>
          <w:rFonts w:ascii="Arial" w:hAnsi="Arial" w:cs="Arial"/>
          <w:sz w:val="24"/>
          <w:szCs w:val="24"/>
        </w:rPr>
        <w:t>(Accessed 09 Dec 2022).</w:t>
      </w:r>
    </w:p>
    <w:p w:rsidRPr="008D245B" w:rsidR="008D245B" w:rsidP="008D245B" w:rsidRDefault="008D245B" w14:paraId="1327A79F" w14:textId="77777777">
      <w:pPr>
        <w:spacing w:line="360" w:lineRule="auto"/>
        <w:rPr>
          <w:rFonts w:ascii="Arial" w:hAnsi="Arial" w:cs="Arial"/>
          <w:sz w:val="24"/>
          <w:szCs w:val="24"/>
        </w:rPr>
      </w:pPr>
    </w:p>
    <w:p w:rsidRPr="008D245B" w:rsidR="008D245B" w:rsidP="008D245B" w:rsidRDefault="008D245B" w14:paraId="73564BC9" w14:textId="77777777">
      <w:pPr>
        <w:spacing w:line="360" w:lineRule="auto"/>
        <w:rPr>
          <w:rFonts w:ascii="Arial" w:hAnsi="Arial" w:cs="Arial"/>
          <w:sz w:val="24"/>
          <w:szCs w:val="24"/>
        </w:rPr>
      </w:pPr>
      <w:r w:rsidRPr="008D245B">
        <w:rPr>
          <w:rFonts w:ascii="Arial" w:hAnsi="Arial" w:cs="Arial"/>
          <w:sz w:val="24"/>
          <w:szCs w:val="24"/>
        </w:rPr>
        <w:t>Agarwal, R. (</w:t>
      </w:r>
      <w:proofErr w:type="spellStart"/>
      <w:r w:rsidRPr="008D245B">
        <w:rPr>
          <w:rFonts w:ascii="Arial" w:hAnsi="Arial" w:cs="Arial"/>
          <w:sz w:val="24"/>
          <w:szCs w:val="24"/>
        </w:rPr>
        <w:t>n.d</w:t>
      </w:r>
      <w:proofErr w:type="spellEnd"/>
      <w:r w:rsidRPr="008D245B">
        <w:rPr>
          <w:rFonts w:ascii="Arial" w:hAnsi="Arial" w:cs="Arial"/>
          <w:sz w:val="24"/>
          <w:szCs w:val="24"/>
        </w:rPr>
        <w:t xml:space="preserve">) 5 Limitations of Financial Ratios. </w:t>
      </w:r>
    </w:p>
    <w:p w:rsidRPr="008D245B" w:rsidR="008D245B" w:rsidP="008D245B" w:rsidRDefault="008D245B" w14:paraId="50A653BB" w14:textId="77777777">
      <w:pPr>
        <w:spacing w:line="360" w:lineRule="auto"/>
        <w:rPr>
          <w:rFonts w:ascii="Arial" w:hAnsi="Arial" w:cs="Arial"/>
          <w:sz w:val="24"/>
          <w:szCs w:val="24"/>
        </w:rPr>
      </w:pPr>
      <w:r w:rsidRPr="008D245B">
        <w:rPr>
          <w:rFonts w:ascii="Arial" w:hAnsi="Arial" w:cs="Arial"/>
          <w:sz w:val="24"/>
          <w:szCs w:val="24"/>
        </w:rPr>
        <w:t>Available at: https://www.yourarticlelibrary.com/</w:t>
      </w:r>
    </w:p>
    <w:p w:rsidRPr="008D245B" w:rsidR="008D245B" w:rsidP="008D245B" w:rsidRDefault="008D245B" w14:paraId="17E71490" w14:textId="77777777">
      <w:pPr>
        <w:spacing w:line="360" w:lineRule="auto"/>
        <w:rPr>
          <w:rFonts w:ascii="Arial" w:hAnsi="Arial" w:cs="Arial"/>
          <w:sz w:val="24"/>
          <w:szCs w:val="24"/>
        </w:rPr>
      </w:pPr>
      <w:r w:rsidRPr="008D245B">
        <w:rPr>
          <w:rFonts w:ascii="Arial" w:hAnsi="Arial" w:cs="Arial"/>
          <w:sz w:val="24"/>
          <w:szCs w:val="24"/>
        </w:rPr>
        <w:t>(Accessed 09 Dec 2022).</w:t>
      </w:r>
    </w:p>
    <w:p w:rsidR="00CA09F3" w:rsidRDefault="00CA09F3" w14:paraId="04B40B59" w14:textId="170C93CF"/>
    <w:sectPr w:rsidR="00CA09F3" w:rsidSect="007D1947">
      <w:footerReference w:type="default" r:id="rId19"/>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44DC" w:rsidP="00A227A8" w:rsidRDefault="004E44DC" w14:paraId="6296E826" w14:textId="77777777">
      <w:pPr>
        <w:spacing w:after="0" w:line="240" w:lineRule="auto"/>
      </w:pPr>
      <w:r>
        <w:separator/>
      </w:r>
    </w:p>
  </w:endnote>
  <w:endnote w:type="continuationSeparator" w:id="0">
    <w:p w:rsidR="004E44DC" w:rsidP="00A227A8" w:rsidRDefault="004E44DC" w14:paraId="1F6A030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624163"/>
      <w:docPartObj>
        <w:docPartGallery w:val="Page Numbers (Bottom of Page)"/>
        <w:docPartUnique/>
      </w:docPartObj>
    </w:sdtPr>
    <w:sdtEndPr>
      <w:rPr>
        <w:noProof/>
      </w:rPr>
    </w:sdtEndPr>
    <w:sdtContent>
      <w:p w:rsidR="008D245B" w:rsidRDefault="008D245B" w14:paraId="25F294EB" w14:textId="6B2A7D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D245B" w:rsidRDefault="008D245B" w14:paraId="66715E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44DC" w:rsidP="00A227A8" w:rsidRDefault="004E44DC" w14:paraId="01839541" w14:textId="77777777">
      <w:pPr>
        <w:spacing w:after="0" w:line="240" w:lineRule="auto"/>
      </w:pPr>
      <w:r>
        <w:separator/>
      </w:r>
    </w:p>
  </w:footnote>
  <w:footnote w:type="continuationSeparator" w:id="0">
    <w:p w:rsidR="004E44DC" w:rsidP="00A227A8" w:rsidRDefault="004E44DC" w14:paraId="4814A51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uku5Ek2vmv0CX" int2:id="mCSjtnEB">
      <int2:state int2:type="LegacyProofing" int2:value="Rejected"/>
    </int2:textHash>
    <int2:bookmark int2:bookmarkName="_Int_BNXp5kJV" int2:invalidationBookmarkName="" int2:hashCode="6v7ZH8Rl4RSU57" int2:id="6lOpPV9k"/>
    <int2:bookmark int2:bookmarkName="_Int_gpqtolF8" int2:invalidationBookmarkName="" int2:hashCode="jw/dBEh079oqof" int2:id="7apa7ZVy"/>
    <int2:bookmark int2:bookmarkName="_Int_7NJwtHgN" int2:invalidationBookmarkName="" int2:hashCode="MB8jIv4qMBfKhR" int2:id="a0tLoCCj"/>
    <int2:bookmark int2:bookmarkName="_Int_bT46ycuu" int2:invalidationBookmarkName="" int2:hashCode="ebvFNemP5+ZKzn" int2:id="R56oPstc"/>
    <int2:bookmark int2:bookmarkName="_Int_2u7mmTo0" int2:invalidationBookmarkName="" int2:hashCode="YkzR9CX/sK/m50" int2:id="HZqk2CGN"/>
    <int2:bookmark int2:bookmarkName="_Int_yzTEdbKK" int2:invalidationBookmarkName="" int2:hashCode="sNHYlKSu139Ziq" int2:id="RcRxFDJf"/>
    <int2:bookmark int2:bookmarkName="_Int_MoUHURMN" int2:invalidationBookmarkName="" int2:hashCode="YkzR9CX/sK/m50" int2:id="qxPnCi87"/>
    <int2:bookmark int2:bookmarkName="_Int_2SZCJ2tm" int2:invalidationBookmarkName="" int2:hashCode="ZR46a6nTGIm117" int2:id="uwtmTB3r"/>
    <int2:bookmark int2:bookmarkName="_Int_dkpKAj7c" int2:invalidationBookmarkName="" int2:hashCode="Dvj+hORBXaM3mO" int2:id="v5QA5Z5o"/>
    <int2:bookmark int2:bookmarkName="_Int_tYV1Zp7j" int2:invalidationBookmarkName="" int2:hashCode="N/p4BTubAqm4Le" int2:id="La61sc5F"/>
    <int2:bookmark int2:bookmarkName="_Int_Jh1jzVvg" int2:invalidationBookmarkName="" int2:hashCode="VRd/LyDcPFdCnc" int2:id="bx7VJ0LT"/>
    <int2:bookmark int2:bookmarkName="_Int_S8NmNaVz" int2:invalidationBookmarkName="" int2:hashCode="Xsnww9aQQK/jqv" int2:id="8U5ctVEq"/>
    <int2:bookmark int2:bookmarkName="_Int_LrlopWXI" int2:invalidationBookmarkName="" int2:hashCode="e0dMsLOcF3PXGS" int2:id="kVplasjI"/>
    <int2:bookmark int2:bookmarkName="_Int_5urLrb77" int2:invalidationBookmarkName="" int2:hashCode="VRd/LyDcPFdCnc" int2:id="kb23N0eE"/>
    <int2:bookmark int2:bookmarkName="_Int_7bAtVMU1" int2:invalidationBookmarkName="" int2:hashCode="0lXQ0GySJQ8tJA" int2:id="PwJpw7sO"/>
    <int2:bookmark int2:bookmarkName="_Int_TS7HAUFY" int2:invalidationBookmarkName="" int2:hashCode="e0dMsLOcF3PXGS" int2:id="9U4jKzRi"/>
    <int2:bookmark int2:bookmarkName="_Int_Flg46S28" int2:invalidationBookmarkName="" int2:hashCode="QupJJGBRGG+1eG" int2:id="kyr28LAT"/>
    <int2:bookmark int2:bookmarkName="_Int_h2oUAjR9" int2:invalidationBookmarkName="" int2:hashCode="xzNw6FjkZFlmFD" int2:id="6RIZz123"/>
    <int2:bookmark int2:bookmarkName="_Int_dfqZIMoN" int2:invalidationBookmarkName="" int2:hashCode="4ASaZlGcrnEVmA" int2:id="oZzncpXr">
      <int2:state int2:type="LegacyProofing" int2:value="Rejected"/>
    </int2:bookmark>
    <int2:bookmark int2:bookmarkName="_Int_aqjMdFWW" int2:invalidationBookmarkName="" int2:hashCode="uBY+dLXeCspsSh" int2:id="90LqUBrS">
      <int2:state int2:type="LegacyProofing"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000"/>
    <w:rsid w:val="00024E63"/>
    <w:rsid w:val="00053696"/>
    <w:rsid w:val="00096D34"/>
    <w:rsid w:val="00115B96"/>
    <w:rsid w:val="00180085"/>
    <w:rsid w:val="00284F1F"/>
    <w:rsid w:val="002A0B56"/>
    <w:rsid w:val="00324CCD"/>
    <w:rsid w:val="00350338"/>
    <w:rsid w:val="003A0D03"/>
    <w:rsid w:val="003A609F"/>
    <w:rsid w:val="00441EAD"/>
    <w:rsid w:val="00454D1D"/>
    <w:rsid w:val="004A11F6"/>
    <w:rsid w:val="004D519C"/>
    <w:rsid w:val="004E44DC"/>
    <w:rsid w:val="005E4B21"/>
    <w:rsid w:val="00622BD0"/>
    <w:rsid w:val="00635E8B"/>
    <w:rsid w:val="006F7293"/>
    <w:rsid w:val="00775E5C"/>
    <w:rsid w:val="007B4E19"/>
    <w:rsid w:val="007C745F"/>
    <w:rsid w:val="007D1947"/>
    <w:rsid w:val="007F63D7"/>
    <w:rsid w:val="00810AAD"/>
    <w:rsid w:val="00816F18"/>
    <w:rsid w:val="00893984"/>
    <w:rsid w:val="008D245B"/>
    <w:rsid w:val="00A227A8"/>
    <w:rsid w:val="00A22E91"/>
    <w:rsid w:val="00A70D3C"/>
    <w:rsid w:val="00AA2A91"/>
    <w:rsid w:val="00AB79EA"/>
    <w:rsid w:val="00B54075"/>
    <w:rsid w:val="00BD7D0C"/>
    <w:rsid w:val="00BF28AD"/>
    <w:rsid w:val="00C13D5B"/>
    <w:rsid w:val="00C25D2C"/>
    <w:rsid w:val="00C26FE3"/>
    <w:rsid w:val="00C71FB5"/>
    <w:rsid w:val="00CA09F3"/>
    <w:rsid w:val="00D578A3"/>
    <w:rsid w:val="00D84F72"/>
    <w:rsid w:val="00D854A5"/>
    <w:rsid w:val="00F20263"/>
    <w:rsid w:val="00F53ACC"/>
    <w:rsid w:val="00FD1C1B"/>
    <w:rsid w:val="035BF611"/>
    <w:rsid w:val="0F882E6B"/>
    <w:rsid w:val="11BD6C6E"/>
    <w:rsid w:val="133CCEDE"/>
    <w:rsid w:val="1CC66981"/>
    <w:rsid w:val="286A5022"/>
    <w:rsid w:val="2E357C56"/>
    <w:rsid w:val="352799EA"/>
    <w:rsid w:val="35BE3767"/>
    <w:rsid w:val="48A113DE"/>
    <w:rsid w:val="4AA34811"/>
    <w:rsid w:val="4AB7DB7F"/>
    <w:rsid w:val="4DFCE2CE"/>
    <w:rsid w:val="4E5C465E"/>
    <w:rsid w:val="540F77DE"/>
    <w:rsid w:val="543312AD"/>
    <w:rsid w:val="54569627"/>
    <w:rsid w:val="5C87E86E"/>
    <w:rsid w:val="5D8C4429"/>
    <w:rsid w:val="6665FCDC"/>
    <w:rsid w:val="67D9AD38"/>
    <w:rsid w:val="6A35AA71"/>
    <w:rsid w:val="70F5704D"/>
    <w:rsid w:val="7139A261"/>
    <w:rsid w:val="793E1A68"/>
    <w:rsid w:val="79B12BA1"/>
    <w:rsid w:val="7A2BD437"/>
    <w:rsid w:val="7BD2F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A3F25"/>
  <w15:chartTrackingRefBased/>
  <w15:docId w15:val="{C96D7996-BBB4-4B90-B8E4-A72B799FAF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A227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A227A8"/>
  </w:style>
  <w:style w:type="paragraph" w:styleId="Footer">
    <w:name w:val="footer"/>
    <w:basedOn w:val="Normal"/>
    <w:link w:val="FooterChar"/>
    <w:uiPriority w:val="99"/>
    <w:unhideWhenUsed/>
    <w:rsid w:val="00A227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A22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customXml" Target="../customXml/item3.xml" Id="rId3" /><Relationship Type="http://schemas.openxmlformats.org/officeDocument/2006/relationships/glossaryDocument" Target="glossary/document.xml" Id="rId21"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6.png" Id="rId15" /><Relationship Type="http://schemas.openxmlformats.org/officeDocument/2006/relationships/image" Target="media/image1.png"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theme" Target="theme/theme1.xml" Id="rId22" /><Relationship Type="http://schemas.microsoft.com/office/2020/10/relationships/intelligence" Target="intelligence2.xml" Id="R807b5b2cbd27411e"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A34C42"/>
    <w:rsid w:val="00BC1251"/>
    <w:rsid w:val="00C67429"/>
    <w:rsid w:val="00E03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2" ma:contentTypeDescription="Create a new document." ma:contentTypeScope="" ma:versionID="b4c66febf5d2582c550a82a67ed10a60">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1569bc03652da716d2d5037e027fe9c3"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4.xml><?xml version="1.0" encoding="utf-8"?>
<ds:datastoreItem xmlns:ds="http://schemas.openxmlformats.org/officeDocument/2006/customXml" ds:itemID="{94A6B3E0-BF92-4BA2-A396-B43239EA9D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 of the assignment</dc:title>
  <dc:subject/>
  <dc:creator>Marie Pitson</dc:creator>
  <keywords/>
  <dc:description/>
  <lastModifiedBy>Mohammed Hassan (2027186)</lastModifiedBy>
  <revision>38</revision>
  <dcterms:created xsi:type="dcterms:W3CDTF">2022-12-09T22:41:00.0000000Z</dcterms:created>
  <dcterms:modified xsi:type="dcterms:W3CDTF">2022-12-09T23:11:49.4427844Z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