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73CC" w:rsidRPr="00B82358" w:rsidRDefault="00EE73CC" w:rsidP="00EE73CC">
      <w:pPr>
        <w:jc w:val="center"/>
        <w:rPr>
          <w:rFonts w:ascii="Arial" w:hAnsi="Arial" w:cs="Arial"/>
          <w:b/>
          <w:bCs/>
          <w:color w:val="F79646"/>
          <w:sz w:val="28"/>
        </w:rPr>
      </w:pPr>
      <w:r w:rsidRPr="00B82358">
        <w:rPr>
          <w:rFonts w:ascii="Arial" w:hAnsi="Arial" w:cs="Arial"/>
          <w:b/>
          <w:bCs/>
          <w:color w:val="F79646"/>
          <w:sz w:val="28"/>
        </w:rPr>
        <w:t>Abraham, Isaac and Jacob (</w:t>
      </w:r>
      <w:proofErr w:type="spellStart"/>
      <w:r w:rsidRPr="00B82358">
        <w:rPr>
          <w:rFonts w:ascii="Arial" w:hAnsi="Arial" w:cs="Arial"/>
          <w:b/>
          <w:bCs/>
          <w:color w:val="F79646"/>
          <w:sz w:val="28"/>
        </w:rPr>
        <w:t>chs</w:t>
      </w:r>
      <w:proofErr w:type="spellEnd"/>
      <w:r w:rsidRPr="00B82358">
        <w:rPr>
          <w:rFonts w:ascii="Arial" w:hAnsi="Arial" w:cs="Arial"/>
          <w:b/>
          <w:bCs/>
          <w:color w:val="F79646"/>
          <w:sz w:val="28"/>
        </w:rPr>
        <w:t>. 12-36)</w:t>
      </w:r>
    </w:p>
    <w:p w:rsidR="00EE73CC" w:rsidRDefault="00EE73CC" w:rsidP="00EE73CC">
      <w:pPr>
        <w:rPr>
          <w:rFonts w:ascii="Arial" w:hAnsi="Arial" w:cs="Arial"/>
          <w:b/>
          <w:bCs/>
        </w:rPr>
      </w:pPr>
    </w:p>
    <w:p w:rsidR="00EE73CC" w:rsidRDefault="000717E5" w:rsidP="00EE73CC">
      <w:pPr>
        <w:pStyle w:val="BodyText"/>
        <w:rPr>
          <w:b/>
          <w:bCs/>
        </w:rPr>
      </w:pPr>
      <w:r>
        <w:rPr>
          <w:b/>
          <w:bCs/>
        </w:rPr>
        <w:t>The point of this short unit is really to get you to think in terms of Abraham, Isaac and Jacob as a family of characters....and especially to compare and contrast them.  Why, for example, is Jacob given such extended and comprehensive treatment as opposed to Isaac whose story is short and who is p</w:t>
      </w:r>
      <w:r w:rsidR="00D15AEA">
        <w:rPr>
          <w:b/>
          <w:bCs/>
        </w:rPr>
        <w:t>resented in such a passive way?</w:t>
      </w:r>
    </w:p>
    <w:p w:rsidR="000717E5" w:rsidRDefault="000717E5" w:rsidP="00EE73CC">
      <w:pPr>
        <w:pStyle w:val="BodyText"/>
        <w:rPr>
          <w:b/>
          <w:bCs/>
          <w:color w:val="1F497D"/>
        </w:rPr>
      </w:pPr>
    </w:p>
    <w:p w:rsidR="000717E5" w:rsidRDefault="000717E5" w:rsidP="00EE73CC">
      <w:pPr>
        <w:pStyle w:val="BodyText"/>
        <w:rPr>
          <w:b/>
          <w:bCs/>
          <w:color w:val="1F497D"/>
        </w:rPr>
      </w:pPr>
    </w:p>
    <w:p w:rsidR="00EE73CC" w:rsidRPr="00B82358" w:rsidRDefault="00EE73CC" w:rsidP="00EE73CC">
      <w:pPr>
        <w:pStyle w:val="BodyText"/>
        <w:rPr>
          <w:b/>
          <w:bCs/>
          <w:color w:val="1F497D"/>
        </w:rPr>
      </w:pPr>
      <w:r w:rsidRPr="00B82358">
        <w:rPr>
          <w:b/>
          <w:bCs/>
          <w:color w:val="1F497D"/>
        </w:rPr>
        <w:t>Context:</w:t>
      </w:r>
    </w:p>
    <w:p w:rsidR="00EE73CC" w:rsidRDefault="00EE73CC" w:rsidP="00EE73CC">
      <w:pPr>
        <w:pStyle w:val="BodyText"/>
      </w:pPr>
    </w:p>
    <w:p w:rsidR="00EE73CC" w:rsidRDefault="00EE73CC" w:rsidP="00EE73CC">
      <w:pPr>
        <w:pStyle w:val="BodyText"/>
      </w:pPr>
      <w:r>
        <w:t xml:space="preserve">The world of </w:t>
      </w:r>
      <w:smartTag w:uri="urn:schemas-microsoft-com:office:smarttags" w:element="country-region">
        <w:smartTag w:uri="urn:schemas-microsoft-com:office:smarttags" w:element="place">
          <w:r>
            <w:t>Israel</w:t>
          </w:r>
        </w:smartTag>
      </w:smartTag>
      <w:r>
        <w:t xml:space="preserve">’s ancestors, Abraham, Isaac, Jacob and their families is introduced in </w:t>
      </w:r>
      <w:proofErr w:type="spellStart"/>
      <w:r>
        <w:t>chs</w:t>
      </w:r>
      <w:proofErr w:type="spellEnd"/>
      <w:r>
        <w:t xml:space="preserve">. 12-36. </w:t>
      </w:r>
      <w:proofErr w:type="gramStart"/>
      <w:r>
        <w:t>Frequent</w:t>
      </w:r>
      <w:proofErr w:type="gramEnd"/>
      <w:r>
        <w:t xml:space="preserve"> attempts have been made to find historical situations into which these patriarchs can be fitted but they have all failed to convince.  </w:t>
      </w:r>
      <w:proofErr w:type="spellStart"/>
      <w:r>
        <w:t>Gunkel</w:t>
      </w:r>
      <w:proofErr w:type="spellEnd"/>
      <w:r>
        <w:t>, in his famous commentary on Genesis (1901), put forward a view that was long accepted that most of these stories were independent short story folk-tales which circulated by word of mouth for a very long time before they were combined into longer complexes and eventually set down in writing.   However, today, several scholars hold that in their final form these stories may not be much older than the final redaction of the Pentateuch – this is supported by the fact that in texts normally described as pre-exilic, there is no knowledge of Abraham, Isaac or Jacob as individuals or of events connected with them, apart from one possible exception (Hos.12:2-3).</w:t>
      </w:r>
    </w:p>
    <w:p w:rsidR="00EE73CC" w:rsidRDefault="00EE73CC" w:rsidP="00EE73CC">
      <w:pPr>
        <w:jc w:val="both"/>
        <w:rPr>
          <w:rFonts w:ascii="Arial" w:hAnsi="Arial" w:cs="Arial"/>
        </w:rPr>
      </w:pPr>
    </w:p>
    <w:p w:rsidR="00EE73CC" w:rsidRDefault="00EE73CC" w:rsidP="00EE73CC">
      <w:pPr>
        <w:jc w:val="both"/>
        <w:rPr>
          <w:rFonts w:ascii="Arial" w:hAnsi="Arial" w:cs="Arial"/>
        </w:rPr>
      </w:pPr>
      <w:r>
        <w:rPr>
          <w:rFonts w:ascii="Arial" w:hAnsi="Arial" w:cs="Arial"/>
        </w:rPr>
        <w:t xml:space="preserve">The true purpose of this large section is theological rather than historical. It is generally held that the three patriarchs were largely unrelated to one another and that their stories have been combined in order to create a family story whose main them is set out at the start (12:1-3).  Here Abraham is commanded by God to leave his country and to </w:t>
      </w:r>
      <w:proofErr w:type="gramStart"/>
      <w:r>
        <w:rPr>
          <w:rFonts w:ascii="Arial" w:hAnsi="Arial" w:cs="Arial"/>
        </w:rPr>
        <w:t>emigrate</w:t>
      </w:r>
      <w:proofErr w:type="gramEnd"/>
      <w:r>
        <w:rPr>
          <w:rFonts w:ascii="Arial" w:hAnsi="Arial" w:cs="Arial"/>
        </w:rPr>
        <w:t xml:space="preserve"> to another land whose identify will be revealed to him, where he will become the ancestor of a great nation, especially blessed and in turn conferring his blessing on other peoples. This theme of God’s promise dominates these chapters: the promise is repeated on several more occasions to Abraham </w:t>
      </w:r>
      <w:proofErr w:type="gramStart"/>
      <w:r>
        <w:rPr>
          <w:rFonts w:ascii="Arial" w:hAnsi="Arial" w:cs="Arial"/>
        </w:rPr>
        <w:t>himself  (</w:t>
      </w:r>
      <w:proofErr w:type="gramEnd"/>
      <w:r>
        <w:rPr>
          <w:rFonts w:ascii="Arial" w:hAnsi="Arial" w:cs="Arial"/>
        </w:rPr>
        <w:t>15:4-7, 18-21: 17:4-8; 22:17-18) and then to Isaac (26:2-5, 24) and Jacob (35:11-12).  The promise of future blessing implies material success; and it is made clear that God will guide the fortunes of the family.  Bu the continuity of that family depends on the production of an heir in each succeeding generation; and the difficulties and dangers attending this provide the dramatic content of many incidents in the story.</w:t>
      </w:r>
    </w:p>
    <w:p w:rsidR="00EE73CC" w:rsidRDefault="00EE73CC" w:rsidP="00EE73CC">
      <w:pPr>
        <w:rPr>
          <w:rFonts w:ascii="Arial" w:hAnsi="Arial" w:cs="Arial"/>
          <w:b/>
          <w:bCs/>
        </w:rPr>
      </w:pPr>
    </w:p>
    <w:p w:rsidR="00EE73CC" w:rsidRDefault="00EE73CC" w:rsidP="00EE73CC">
      <w:pPr>
        <w:pStyle w:val="BodyText"/>
      </w:pPr>
      <w:r>
        <w:t xml:space="preserve">The promise of the possession of the land, which proved to be the </w:t>
      </w:r>
      <w:smartTag w:uri="urn:schemas-microsoft-com:office:smarttags" w:element="place">
        <w:smartTag w:uri="urn:schemas-microsoft-com:office:smarttags" w:element="PlaceType">
          <w:r>
            <w:t>land</w:t>
          </w:r>
        </w:smartTag>
        <w:r>
          <w:t xml:space="preserve"> of </w:t>
        </w:r>
        <w:smartTag w:uri="urn:schemas-microsoft-com:office:smarttags" w:element="PlaceName">
          <w:r>
            <w:t>Canaan</w:t>
          </w:r>
        </w:smartTag>
      </w:smartTag>
      <w:r>
        <w:t xml:space="preserve">, was not in fact fulfilled in the course of the book of Genesis; but by the end of the book there had been a positive development. The twelve sons of Jacob, who were to be the ancestors of the twelve tribes of </w:t>
      </w:r>
      <w:smartTag w:uri="urn:schemas-microsoft-com:office:smarttags" w:element="country-region">
        <w:smartTag w:uri="urn:schemas-microsoft-com:office:smarttags" w:element="place">
          <w:r>
            <w:t>Israel</w:t>
          </w:r>
        </w:smartTag>
      </w:smartTag>
      <w:r>
        <w:t xml:space="preserve"> had been born (at intervals between 29:32 and 35:18) and had received their blessings (</w:t>
      </w:r>
      <w:proofErr w:type="spellStart"/>
      <w:r>
        <w:t>ch</w:t>
      </w:r>
      <w:proofErr w:type="spellEnd"/>
      <w:r>
        <w:t xml:space="preserve">. 49). So the nation of </w:t>
      </w:r>
      <w:smartTag w:uri="urn:schemas-microsoft-com:office:smarttags" w:element="country-region">
        <w:smartTag w:uri="urn:schemas-microsoft-com:office:smarttags" w:element="place">
          <w:r>
            <w:t>Israel</w:t>
          </w:r>
        </w:smartTag>
      </w:smartTag>
      <w:r>
        <w:t xml:space="preserve"> now existed in embryo.</w:t>
      </w:r>
    </w:p>
    <w:p w:rsidR="00EE73CC" w:rsidRDefault="00EE73CC" w:rsidP="00EE73CC">
      <w:pPr>
        <w:rPr>
          <w:rFonts w:ascii="Arial" w:hAnsi="Arial" w:cs="Arial"/>
          <w:b/>
          <w:bCs/>
        </w:rPr>
      </w:pPr>
    </w:p>
    <w:p w:rsidR="00EE73CC" w:rsidRDefault="00EE73CC" w:rsidP="00EE73CC">
      <w:pPr>
        <w:pStyle w:val="BodyText"/>
      </w:pPr>
      <w:proofErr w:type="spellStart"/>
      <w:r>
        <w:t>Chs</w:t>
      </w:r>
      <w:proofErr w:type="spellEnd"/>
      <w:r>
        <w:t xml:space="preserve"> 12-36 </w:t>
      </w:r>
      <w:proofErr w:type="gramStart"/>
      <w:r>
        <w:t>fall</w:t>
      </w:r>
      <w:proofErr w:type="gramEnd"/>
      <w:r>
        <w:t xml:space="preserve"> into three sections, each concerned with the life of one of the three patriarchs, Abraham, Isaac and Jacob. In their present form, they are a combination of separate parts to form the history of a single family; the three stories have been made to interlock so as to produce a continuous family saga.  Thus Abraham’s death </w:t>
      </w:r>
      <w:r>
        <w:lastRenderedPageBreak/>
        <w:t xml:space="preserve">is recorded in 25:8 but the birth of his heir Isaac had taken place long before in 21:2; similarly the birth of Isaac’s son Jacob is noted in 25:25-6 but Isaac’s death only in 35:29. </w:t>
      </w:r>
    </w:p>
    <w:p w:rsidR="00EE73CC" w:rsidRDefault="00EE73CC" w:rsidP="00EE73CC">
      <w:pPr>
        <w:rPr>
          <w:rFonts w:ascii="Arial" w:hAnsi="Arial" w:cs="Arial"/>
          <w:b/>
          <w:bCs/>
        </w:rPr>
      </w:pPr>
      <w:r>
        <w:rPr>
          <w:rFonts w:ascii="Arial" w:hAnsi="Arial" w:cs="Arial"/>
          <w:b/>
          <w:bCs/>
        </w:rPr>
        <w:tab/>
      </w:r>
    </w:p>
    <w:p w:rsidR="00EE73CC" w:rsidRDefault="00EE73CC" w:rsidP="00EE73CC">
      <w:pPr>
        <w:pStyle w:val="BodyText"/>
        <w:tabs>
          <w:tab w:val="left" w:pos="6225"/>
        </w:tabs>
      </w:pPr>
      <w:r>
        <w:t xml:space="preserve">Whereas </w:t>
      </w:r>
      <w:r>
        <w:rPr>
          <w:b/>
          <w:bCs/>
        </w:rPr>
        <w:t>Abraham</w:t>
      </w:r>
      <w:r>
        <w:t xml:space="preserve"> (12-25) and </w:t>
      </w:r>
      <w:r>
        <w:rPr>
          <w:b/>
          <w:bCs/>
        </w:rPr>
        <w:t>Jacob</w:t>
      </w:r>
      <w:r>
        <w:t xml:space="preserve"> (25:19-36) are distinct and well rounded characters in Genesis, </w:t>
      </w:r>
      <w:r>
        <w:rPr>
          <w:b/>
          <w:bCs/>
        </w:rPr>
        <w:t>Isaac</w:t>
      </w:r>
      <w:r>
        <w:t xml:space="preserve"> is much less so and his story does not constitute a discrete unit within the Genesis narrative.  (For this reason, only the narratives of Abraham and Jacob receive separate headings below).   Nevertheless, Isaac is inextricably linked to the promises of God to his ancestors.  Before his marriage, Isaac’s story is intertwined with that of his father and mother, and after his marriage his story is part of the story of his children.  Isaac’s genealogy (25:19) follows directly after the account of Abraham’s death (vv.7-11) and directly before the birth of Jacob and Esau (vv.21-26).  The two major events in the life of Isaac are tied closely to Abraham and Jacob.  In Gen. 22, Isaac is more the object of, than a participant in, Abraham’s test of faithfulness to God, and in Gen. 27 he is again more the object of, than a participant in, Jacob’s deception.  Only in Gen.24: 62-67, when Isaac meets </w:t>
      </w:r>
      <w:proofErr w:type="spellStart"/>
      <w:r>
        <w:t>Rebekah</w:t>
      </w:r>
      <w:proofErr w:type="spellEnd"/>
      <w:r>
        <w:t xml:space="preserve"> for the first time and in Gen. 26, when Isaac encounters </w:t>
      </w:r>
      <w:proofErr w:type="spellStart"/>
      <w:r>
        <w:t>Abimelech</w:t>
      </w:r>
      <w:proofErr w:type="spellEnd"/>
      <w:r>
        <w:t>, is Isaac something of a central player in the narrative (</w:t>
      </w:r>
      <w:proofErr w:type="spellStart"/>
      <w:r>
        <w:rPr>
          <w:i/>
          <w:iCs/>
        </w:rPr>
        <w:t>Eerdmans</w:t>
      </w:r>
      <w:proofErr w:type="spellEnd"/>
      <w:r>
        <w:rPr>
          <w:i/>
          <w:iCs/>
        </w:rPr>
        <w:t xml:space="preserve"> Dictionary of the Bible,</w:t>
      </w:r>
      <w:r>
        <w:t xml:space="preserve"> p. 647).</w:t>
      </w:r>
    </w:p>
    <w:p w:rsidR="00EE73CC" w:rsidRDefault="00EE73CC" w:rsidP="00EE73CC">
      <w:pPr>
        <w:rPr>
          <w:rFonts w:ascii="Arial" w:hAnsi="Arial" w:cs="Arial"/>
          <w:b/>
          <w:bCs/>
        </w:rPr>
      </w:pPr>
    </w:p>
    <w:p w:rsidR="0095710E" w:rsidRDefault="0095710E"/>
    <w:p w:rsidR="000717E5" w:rsidRPr="000717E5" w:rsidRDefault="000717E5">
      <w:pPr>
        <w:rPr>
          <w:b/>
          <w:color w:val="1F497D" w:themeColor="text2"/>
          <w:u w:val="single"/>
        </w:rPr>
      </w:pPr>
      <w:r w:rsidRPr="000717E5">
        <w:rPr>
          <w:b/>
          <w:color w:val="1F497D" w:themeColor="text2"/>
          <w:u w:val="single"/>
        </w:rPr>
        <w:t>Reading:</w:t>
      </w:r>
    </w:p>
    <w:p w:rsidR="000717E5" w:rsidRDefault="000717E5"/>
    <w:p w:rsidR="000717E5" w:rsidRDefault="000717E5">
      <w:r>
        <w:t>For the importance of the theme of brothers in the Hebrew Bible, please read the following chapter:</w:t>
      </w:r>
    </w:p>
    <w:p w:rsidR="000717E5" w:rsidRPr="00D15AEA" w:rsidRDefault="00774261" w:rsidP="000717E5">
      <w:pPr>
        <w:numPr>
          <w:ilvl w:val="0"/>
          <w:numId w:val="1"/>
        </w:numPr>
        <w:shd w:val="clear" w:color="auto" w:fill="EDEFF4"/>
        <w:spacing w:beforeAutospacing="1" w:afterAutospacing="1" w:line="408" w:lineRule="atLeast"/>
        <w:ind w:left="0"/>
        <w:rPr>
          <w:rFonts w:asciiTheme="minorHAnsi" w:hAnsiTheme="minorHAnsi" w:cs="Arial"/>
          <w:color w:val="000000" w:themeColor="text1"/>
          <w:sz w:val="22"/>
          <w:szCs w:val="22"/>
        </w:rPr>
      </w:pPr>
      <w:hyperlink r:id="rId5" w:history="1">
        <w:proofErr w:type="spellStart"/>
        <w:r w:rsidR="000717E5" w:rsidRPr="00D15AEA">
          <w:rPr>
            <w:rStyle w:val="Hyperlink"/>
            <w:rFonts w:asciiTheme="minorHAnsi" w:hAnsiTheme="minorHAnsi" w:cs="Arial"/>
            <w:color w:val="000000" w:themeColor="text1"/>
            <w:sz w:val="22"/>
            <w:szCs w:val="22"/>
          </w:rPr>
          <w:t>Greenspahn</w:t>
        </w:r>
        <w:proofErr w:type="spellEnd"/>
        <w:r w:rsidR="000717E5" w:rsidRPr="00D15AEA">
          <w:rPr>
            <w:rStyle w:val="Hyperlink"/>
            <w:rFonts w:asciiTheme="minorHAnsi" w:hAnsiTheme="minorHAnsi" w:cs="Arial"/>
            <w:color w:val="000000" w:themeColor="text1"/>
            <w:sz w:val="22"/>
            <w:szCs w:val="22"/>
          </w:rPr>
          <w:t xml:space="preserve"> (</w:t>
        </w:r>
        <w:r w:rsidR="000717E5" w:rsidRPr="00D15AEA">
          <w:rPr>
            <w:rStyle w:val="Hyperlink"/>
            <w:rFonts w:asciiTheme="minorHAnsi" w:hAnsiTheme="minorHAnsi" w:cs="Arial"/>
            <w:i/>
            <w:color w:val="000000" w:themeColor="text1"/>
            <w:sz w:val="22"/>
            <w:szCs w:val="22"/>
          </w:rPr>
          <w:t>Where Brothers Dwell Together</w:t>
        </w:r>
        <w:r w:rsidR="000717E5" w:rsidRPr="00D15AEA">
          <w:rPr>
            <w:rStyle w:val="Hyperlink"/>
            <w:rFonts w:asciiTheme="minorHAnsi" w:hAnsiTheme="minorHAnsi" w:cs="Arial"/>
            <w:color w:val="000000" w:themeColor="text1"/>
            <w:sz w:val="22"/>
            <w:szCs w:val="22"/>
          </w:rPr>
          <w:t>)</w:t>
        </w:r>
        <w:r w:rsidR="000717E5" w:rsidRPr="00D15AEA">
          <w:rPr>
            <w:rStyle w:val="accesshide1"/>
            <w:rFonts w:asciiTheme="minorHAnsi" w:hAnsiTheme="minorHAnsi" w:cs="Arial"/>
            <w:color w:val="000000" w:themeColor="text1"/>
            <w:sz w:val="22"/>
            <w:szCs w:val="22"/>
          </w:rPr>
          <w:t xml:space="preserve"> </w:t>
        </w:r>
      </w:hyperlink>
    </w:p>
    <w:p w:rsidR="000717E5" w:rsidRDefault="000717E5"/>
    <w:p w:rsidR="006324D3" w:rsidRDefault="006324D3" w:rsidP="006324D3">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8522"/>
      </w:tblGrid>
      <w:tr w:rsidR="006324D3" w:rsidTr="007035B0">
        <w:tc>
          <w:tcPr>
            <w:tcW w:w="8522" w:type="dxa"/>
          </w:tcPr>
          <w:p w:rsidR="006324D3" w:rsidRDefault="006324D3" w:rsidP="007035B0">
            <w:pPr>
              <w:rPr>
                <w:rFonts w:ascii="Tahoma" w:hAnsi="Tahoma" w:cs="Tahoma"/>
                <w:b/>
                <w:bCs/>
              </w:rPr>
            </w:pPr>
          </w:p>
          <w:p w:rsidR="006324D3" w:rsidRDefault="006324D3" w:rsidP="007035B0">
            <w:pPr>
              <w:rPr>
                <w:rFonts w:ascii="Arial" w:hAnsi="Arial" w:cs="Arial"/>
                <w:b/>
                <w:bCs/>
              </w:rPr>
            </w:pPr>
            <w:r>
              <w:rPr>
                <w:rFonts w:ascii="Arial" w:hAnsi="Arial" w:cs="Arial"/>
                <w:b/>
                <w:bCs/>
              </w:rPr>
              <w:t>Issues to explore:</w:t>
            </w:r>
          </w:p>
          <w:p w:rsidR="006324D3" w:rsidRDefault="006324D3" w:rsidP="007035B0">
            <w:pPr>
              <w:rPr>
                <w:rFonts w:ascii="Arial" w:hAnsi="Arial" w:cs="Arial"/>
                <w:b/>
                <w:bCs/>
              </w:rPr>
            </w:pPr>
          </w:p>
          <w:p w:rsidR="006324D3" w:rsidRDefault="006324D3" w:rsidP="006324D3">
            <w:pPr>
              <w:numPr>
                <w:ilvl w:val="0"/>
                <w:numId w:val="2"/>
              </w:numPr>
              <w:rPr>
                <w:rFonts w:ascii="Arial" w:hAnsi="Arial" w:cs="Arial"/>
              </w:rPr>
            </w:pPr>
            <w:r>
              <w:rPr>
                <w:rFonts w:ascii="Arial" w:hAnsi="Arial" w:cs="Arial"/>
              </w:rPr>
              <w:t>How the theme of 12:1-3 is picked up and continued throughout the rest of the section.</w:t>
            </w:r>
          </w:p>
          <w:p w:rsidR="006324D3" w:rsidRDefault="006324D3" w:rsidP="006324D3">
            <w:pPr>
              <w:numPr>
                <w:ilvl w:val="0"/>
                <w:numId w:val="2"/>
              </w:numPr>
              <w:rPr>
                <w:rFonts w:ascii="Arial" w:hAnsi="Arial" w:cs="Arial"/>
              </w:rPr>
            </w:pPr>
            <w:r>
              <w:rPr>
                <w:rFonts w:ascii="Arial" w:hAnsi="Arial" w:cs="Arial"/>
              </w:rPr>
              <w:t xml:space="preserve">The roles of Sarah, Hagar and </w:t>
            </w:r>
            <w:proofErr w:type="spellStart"/>
            <w:r>
              <w:rPr>
                <w:rFonts w:ascii="Arial" w:hAnsi="Arial" w:cs="Arial"/>
              </w:rPr>
              <w:t>Rebekah</w:t>
            </w:r>
            <w:proofErr w:type="spellEnd"/>
            <w:r>
              <w:rPr>
                <w:rFonts w:ascii="Arial" w:hAnsi="Arial" w:cs="Arial"/>
              </w:rPr>
              <w:t xml:space="preserve"> in the narrative</w:t>
            </w:r>
          </w:p>
          <w:p w:rsidR="006324D3" w:rsidRDefault="006324D3" w:rsidP="006324D3">
            <w:pPr>
              <w:numPr>
                <w:ilvl w:val="0"/>
                <w:numId w:val="2"/>
              </w:numPr>
              <w:rPr>
                <w:rFonts w:ascii="Arial" w:hAnsi="Arial" w:cs="Arial"/>
              </w:rPr>
            </w:pPr>
            <w:r>
              <w:rPr>
                <w:rFonts w:ascii="Arial" w:hAnsi="Arial" w:cs="Arial"/>
              </w:rPr>
              <w:t xml:space="preserve">The values represented by Abraham in the narrative </w:t>
            </w:r>
          </w:p>
          <w:p w:rsidR="006324D3" w:rsidRDefault="006324D3" w:rsidP="007035B0">
            <w:pPr>
              <w:jc w:val="both"/>
              <w:rPr>
                <w:rFonts w:ascii="Arial" w:hAnsi="Arial" w:cs="Arial"/>
              </w:rPr>
            </w:pPr>
          </w:p>
          <w:p w:rsidR="006324D3" w:rsidRDefault="006324D3" w:rsidP="007035B0">
            <w:pPr>
              <w:rPr>
                <w:rFonts w:ascii="Arial" w:hAnsi="Arial" w:cs="Arial"/>
                <w:b/>
                <w:bCs/>
              </w:rPr>
            </w:pPr>
            <w:r>
              <w:rPr>
                <w:rFonts w:ascii="Arial" w:hAnsi="Arial" w:cs="Arial"/>
                <w:b/>
                <w:bCs/>
              </w:rPr>
              <w:t>Formative assignment:</w:t>
            </w:r>
          </w:p>
          <w:p w:rsidR="006324D3" w:rsidRDefault="006324D3" w:rsidP="007035B0">
            <w:pPr>
              <w:rPr>
                <w:rFonts w:ascii="Arial" w:hAnsi="Arial" w:cs="Arial"/>
              </w:rPr>
            </w:pPr>
          </w:p>
          <w:p w:rsidR="006324D3" w:rsidRDefault="006324D3" w:rsidP="007035B0">
            <w:pPr>
              <w:rPr>
                <w:rFonts w:ascii="Arial" w:hAnsi="Arial" w:cs="Arial"/>
              </w:rPr>
            </w:pPr>
            <w:r>
              <w:rPr>
                <w:rFonts w:ascii="Arial" w:hAnsi="Arial" w:cs="Arial"/>
              </w:rPr>
              <w:t>By the end of this unit, you should be able to answer the following question, in the context of contemporary scholarship:</w:t>
            </w:r>
          </w:p>
          <w:p w:rsidR="006324D3" w:rsidRDefault="006324D3" w:rsidP="007035B0">
            <w:pPr>
              <w:rPr>
                <w:rFonts w:ascii="Arial" w:hAnsi="Arial" w:cs="Arial"/>
              </w:rPr>
            </w:pPr>
          </w:p>
          <w:p w:rsidR="006324D3" w:rsidRDefault="006324D3" w:rsidP="007035B0">
            <w:pPr>
              <w:jc w:val="both"/>
              <w:rPr>
                <w:rFonts w:ascii="Batang" w:hAnsi="Batang" w:cs="Arial Unicode MS"/>
              </w:rPr>
            </w:pPr>
            <w:r>
              <w:rPr>
                <w:rFonts w:ascii="Arial" w:hAnsi="Arial" w:cs="Arial"/>
                <w:b/>
                <w:bCs/>
                <w:sz w:val="22"/>
              </w:rPr>
              <w:t>In what ways do the plot and characters of this unit anticipate the next unit (25:19-36:1)?</w:t>
            </w:r>
          </w:p>
        </w:tc>
      </w:tr>
    </w:tbl>
    <w:p w:rsidR="006324D3" w:rsidRDefault="006324D3"/>
    <w:sectPr w:rsidR="006324D3" w:rsidSect="0095710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Tahoma">
    <w:panose1 w:val="020B0604030504040204"/>
    <w:charset w:val="00"/>
    <w:family w:val="swiss"/>
    <w:pitch w:val="variable"/>
    <w:sig w:usb0="61002A87" w:usb1="80000000" w:usb2="00000008" w:usb3="00000000" w:csb0="000101FF" w:csb1="00000000"/>
  </w:font>
  <w:font w:name="Batang">
    <w:altName w:val="Arial Unicode MS"/>
    <w:panose1 w:val="02030600000101010101"/>
    <w:charset w:val="81"/>
    <w:family w:val="auto"/>
    <w:notTrueType/>
    <w:pitch w:val="fixed"/>
    <w:sig w:usb0="00000000" w:usb1="09060000" w:usb2="00000010" w:usb3="00000000" w:csb0="00080000"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3048C1"/>
    <w:multiLevelType w:val="hybridMultilevel"/>
    <w:tmpl w:val="AD5AC6F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7AC81E08"/>
    <w:multiLevelType w:val="multilevel"/>
    <w:tmpl w:val="6CCE7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E73CC"/>
    <w:rsid w:val="000717E5"/>
    <w:rsid w:val="00212CC8"/>
    <w:rsid w:val="006324D3"/>
    <w:rsid w:val="0071156C"/>
    <w:rsid w:val="00774261"/>
    <w:rsid w:val="0095710E"/>
    <w:rsid w:val="00D15AEA"/>
    <w:rsid w:val="00EE73C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Name"/>
  <w:smartTagType w:namespaceuri="urn:schemas-microsoft-com:office:smarttags" w:name="PlaceType"/>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73CC"/>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EE73CC"/>
    <w:pPr>
      <w:jc w:val="both"/>
    </w:pPr>
    <w:rPr>
      <w:rFonts w:ascii="Arial" w:hAnsi="Arial" w:cs="Arial"/>
    </w:rPr>
  </w:style>
  <w:style w:type="character" w:customStyle="1" w:styleId="BodyTextChar">
    <w:name w:val="Body Text Char"/>
    <w:basedOn w:val="DefaultParagraphFont"/>
    <w:link w:val="BodyText"/>
    <w:rsid w:val="00EE73CC"/>
    <w:rPr>
      <w:rFonts w:ascii="Arial" w:eastAsia="Times New Roman" w:hAnsi="Arial" w:cs="Arial"/>
      <w:sz w:val="24"/>
      <w:szCs w:val="24"/>
    </w:rPr>
  </w:style>
  <w:style w:type="character" w:styleId="Hyperlink">
    <w:name w:val="Hyperlink"/>
    <w:basedOn w:val="DefaultParagraphFont"/>
    <w:uiPriority w:val="99"/>
    <w:semiHidden/>
    <w:unhideWhenUsed/>
    <w:rsid w:val="000717E5"/>
    <w:rPr>
      <w:rFonts w:ascii="Verdana" w:hAnsi="Verdana" w:hint="default"/>
      <w:b/>
      <w:bCs/>
      <w:strike w:val="0"/>
      <w:dstrike w:val="0"/>
      <w:color w:val="003366"/>
      <w:sz w:val="24"/>
      <w:szCs w:val="24"/>
      <w:u w:val="none"/>
      <w:effect w:val="none"/>
    </w:rPr>
  </w:style>
  <w:style w:type="character" w:customStyle="1" w:styleId="accesshide1">
    <w:name w:val="accesshide1"/>
    <w:basedOn w:val="DefaultParagraphFont"/>
    <w:rsid w:val="000717E5"/>
    <w:rPr>
      <w:b w:val="0"/>
      <w:bCs w:val="0"/>
      <w:sz w:val="24"/>
      <w:szCs w:val="24"/>
    </w:rPr>
  </w:style>
  <w:style w:type="paragraph" w:styleId="BalloonText">
    <w:name w:val="Balloon Text"/>
    <w:basedOn w:val="Normal"/>
    <w:link w:val="BalloonTextChar"/>
    <w:uiPriority w:val="99"/>
    <w:semiHidden/>
    <w:unhideWhenUsed/>
    <w:rsid w:val="000717E5"/>
    <w:rPr>
      <w:rFonts w:ascii="Tahoma" w:hAnsi="Tahoma" w:cs="Tahoma"/>
      <w:sz w:val="16"/>
      <w:szCs w:val="16"/>
    </w:rPr>
  </w:style>
  <w:style w:type="character" w:customStyle="1" w:styleId="BalloonTextChar">
    <w:name w:val="Balloon Text Char"/>
    <w:basedOn w:val="DefaultParagraphFont"/>
    <w:link w:val="BalloonText"/>
    <w:uiPriority w:val="99"/>
    <w:semiHidden/>
    <w:rsid w:val="000717E5"/>
    <w:rPr>
      <w:rFonts w:ascii="Tahoma" w:eastAsia="Times New Roman"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dysgu.ydds.ac.uk/mod/resource/view.php?id=5611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2</Pages>
  <Words>779</Words>
  <Characters>4443</Characters>
  <Application>Microsoft Office Word</Application>
  <DocSecurity>0</DocSecurity>
  <Lines>37</Lines>
  <Paragraphs>10</Paragraphs>
  <ScaleCrop>false</ScaleCrop>
  <Company/>
  <LinksUpToDate>false</LinksUpToDate>
  <CharactersWithSpaces>5212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4</cp:revision>
  <dcterms:created xsi:type="dcterms:W3CDTF">2012-09-10T08:49:00Z</dcterms:created>
  <dcterms:modified xsi:type="dcterms:W3CDTF">2012-09-11T08:04:00Z</dcterms:modified>
</cp:coreProperties>
</file>