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887" w:rsidRDefault="009E19FA" w:rsidP="009E19FA">
      <w:pPr>
        <w:jc w:val="center"/>
        <w:rPr>
          <w:b/>
          <w:sz w:val="32"/>
          <w:szCs w:val="32"/>
          <w:lang w:val="en-GB"/>
        </w:rPr>
      </w:pPr>
      <w:r w:rsidRPr="009E19FA">
        <w:rPr>
          <w:b/>
          <w:sz w:val="32"/>
          <w:szCs w:val="32"/>
          <w:lang w:val="en-GB"/>
        </w:rPr>
        <w:t>Trading Blocs</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 xml:space="preserve">Trading blocs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 xml:space="preserve">The world economy seems to have been increasingly forming into a series of trade blocs, based upon regional groupings of countries: a European region centred on the European Union, an Asian region on Japan, a North American region on the USA and a Latin American region. Such trade blocs are examples of preferential trading arrangements. These arrangements involve trade restrictions with the rest of the world, and lower or zero restrictions between the members.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Although trade blocs clearly encourage trade between their members (intra-regional trade has been growing significantly faster than trade between regions), many countries outside these blocs complain that they benefit the members at the expense of the rest of the world. For many developing economies, in need of access to the most prosperous nations in the world, this represents a significant check on their ability to grow and develop.</w:t>
      </w:r>
    </w:p>
    <w:p w:rsidR="009E19FA" w:rsidRDefault="00E46643" w:rsidP="009E19FA">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W</w:t>
      </w:r>
      <w:bookmarkStart w:id="0" w:name="_GoBack"/>
      <w:bookmarkEnd w:id="0"/>
      <w:r w:rsidR="009E19FA">
        <w:rPr>
          <w:rFonts w:ascii="Calibri" w:eastAsia="Calibri" w:hAnsi="Calibri"/>
          <w:color w:val="000000"/>
          <w:kern w:val="24"/>
          <w:lang w:val="en-GB"/>
        </w:rPr>
        <w:t xml:space="preserve">e shall first consider why groups of countries might wish to establish trade blocs, and what they seek to gain beyond the benefits that result from free and open trade. We will then look at the world's trade blocs as they currently stand, paying particular attention to the European Union, which is by far the most advanced in respect to establishing a high level of regional integration.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 xml:space="preserve">PREFERENTIAL TRADING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Types of pr</w:t>
      </w:r>
      <w:r w:rsidR="00E46643">
        <w:rPr>
          <w:rFonts w:ascii="Calibri" w:eastAsia="Calibri" w:hAnsi="Calibri"/>
          <w:color w:val="000000"/>
          <w:kern w:val="24"/>
          <w:lang w:val="en-GB"/>
        </w:rPr>
        <w:t>eferential trading arrangement t</w:t>
      </w:r>
      <w:r>
        <w:rPr>
          <w:rFonts w:ascii="Calibri" w:eastAsia="Calibri" w:hAnsi="Calibri"/>
          <w:color w:val="000000"/>
          <w:kern w:val="24"/>
          <w:lang w:val="en-GB"/>
        </w:rPr>
        <w:t xml:space="preserve">here are three possible forms that such trading arrangements might take.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Free trade areas</w:t>
      </w:r>
      <w:r>
        <w:rPr>
          <w:rFonts w:ascii="Calibri" w:eastAsia="Calibri" w:hAnsi="Calibri"/>
          <w:color w:val="000000"/>
          <w:kern w:val="24"/>
          <w:lang w:val="en-GB"/>
        </w:rPr>
        <w:t xml:space="preserve"> </w:t>
      </w:r>
      <w:r>
        <w:rPr>
          <w:rFonts w:ascii="Calibri" w:eastAsia="Calibri" w:hAnsi="Calibri"/>
          <w:color w:val="000000"/>
          <w:kern w:val="24"/>
          <w:lang w:val="en-GB"/>
        </w:rPr>
        <w:br/>
      </w:r>
      <w:proofErr w:type="gramStart"/>
      <w:r>
        <w:rPr>
          <w:rFonts w:ascii="Calibri" w:eastAsia="Calibri" w:hAnsi="Calibri"/>
          <w:color w:val="000000"/>
          <w:kern w:val="24"/>
          <w:lang w:val="en-GB"/>
        </w:rPr>
        <w:t>A</w:t>
      </w:r>
      <w:proofErr w:type="gramEnd"/>
      <w:r>
        <w:rPr>
          <w:rFonts w:ascii="Calibri" w:eastAsia="Calibri" w:hAnsi="Calibri"/>
          <w:color w:val="000000"/>
          <w:kern w:val="24"/>
          <w:lang w:val="en-GB"/>
        </w:rPr>
        <w:t xml:space="preserve"> free trade area is where member countries remove tariffs and quotas between themselves, but retain whatever restrictions each member chooses with non-member countries. Some provision will have to be made to prevent imports from outside coming into the area via the country with the lowest external tariff.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Customs unions</w:t>
      </w:r>
      <w:r>
        <w:rPr>
          <w:rFonts w:ascii="Calibri" w:eastAsia="Calibri" w:hAnsi="Calibri"/>
          <w:color w:val="000000"/>
          <w:kern w:val="24"/>
          <w:lang w:val="en-GB"/>
        </w:rPr>
        <w:t xml:space="preserve"> </w:t>
      </w:r>
      <w:r>
        <w:rPr>
          <w:rFonts w:ascii="Calibri" w:eastAsia="Calibri" w:hAnsi="Calibri"/>
          <w:color w:val="000000"/>
          <w:kern w:val="24"/>
          <w:lang w:val="en-GB"/>
        </w:rPr>
        <w:br/>
      </w:r>
      <w:proofErr w:type="gramStart"/>
      <w:r>
        <w:rPr>
          <w:rFonts w:ascii="Calibri" w:eastAsia="Calibri" w:hAnsi="Calibri"/>
          <w:color w:val="000000"/>
          <w:kern w:val="24"/>
          <w:lang w:val="en-GB"/>
        </w:rPr>
        <w:t>A</w:t>
      </w:r>
      <w:proofErr w:type="gramEnd"/>
      <w:r>
        <w:rPr>
          <w:rFonts w:ascii="Calibri" w:eastAsia="Calibri" w:hAnsi="Calibri"/>
          <w:color w:val="000000"/>
          <w:kern w:val="24"/>
          <w:lang w:val="en-GB"/>
        </w:rPr>
        <w:t xml:space="preserve"> customs union is like a free trade area, but in addition members must adopt common external tariffs and quotas with non-member countries. </w:t>
      </w:r>
    </w:p>
    <w:p w:rsidR="009E19FA" w:rsidRDefault="009E19FA" w:rsidP="009E19FA">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Common markets</w:t>
      </w:r>
      <w:r>
        <w:rPr>
          <w:rFonts w:ascii="Calibri" w:eastAsia="Calibri" w:hAnsi="Calibri"/>
          <w:color w:val="000000"/>
          <w:kern w:val="24"/>
          <w:lang w:val="en-GB"/>
        </w:rPr>
        <w:t xml:space="preserve"> </w:t>
      </w:r>
      <w:r>
        <w:rPr>
          <w:rFonts w:ascii="Calibri" w:eastAsia="Calibri" w:hAnsi="Calibri"/>
          <w:color w:val="000000"/>
          <w:kern w:val="24"/>
          <w:lang w:val="en-GB"/>
        </w:rPr>
        <w:br/>
      </w:r>
      <w:proofErr w:type="gramStart"/>
      <w:r>
        <w:rPr>
          <w:rFonts w:ascii="Calibri" w:eastAsia="Calibri" w:hAnsi="Calibri"/>
          <w:color w:val="000000"/>
          <w:kern w:val="24"/>
          <w:lang w:val="en-GB"/>
        </w:rPr>
        <w:t>A</w:t>
      </w:r>
      <w:proofErr w:type="gramEnd"/>
      <w:r>
        <w:rPr>
          <w:rFonts w:ascii="Calibri" w:eastAsia="Calibri" w:hAnsi="Calibri"/>
          <w:color w:val="000000"/>
          <w:kern w:val="24"/>
          <w:lang w:val="en-GB"/>
        </w:rPr>
        <w:t xml:space="preserve"> common market is where member countries operate as a single market. Like a customs union there are no tariffs and quotas between mem</w:t>
      </w:r>
      <w:r w:rsidR="00E46643">
        <w:rPr>
          <w:rFonts w:ascii="Calibri" w:eastAsia="Calibri" w:hAnsi="Calibri"/>
          <w:color w:val="000000"/>
          <w:kern w:val="24"/>
          <w:lang w:val="en-GB"/>
        </w:rPr>
        <w:t>ber countries and there are com</w:t>
      </w:r>
      <w:r>
        <w:rPr>
          <w:rFonts w:ascii="Calibri" w:eastAsia="Calibri" w:hAnsi="Calibri"/>
          <w:color w:val="000000"/>
          <w:kern w:val="24"/>
          <w:lang w:val="en-GB"/>
        </w:rPr>
        <w:t xml:space="preserve">mon external </w:t>
      </w:r>
      <w:r>
        <w:rPr>
          <w:rFonts w:ascii="Calibri" w:eastAsia="Calibri" w:hAnsi="Calibri"/>
          <w:color w:val="000000"/>
          <w:kern w:val="24"/>
          <w:lang w:val="en-GB"/>
        </w:rPr>
        <w:lastRenderedPageBreak/>
        <w:t>tariffs and quotas. But a common market goes further than this. A full common market includes the following features: a common system of taxation, and common laws and regulations governing production, employment and trade. It also includes the free movement of labour and capital. It might also include features such as a single currency or f</w:t>
      </w:r>
      <w:r w:rsidR="00E46643">
        <w:rPr>
          <w:rFonts w:ascii="Calibri" w:eastAsia="Calibri" w:hAnsi="Calibri"/>
          <w:color w:val="000000"/>
          <w:kern w:val="24"/>
          <w:lang w:val="en-GB"/>
        </w:rPr>
        <w:t>ixed exchange rates between mem</w:t>
      </w:r>
      <w:r>
        <w:rPr>
          <w:rFonts w:ascii="Calibri" w:eastAsia="Calibri" w:hAnsi="Calibri"/>
          <w:color w:val="000000"/>
          <w:kern w:val="24"/>
          <w:lang w:val="en-GB"/>
        </w:rPr>
        <w:t xml:space="preserve">bers, and the pursuit of a common macroeconomic policy.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 xml:space="preserve">The direct effects of a customs union: trade creation and trade diversion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 xml:space="preserve">By joining a customs union (or free trade area), a country will find that its trade patterns change. Two such changes can be distinguished: trade creation and trade diversion.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Trade creation</w:t>
      </w:r>
      <w:r>
        <w:rPr>
          <w:rFonts w:ascii="Calibri" w:eastAsia="Calibri" w:hAnsi="Calibri"/>
          <w:color w:val="000000"/>
          <w:kern w:val="24"/>
          <w:lang w:val="en-GB"/>
        </w:rPr>
        <w:t xml:space="preserve"> </w:t>
      </w:r>
      <w:r>
        <w:rPr>
          <w:rFonts w:ascii="Calibri" w:eastAsia="Calibri" w:hAnsi="Calibri"/>
          <w:color w:val="000000"/>
          <w:kern w:val="24"/>
          <w:lang w:val="en-GB"/>
        </w:rPr>
        <w:br/>
        <w:t xml:space="preserve">Trade creation is where consumption shifts from a high-cost producer to a low-cost producer. The removal of trade barriers allows greater specialisation according to comparative advantage. Instead of consumers having to pay high prices for domestically produced goods in which the country has a comparative disadvantage, the goods can now be obtained more cheaply from other members of the customs union. In return, the country can export to them goods in which it has a comparative advantage.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b/>
          <w:bCs/>
          <w:color w:val="000000"/>
          <w:kern w:val="24"/>
          <w:lang w:val="en-GB"/>
        </w:rPr>
        <w:t xml:space="preserve">Trade diversion </w:t>
      </w:r>
      <w:r>
        <w:rPr>
          <w:rFonts w:ascii="Calibri" w:eastAsia="Calibri" w:hAnsi="Calibri"/>
          <w:color w:val="000000"/>
          <w:kern w:val="24"/>
          <w:lang w:val="en-GB"/>
        </w:rPr>
        <w:br/>
        <w:t xml:space="preserve">Trade diversion is where consumption shifts from a lower-cost producer outside the customs union to a higher-cost producer within the union.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 xml:space="preserve">Assume that the most efficient producer of good y in the world is New Zealand - outside the EU. Assume that before membership of the EU, the UK paid a similar tariff on good y from any country, and thus imported the product from New Zealand rather than from the EU. </w:t>
      </w:r>
    </w:p>
    <w:p w:rsidR="00E46643" w:rsidRDefault="00E46643" w:rsidP="00E46643">
      <w:pPr>
        <w:pStyle w:val="NormalWeb"/>
        <w:kinsoku w:val="0"/>
        <w:overflowPunct w:val="0"/>
        <w:spacing w:before="86" w:beforeAutospacing="0" w:after="200" w:afterAutospacing="0" w:line="276" w:lineRule="auto"/>
        <w:textAlignment w:val="baseline"/>
      </w:pPr>
      <w:r>
        <w:rPr>
          <w:rFonts w:ascii="Calibri" w:eastAsia="Calibri" w:hAnsi="Calibri"/>
          <w:color w:val="000000"/>
          <w:kern w:val="24"/>
          <w:lang w:val="en-GB"/>
        </w:rPr>
        <w:t xml:space="preserve">After the UK joined the EU, however, the removal of the tariff made the EU product cheaper, since the tariff remained on the New Zealand product. Consumption thus switched to a higher-cost producer. There was thus a net loss in world efficiency. As far as the UK was concerned, consumers still gained, since they were paying a lower price than before. However, there was a loss to domestic producers (from the reduction in protection, and hence reduced prices and profits) and to the government (from reduced tariff revenue). These losses may have been smaller or larger than the gain to consumers: in other words, there may have still been a net gain to the UK, but there could have been a net loss, depending on the circumstances.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Longer-term effects of a customs union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Over the longer term, there may be other gains and losses from being a member of a customs union.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Longer-term advantages</w:t>
      </w:r>
    </w:p>
    <w:p w:rsidR="00E46643" w:rsidRPr="00E46643" w:rsidRDefault="00E46643" w:rsidP="00E46643">
      <w:pPr>
        <w:numPr>
          <w:ilvl w:val="0"/>
          <w:numId w:val="1"/>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lastRenderedPageBreak/>
        <w:t xml:space="preserve">Increased market size may allow a country's firms to exploit (internal) economies of scale. This argument is more important for small countries, which therefore have more to gain from an enlargement of their markets. </w:t>
      </w:r>
    </w:p>
    <w:p w:rsidR="00E46643" w:rsidRPr="00E46643" w:rsidRDefault="00E46643" w:rsidP="00E46643">
      <w:pPr>
        <w:numPr>
          <w:ilvl w:val="0"/>
          <w:numId w:val="1"/>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External economies of scale. Increased trade may lead to improvements in the infrastructure of the members of the customs union (better roads, railways, financial services, etc.). This, in turn, could then bring greater long-term benefits from trade between </w:t>
      </w:r>
      <w:proofErr w:type="gramStart"/>
      <w:r w:rsidRPr="00E46643">
        <w:rPr>
          <w:rFonts w:ascii="Calibri" w:eastAsia="Calibri" w:hAnsi="Calibri" w:cs="Times New Roman"/>
          <w:color w:val="000000"/>
          <w:kern w:val="24"/>
          <w:sz w:val="24"/>
          <w:szCs w:val="24"/>
          <w:lang w:val="en-GB"/>
        </w:rPr>
        <w:t>members,</w:t>
      </w:r>
      <w:proofErr w:type="gramEnd"/>
      <w:r w:rsidRPr="00E46643">
        <w:rPr>
          <w:rFonts w:ascii="Calibri" w:eastAsia="Calibri" w:hAnsi="Calibri" w:cs="Times New Roman"/>
          <w:color w:val="000000"/>
          <w:kern w:val="24"/>
          <w:sz w:val="24"/>
          <w:szCs w:val="24"/>
          <w:lang w:val="en-GB"/>
        </w:rPr>
        <w:t xml:space="preserve"> and from external trade too, by making the transport and handling of imports and exports cheaper.</w:t>
      </w:r>
    </w:p>
    <w:p w:rsidR="00E46643" w:rsidRPr="00E46643" w:rsidRDefault="00E46643" w:rsidP="00E46643">
      <w:pPr>
        <w:numPr>
          <w:ilvl w:val="0"/>
          <w:numId w:val="1"/>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bargaining power of the whole customs union with the rest of the world may allow member countries to gain better terms of trade. This, of course, will necessarily involve a degree of political cooperation between the members. </w:t>
      </w:r>
    </w:p>
    <w:p w:rsidR="00E46643" w:rsidRPr="00E46643" w:rsidRDefault="00E46643" w:rsidP="00E46643">
      <w:pPr>
        <w:numPr>
          <w:ilvl w:val="0"/>
          <w:numId w:val="1"/>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Increased competition between member countries may stimulate efficiency, encourage investment and reduce monopoly power. Of course, a similar advantage could be gained by the simple removal of tariffs with any competing country. </w:t>
      </w:r>
    </w:p>
    <w:p w:rsidR="00E46643" w:rsidRPr="00E46643" w:rsidRDefault="00E46643" w:rsidP="00E46643">
      <w:pPr>
        <w:numPr>
          <w:ilvl w:val="0"/>
          <w:numId w:val="1"/>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Integration may encourage a more rapid spread of technology.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Longer-term disadvantages </w:t>
      </w:r>
    </w:p>
    <w:p w:rsidR="00E46643" w:rsidRPr="00E46643" w:rsidRDefault="00E46643" w:rsidP="00E46643">
      <w:pPr>
        <w:numPr>
          <w:ilvl w:val="0"/>
          <w:numId w:val="2"/>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Resources may flow from the country to more efficient members of the customs union, or to the geographical centre of the union (so as to minimise transport costs). This can be a major problem for a common market (where there is free movement of labour and capital). The country could become a depressed 'region' of the community. </w:t>
      </w:r>
    </w:p>
    <w:p w:rsidR="00E46643" w:rsidRPr="00E46643" w:rsidRDefault="00E46643" w:rsidP="00E46643">
      <w:pPr>
        <w:numPr>
          <w:ilvl w:val="0"/>
          <w:numId w:val="2"/>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If integration encourages greater cooperation between firms in member countries, it may also encourage greater oligopolistic collusion, thus keeping prices higher to the consumer. It may also encourage mergers and takeovers, which would increase monopoly power.</w:t>
      </w:r>
    </w:p>
    <w:p w:rsidR="009E19FA" w:rsidRPr="00B66D43" w:rsidRDefault="00E46643" w:rsidP="009E19FA">
      <w:pPr>
        <w:numPr>
          <w:ilvl w:val="0"/>
          <w:numId w:val="2"/>
        </w:numPr>
        <w:kinsoku w:val="0"/>
        <w:overflowPunct w:val="0"/>
        <w:ind w:left="1267"/>
        <w:contextualSpacing/>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costs of administering the customs union may be high. This problem is likely to worsen the more intervention there is in the affairs of individual members. </w:t>
      </w:r>
      <w:r w:rsidR="00B66D43">
        <w:rPr>
          <w:rFonts w:ascii="Times New Roman" w:eastAsia="Times New Roman" w:hAnsi="Times New Roman" w:cs="Times New Roman"/>
          <w:sz w:val="24"/>
          <w:szCs w:val="24"/>
        </w:rPr>
        <w:br/>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PREFERENTIAL TRADING IN PRACTICE </w:t>
      </w:r>
      <w:r w:rsidR="00B66D43">
        <w:rPr>
          <w:rFonts w:ascii="Times New Roman" w:eastAsia="Times New Roman" w:hAnsi="Times New Roman" w:cs="Times New Roman"/>
          <w:sz w:val="24"/>
          <w:szCs w:val="24"/>
        </w:rPr>
        <w:br/>
      </w:r>
      <w:r w:rsidRPr="00E46643">
        <w:rPr>
          <w:rFonts w:ascii="Calibri" w:eastAsia="Calibri" w:hAnsi="Calibri" w:cs="Times New Roman"/>
          <w:color w:val="000000"/>
          <w:kern w:val="24"/>
          <w:sz w:val="24"/>
          <w:szCs w:val="24"/>
          <w:lang w:val="en-GB"/>
        </w:rPr>
        <w:t xml:space="preserve">Preferential trading has the greatest potential to benefit countries whose domestic market is too small, taken on its own, to enable them to benefit from economies of scale, and where they face substantial barriers to their exports. Most developing countries fall into this category and as a result many have attempted to form preferential trading arrangements.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Examples in Latin America and the Caribbean include the Latin American Integration Association (LAIA), the Andean Community, the Central American Common Market (CACM) and the Caribbean Community (CARICOM). A Southern Common Market (</w:t>
      </w:r>
      <w:proofErr w:type="spellStart"/>
      <w:r w:rsidRPr="00E46643">
        <w:rPr>
          <w:rFonts w:ascii="Calibri" w:eastAsia="Calibri" w:hAnsi="Calibri" w:cs="Times New Roman"/>
          <w:color w:val="000000"/>
          <w:kern w:val="24"/>
          <w:sz w:val="24"/>
          <w:szCs w:val="24"/>
          <w:lang w:val="en-GB"/>
        </w:rPr>
        <w:t>MerCoSur</w:t>
      </w:r>
      <w:proofErr w:type="spellEnd"/>
      <w:r w:rsidRPr="00E46643">
        <w:rPr>
          <w:rFonts w:ascii="Calibri" w:eastAsia="Calibri" w:hAnsi="Calibri" w:cs="Times New Roman"/>
          <w:color w:val="000000"/>
          <w:kern w:val="24"/>
          <w:sz w:val="24"/>
          <w:szCs w:val="24"/>
          <w:lang w:val="en-GB"/>
        </w:rPr>
        <w:t xml:space="preserve">) was formed in </w:t>
      </w:r>
      <w:r w:rsidRPr="00E46643">
        <w:rPr>
          <w:rFonts w:ascii="Calibri" w:eastAsia="Calibri" w:hAnsi="Calibri" w:cs="Times New Roman"/>
          <w:color w:val="000000"/>
          <w:kern w:val="24"/>
          <w:sz w:val="24"/>
          <w:szCs w:val="24"/>
          <w:lang w:val="en-GB"/>
        </w:rPr>
        <w:lastRenderedPageBreak/>
        <w:t xml:space="preserve">1991, consisting of Argentina, Brazil, Paraguay and Uruguay. It has a common external tariff and most of its internal trade is free of tariffs.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In 1993, the six ASEAN nations (Brunei, Indonesia, Malaysia, the Philippines, Singapore and Thailand) agreed to work towards an ASEAN Free Trade Area (AFTA). ASEAN (the Association of South-East Asian Nations) now has ten members - the new ones being Vietnam (1995), Laos (1997), Myanmar (1997) and Cambodia (1999) - and is dedicated to increased economic cooperation within the region.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What progress has been made in achieving AFTA? Virtually all tariffs between the six original members were eliminated by 2010 and there are plans to eliminate them for the remaining countries by 2015. ASEAN also plans to establish a common market, the ASEAN Economic Community (AEC), by 2020.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most significant and advanced trade blocs, how-ever, are to be found not in the developing world but in the developed, notably in Europe and North America.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North America Free Trade Agreement (NAFTA) </w:t>
      </w:r>
      <w:r w:rsidR="00B66D43">
        <w:rPr>
          <w:rFonts w:ascii="Times New Roman" w:eastAsia="Times New Roman" w:hAnsi="Times New Roman" w:cs="Times New Roman"/>
          <w:sz w:val="24"/>
          <w:szCs w:val="24"/>
        </w:rPr>
        <w:br/>
      </w:r>
      <w:r w:rsidRPr="00E46643">
        <w:rPr>
          <w:rFonts w:ascii="Calibri" w:eastAsia="Calibri" w:hAnsi="Calibri" w:cs="Times New Roman"/>
          <w:color w:val="000000"/>
          <w:kern w:val="24"/>
          <w:sz w:val="24"/>
          <w:szCs w:val="24"/>
          <w:lang w:val="en-GB"/>
        </w:rPr>
        <w:t xml:space="preserve">NAFTA is a trilateral agreement between the USA, Canada and Mexico and came into force in 1994. The three NAFTA members have agreed to abolish tariffs between themselves in the hope that increased trade and cooperation will follow. Tariffs between the USA and Canada were phased out by 1999 and tariffs between all three countries were eliminated as of 1 January 2008. New non-tariff restrictions will not be permitted either, but many existing ones can remain in force, thus preventing the development of true free trade between the members. Indeed, some industries, such as textiles and agriculture, will continue to have major non-tariff restrictions.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NAFTA members hope that, with a market similar in size to the EU, they will be able to rival the EU's economic power in world trade. Other countries may join in the future, so NAFTA may eventually develop into a Western Hemisphere free trade association.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NAFTA is principally a free trade area and not a common market. Unlike the EU, it does not seek to harmonise laws and regulations, except in very specific areas such as environmental management and labour standards. Member countries are permitted total legal independence, subject to the one proviso that they must treat firms of other member countries equally with their own firms — the principle of 'fair competition'. Nevertheless, NAFTA has encouraged a growth in trade between its members, most of which is trade creation rather than trade diversion.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Of the three countries in NAFTA, Mexico potentially has the most to gain from the agreement. With easier access to US and Canadian markets, and the added attractiveness it now has to </w:t>
      </w:r>
      <w:r w:rsidRPr="00E46643">
        <w:rPr>
          <w:rFonts w:ascii="Calibri" w:eastAsia="Calibri" w:hAnsi="Calibri" w:cs="Times New Roman"/>
          <w:color w:val="000000"/>
          <w:kern w:val="24"/>
          <w:sz w:val="24"/>
          <w:szCs w:val="24"/>
          <w:lang w:val="en-GB"/>
        </w:rPr>
        <w:lastRenderedPageBreak/>
        <w:t xml:space="preserve">foreign investors, especially US multinationals looking to reduce labour costs, the Mexican economy could reap huge benefits.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NAFTA has made Mexico a thriving export economy that attracts sufficient foreign direct investment to finance its total current account deficit.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However, the Mexican economy has faced a number of real threats from the agreement. For example, as trade barriers fall, Mexican companies are being faced with competition from bigger and more efficient US and Canadian rivals. </w:t>
      </w:r>
    </w:p>
    <w:p w:rsidR="00E46643" w:rsidRDefault="00E46643" w:rsidP="00E46643">
      <w:pPr>
        <w:kinsoku w:val="0"/>
        <w:overflowPunct w:val="0"/>
        <w:spacing w:before="86"/>
        <w:textAlignment w:val="baseline"/>
        <w:rPr>
          <w:rFonts w:ascii="Calibri" w:eastAsia="Calibri" w:hAnsi="Calibri" w:cs="Times New Roman"/>
          <w:color w:val="000000"/>
          <w:kern w:val="24"/>
          <w:sz w:val="24"/>
          <w:szCs w:val="24"/>
          <w:lang w:val="en-GB"/>
        </w:rPr>
      </w:pPr>
      <w:r w:rsidRPr="00E46643">
        <w:rPr>
          <w:rFonts w:ascii="Calibri" w:eastAsia="Calibri" w:hAnsi="Calibri" w:cs="Times New Roman"/>
          <w:color w:val="000000"/>
          <w:kern w:val="24"/>
          <w:sz w:val="24"/>
          <w:szCs w:val="24"/>
          <w:lang w:val="en-GB"/>
        </w:rPr>
        <w:t xml:space="preserve">By far the most developed trading bloc is the EU.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THE EUROPEAN UNION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European Economic Community (EEC) was formed by the signing of the Treaty of Rome in 1957 and came into operation on 1 January 1958.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original six member countries of the EEC (Belgium, France, Italy, Luxembourg, Netherlands and West Germany) had already made a move towards integration with the formation of the European Coal and Steel Community in 1952. This had removed all restrictions on trade in coal, steel and iron ore between the six countries. The aim had been to gain economies of scale and allow more effective competition with the USA and other foreign producers.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The EEC extended this principle and aimed eventually to be a full common market with completely free trade between members in all products, and with completely free movement of labour, enterprise and capital. All internal tariffs between the six members had been abolished and common external tariffs established by 1968. But this still only made the EEC a customs union, since a number of restrictions on internal trade remained (legal, administrative, fiscal, etc.). Nevertheless, the aim was eventually to create a full common market.</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In 1973 the UK, Denmark and Ireland became members. Greece joined in 1981, Spain and Portugal in 1986, and Sweden, Austria and Finland in 1995. Then in May 2004, a further ten countries joined: Cyprus, the Czech Republic, Estonia, Hungary, Latvia, Lithuania, Malta, Poland, Slovakia and Slovenia. With Bulgaria and Romania joining in 2007, the European Union (EU), as it is now called, currently has 27 members.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b/>
          <w:bCs/>
          <w:color w:val="000000"/>
          <w:kern w:val="24"/>
          <w:sz w:val="24"/>
          <w:szCs w:val="24"/>
          <w:lang w:val="en-GB"/>
        </w:rPr>
        <w:t xml:space="preserve">From customs union to common market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EU is clearly a customs union. It has common external tariffs and no internal tariffs. But is it also a common market? For years there have been certain common economic policies.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proofErr w:type="gramStart"/>
      <w:r w:rsidRPr="00E46643">
        <w:rPr>
          <w:rFonts w:ascii="Calibri" w:eastAsia="Calibri" w:hAnsi="Calibri" w:cs="Times New Roman"/>
          <w:color w:val="000000"/>
          <w:kern w:val="24"/>
          <w:sz w:val="24"/>
          <w:szCs w:val="24"/>
          <w:lang w:val="en-GB"/>
        </w:rPr>
        <w:t>The Common Agricultural Policy (CA</w:t>
      </w:r>
      <w:r>
        <w:rPr>
          <w:rFonts w:ascii="Calibri" w:eastAsia="Calibri" w:hAnsi="Calibri" w:cs="Times New Roman"/>
          <w:color w:val="000000"/>
          <w:kern w:val="24"/>
          <w:sz w:val="24"/>
          <w:szCs w:val="24"/>
          <w:lang w:val="en-GB"/>
        </w:rPr>
        <w:t>P).</w:t>
      </w:r>
      <w:proofErr w:type="gramEnd"/>
      <w:r>
        <w:rPr>
          <w:rFonts w:ascii="Calibri" w:eastAsia="Calibri" w:hAnsi="Calibri" w:cs="Times New Roman"/>
          <w:color w:val="000000"/>
          <w:kern w:val="24"/>
          <w:sz w:val="24"/>
          <w:szCs w:val="24"/>
          <w:lang w:val="en-GB"/>
        </w:rPr>
        <w:t xml:space="preserve"> The EU has tradi</w:t>
      </w:r>
      <w:r w:rsidRPr="00E46643">
        <w:rPr>
          <w:rFonts w:ascii="Calibri" w:eastAsia="Calibri" w:hAnsi="Calibri" w:cs="Times New Roman"/>
          <w:color w:val="000000"/>
          <w:kern w:val="24"/>
          <w:sz w:val="24"/>
          <w:szCs w:val="24"/>
          <w:lang w:val="en-GB"/>
        </w:rPr>
        <w:t xml:space="preserve">tionally set common high prices for farm products. This has involved charging variable import duties to bring foreign food imports up to </w:t>
      </w:r>
      <w:r w:rsidRPr="00E46643">
        <w:rPr>
          <w:rFonts w:ascii="Calibri" w:eastAsia="Calibri" w:hAnsi="Calibri" w:cs="Times New Roman"/>
          <w:color w:val="000000"/>
          <w:kern w:val="24"/>
          <w:sz w:val="24"/>
          <w:szCs w:val="24"/>
          <w:lang w:val="en-GB"/>
        </w:rPr>
        <w:lastRenderedPageBreak/>
        <w:t xml:space="preserve">EU prices and intervention to buy up surpluses of food produced within the EU at these above-equilibrium prices. Although the main method of support has shifted to providing subsidies (or 'income support') unrelated to current output, this still represents a common economic policy of agricultural support.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proofErr w:type="gramStart"/>
      <w:r w:rsidRPr="00E46643">
        <w:rPr>
          <w:rFonts w:ascii="Calibri" w:eastAsia="Calibri" w:hAnsi="Calibri" w:cs="Times New Roman"/>
          <w:color w:val="000000"/>
          <w:kern w:val="24"/>
          <w:sz w:val="24"/>
          <w:szCs w:val="24"/>
          <w:lang w:val="en-GB"/>
        </w:rPr>
        <w:t>Regional policy.</w:t>
      </w:r>
      <w:proofErr w:type="gramEnd"/>
      <w:r w:rsidRPr="00E46643">
        <w:rPr>
          <w:rFonts w:ascii="Calibri" w:eastAsia="Calibri" w:hAnsi="Calibri" w:cs="Times New Roman"/>
          <w:color w:val="000000"/>
          <w:kern w:val="24"/>
          <w:sz w:val="24"/>
          <w:szCs w:val="24"/>
          <w:lang w:val="en-GB"/>
        </w:rPr>
        <w:t xml:space="preserve"> EU regional policy provides grants to firms and local authorities in relatively deprived regions of the Union.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proofErr w:type="gramStart"/>
      <w:r w:rsidRPr="00E46643">
        <w:rPr>
          <w:rFonts w:ascii="Calibri" w:eastAsia="Calibri" w:hAnsi="Calibri" w:cs="Times New Roman"/>
          <w:color w:val="000000"/>
          <w:kern w:val="24"/>
          <w:sz w:val="24"/>
          <w:szCs w:val="24"/>
          <w:lang w:val="en-GB"/>
        </w:rPr>
        <w:t>Competition policy.</w:t>
      </w:r>
      <w:proofErr w:type="gramEnd"/>
      <w:r w:rsidRPr="00E46643">
        <w:rPr>
          <w:rFonts w:ascii="Calibri" w:eastAsia="Calibri" w:hAnsi="Calibri" w:cs="Times New Roman"/>
          <w:color w:val="000000"/>
          <w:kern w:val="24"/>
          <w:sz w:val="24"/>
          <w:szCs w:val="24"/>
          <w:lang w:val="en-GB"/>
        </w:rPr>
        <w:t xml:space="preserve"> EU policy here has applied primarily to companies operating in more than one</w:t>
      </w:r>
      <w:r>
        <w:rPr>
          <w:rFonts w:ascii="Calibri" w:eastAsia="Calibri" w:hAnsi="Calibri" w:cs="Times New Roman"/>
          <w:color w:val="000000"/>
          <w:kern w:val="24"/>
          <w:sz w:val="24"/>
          <w:szCs w:val="24"/>
          <w:lang w:val="en-GB"/>
        </w:rPr>
        <w:t xml:space="preserve"> member </w:t>
      </w:r>
      <w:proofErr w:type="gramStart"/>
      <w:r>
        <w:rPr>
          <w:rFonts w:ascii="Calibri" w:eastAsia="Calibri" w:hAnsi="Calibri" w:cs="Times New Roman"/>
          <w:color w:val="000000"/>
          <w:kern w:val="24"/>
          <w:sz w:val="24"/>
          <w:szCs w:val="24"/>
          <w:lang w:val="en-GB"/>
        </w:rPr>
        <w:t xml:space="preserve">state </w:t>
      </w:r>
      <w:r w:rsidRPr="00E46643">
        <w:rPr>
          <w:rFonts w:ascii="Calibri" w:eastAsia="Calibri" w:hAnsi="Calibri" w:cs="Times New Roman"/>
          <w:color w:val="000000"/>
          <w:kern w:val="24"/>
          <w:sz w:val="24"/>
          <w:szCs w:val="24"/>
          <w:lang w:val="en-GB"/>
        </w:rPr>
        <w:t>.</w:t>
      </w:r>
      <w:proofErr w:type="gramEnd"/>
      <w:r w:rsidRPr="00E46643">
        <w:rPr>
          <w:rFonts w:ascii="Calibri" w:eastAsia="Calibri" w:hAnsi="Calibri" w:cs="Times New Roman"/>
          <w:color w:val="000000"/>
          <w:kern w:val="24"/>
          <w:sz w:val="24"/>
          <w:szCs w:val="24"/>
          <w:lang w:val="en-GB"/>
        </w:rPr>
        <w:t xml:space="preserve"> For example, Article 101 of the Treaty of Lisbon prohibits agreements between firms operating in more than one EU country (e.g. over pricing or sharing out markets) which adversely affect competition in trade between member states.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proofErr w:type="gramStart"/>
      <w:r w:rsidRPr="00E46643">
        <w:rPr>
          <w:rFonts w:ascii="Calibri" w:eastAsia="Calibri" w:hAnsi="Calibri" w:cs="Times New Roman"/>
          <w:color w:val="000000"/>
          <w:kern w:val="24"/>
          <w:sz w:val="24"/>
          <w:szCs w:val="24"/>
          <w:lang w:val="en-GB"/>
        </w:rPr>
        <w:t>Harmonisation of taxation.</w:t>
      </w:r>
      <w:proofErr w:type="gramEnd"/>
      <w:r w:rsidRPr="00E46643">
        <w:rPr>
          <w:rFonts w:ascii="Calibri" w:eastAsia="Calibri" w:hAnsi="Calibri" w:cs="Times New Roman"/>
          <w:color w:val="000000"/>
          <w:kern w:val="24"/>
          <w:sz w:val="24"/>
          <w:szCs w:val="24"/>
          <w:lang w:val="en-GB"/>
        </w:rPr>
        <w:t xml:space="preserve"> VA</w:t>
      </w:r>
      <w:r>
        <w:rPr>
          <w:rFonts w:ascii="Calibri" w:eastAsia="Calibri" w:hAnsi="Calibri" w:cs="Times New Roman"/>
          <w:color w:val="000000"/>
          <w:kern w:val="24"/>
          <w:sz w:val="24"/>
          <w:szCs w:val="24"/>
          <w:lang w:val="en-GB"/>
        </w:rPr>
        <w:t>T is the standard form of indir</w:t>
      </w:r>
      <w:r w:rsidRPr="00E46643">
        <w:rPr>
          <w:rFonts w:ascii="Calibri" w:eastAsia="Calibri" w:hAnsi="Calibri" w:cs="Times New Roman"/>
          <w:color w:val="000000"/>
          <w:kern w:val="24"/>
          <w:sz w:val="24"/>
          <w:szCs w:val="24"/>
          <w:lang w:val="en-GB"/>
        </w:rPr>
        <w:t xml:space="preserve">ect tax throughout the EU. However, there are substantial differences in VAT rates between member states, as there are with other tax rates.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proofErr w:type="gramStart"/>
      <w:r w:rsidRPr="00E46643">
        <w:rPr>
          <w:rFonts w:ascii="Calibri" w:eastAsia="Calibri" w:hAnsi="Calibri" w:cs="Times New Roman"/>
          <w:color w:val="000000"/>
          <w:kern w:val="24"/>
          <w:sz w:val="24"/>
          <w:szCs w:val="24"/>
          <w:lang w:val="en-GB"/>
        </w:rPr>
        <w:t>Social policy.</w:t>
      </w:r>
      <w:proofErr w:type="gramEnd"/>
      <w:r w:rsidRPr="00E46643">
        <w:rPr>
          <w:rFonts w:ascii="Calibri" w:eastAsia="Calibri" w:hAnsi="Calibri" w:cs="Times New Roman"/>
          <w:color w:val="000000"/>
          <w:kern w:val="24"/>
          <w:sz w:val="24"/>
          <w:szCs w:val="24"/>
          <w:lang w:val="en-GB"/>
        </w:rPr>
        <w:t xml:space="preserve"> In 1989 the European Commission presented a social c</w:t>
      </w:r>
      <w:r>
        <w:rPr>
          <w:rFonts w:ascii="Calibri" w:eastAsia="Calibri" w:hAnsi="Calibri" w:cs="Times New Roman"/>
          <w:color w:val="000000"/>
          <w:kern w:val="24"/>
          <w:sz w:val="24"/>
          <w:szCs w:val="24"/>
          <w:lang w:val="en-GB"/>
        </w:rPr>
        <w:t xml:space="preserve">harter to the EU heads of state. </w:t>
      </w:r>
      <w:r w:rsidRPr="00E46643">
        <w:rPr>
          <w:rFonts w:ascii="Calibri" w:eastAsia="Calibri" w:hAnsi="Calibri" w:cs="Times New Roman"/>
          <w:color w:val="000000"/>
          <w:kern w:val="24"/>
          <w:sz w:val="24"/>
          <w:szCs w:val="24"/>
          <w:lang w:val="en-GB"/>
        </w:rPr>
        <w:t>This spelt out a series of worker and social rights that should apply in all member states. These rights were grouped under 12 headings covering areas such as the guarantee of decent levels of income for both the employed and the non-employed, freedom of movement of labour between EU countries, freedom to belong to a trade union and equal treatment of women and men in the labour market. The social charter was only a recommendation and each element had to be approved separately by the European Council of Ministers. The social chapter of the Maastricht Treaty (1991) attempted to move</w:t>
      </w:r>
      <w:r>
        <w:rPr>
          <w:rFonts w:ascii="Calibri" w:eastAsia="Calibri" w:hAnsi="Calibri" w:cs="Times New Roman"/>
          <w:color w:val="000000"/>
          <w:kern w:val="24"/>
          <w:sz w:val="24"/>
          <w:szCs w:val="24"/>
          <w:lang w:val="en-GB"/>
        </w:rPr>
        <w:t xml:space="preserve"> the Community forward in imple</w:t>
      </w:r>
      <w:r w:rsidRPr="00E46643">
        <w:rPr>
          <w:rFonts w:ascii="Calibri" w:eastAsia="Calibri" w:hAnsi="Calibri" w:cs="Times New Roman"/>
          <w:color w:val="000000"/>
          <w:kern w:val="24"/>
          <w:sz w:val="24"/>
          <w:szCs w:val="24"/>
          <w:lang w:val="en-GB"/>
        </w:rPr>
        <w:t xml:space="preserve">menting the details of the social charter in areas such as maximum working hours, minimum working conditions, health and safety protection, the provision of information to and consultation with workers, and equal opportunities. </w:t>
      </w:r>
    </w:p>
    <w:p w:rsidR="00E46643" w:rsidRPr="00E46643" w:rsidRDefault="00E46643" w:rsidP="00E46643">
      <w:pPr>
        <w:kinsoku w:val="0"/>
        <w:overflowPunct w:val="0"/>
        <w:spacing w:before="86"/>
        <w:textAlignment w:val="baseline"/>
        <w:rPr>
          <w:rFonts w:ascii="Times New Roman" w:eastAsia="Times New Roman" w:hAnsi="Times New Roman" w:cs="Times New Roman"/>
          <w:sz w:val="24"/>
          <w:szCs w:val="24"/>
        </w:rPr>
      </w:pPr>
      <w:r w:rsidRPr="00E46643">
        <w:rPr>
          <w:rFonts w:ascii="Calibri" w:eastAsia="Calibri" w:hAnsi="Calibri" w:cs="Times New Roman"/>
          <w:color w:val="000000"/>
          <w:kern w:val="24"/>
          <w:sz w:val="24"/>
          <w:szCs w:val="24"/>
          <w:lang w:val="en-GB"/>
        </w:rPr>
        <w:t xml:space="preserve">The UK Conservative government at the time refused to sign this part of the Maastricht Treaty. It maintained that such measures would increase costs of production and would, therefore, make EU goods less competitive in world trade and increase unemployment. Critics of the UK position argued that the refusal to adopt minimum working conditions (and also a minimum wage rate) would make the UK the 'cheap labour sweat-shop' of Europe. One of the first acts of the incoming Labour government in 1997 was to sign up to the social chapter. </w:t>
      </w:r>
    </w:p>
    <w:p w:rsidR="00E46643" w:rsidRPr="009E19FA" w:rsidRDefault="00E46643" w:rsidP="009E19FA">
      <w:pPr>
        <w:rPr>
          <w:sz w:val="32"/>
          <w:szCs w:val="32"/>
          <w:lang w:val="en-GB"/>
        </w:rPr>
      </w:pPr>
    </w:p>
    <w:sectPr w:rsidR="00E46643" w:rsidRPr="009E19FA" w:rsidSect="00240610">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643" w:rsidRDefault="00E46643" w:rsidP="00E46643">
      <w:pPr>
        <w:spacing w:after="0" w:line="240" w:lineRule="auto"/>
      </w:pPr>
      <w:r>
        <w:separator/>
      </w:r>
    </w:p>
  </w:endnote>
  <w:endnote w:type="continuationSeparator" w:id="0">
    <w:p w:rsidR="00E46643" w:rsidRDefault="00E46643" w:rsidP="00E466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161710"/>
      <w:docPartObj>
        <w:docPartGallery w:val="Page Numbers (Bottom of Page)"/>
        <w:docPartUnique/>
      </w:docPartObj>
    </w:sdtPr>
    <w:sdtEndPr>
      <w:rPr>
        <w:noProof/>
      </w:rPr>
    </w:sdtEndPr>
    <w:sdtContent>
      <w:p w:rsidR="00E46643" w:rsidRDefault="00240610">
        <w:pPr>
          <w:pStyle w:val="Footer"/>
          <w:jc w:val="center"/>
        </w:pPr>
        <w:r>
          <w:fldChar w:fldCharType="begin"/>
        </w:r>
        <w:r w:rsidR="00E46643">
          <w:instrText xml:space="preserve"> PAGE   \* MERGEFORMAT </w:instrText>
        </w:r>
        <w:r>
          <w:fldChar w:fldCharType="separate"/>
        </w:r>
        <w:r w:rsidR="00B66D43">
          <w:rPr>
            <w:noProof/>
          </w:rPr>
          <w:t>6</w:t>
        </w:r>
        <w:r>
          <w:rPr>
            <w:noProof/>
          </w:rPr>
          <w:fldChar w:fldCharType="end"/>
        </w:r>
      </w:p>
    </w:sdtContent>
  </w:sdt>
  <w:p w:rsidR="00E46643" w:rsidRDefault="00E466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643" w:rsidRDefault="00E46643" w:rsidP="00E46643">
      <w:pPr>
        <w:spacing w:after="0" w:line="240" w:lineRule="auto"/>
      </w:pPr>
      <w:r>
        <w:separator/>
      </w:r>
    </w:p>
  </w:footnote>
  <w:footnote w:type="continuationSeparator" w:id="0">
    <w:p w:rsidR="00E46643" w:rsidRDefault="00E46643" w:rsidP="00E466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9165A"/>
    <w:multiLevelType w:val="hybridMultilevel"/>
    <w:tmpl w:val="792CE98E"/>
    <w:lvl w:ilvl="0" w:tplc="7CE625A2">
      <w:start w:val="1"/>
      <w:numFmt w:val="bullet"/>
      <w:lvlText w:val=""/>
      <w:lvlJc w:val="left"/>
      <w:pPr>
        <w:tabs>
          <w:tab w:val="num" w:pos="720"/>
        </w:tabs>
        <w:ind w:left="720" w:hanging="360"/>
      </w:pPr>
      <w:rPr>
        <w:rFonts w:ascii="Symbol" w:hAnsi="Symbol" w:hint="default"/>
      </w:rPr>
    </w:lvl>
    <w:lvl w:ilvl="1" w:tplc="3068598C" w:tentative="1">
      <w:start w:val="1"/>
      <w:numFmt w:val="bullet"/>
      <w:lvlText w:val=""/>
      <w:lvlJc w:val="left"/>
      <w:pPr>
        <w:tabs>
          <w:tab w:val="num" w:pos="1440"/>
        </w:tabs>
        <w:ind w:left="1440" w:hanging="360"/>
      </w:pPr>
      <w:rPr>
        <w:rFonts w:ascii="Symbol" w:hAnsi="Symbol" w:hint="default"/>
      </w:rPr>
    </w:lvl>
    <w:lvl w:ilvl="2" w:tplc="ACA6E9BA" w:tentative="1">
      <w:start w:val="1"/>
      <w:numFmt w:val="bullet"/>
      <w:lvlText w:val=""/>
      <w:lvlJc w:val="left"/>
      <w:pPr>
        <w:tabs>
          <w:tab w:val="num" w:pos="2160"/>
        </w:tabs>
        <w:ind w:left="2160" w:hanging="360"/>
      </w:pPr>
      <w:rPr>
        <w:rFonts w:ascii="Symbol" w:hAnsi="Symbol" w:hint="default"/>
      </w:rPr>
    </w:lvl>
    <w:lvl w:ilvl="3" w:tplc="127C9D16" w:tentative="1">
      <w:start w:val="1"/>
      <w:numFmt w:val="bullet"/>
      <w:lvlText w:val=""/>
      <w:lvlJc w:val="left"/>
      <w:pPr>
        <w:tabs>
          <w:tab w:val="num" w:pos="2880"/>
        </w:tabs>
        <w:ind w:left="2880" w:hanging="360"/>
      </w:pPr>
      <w:rPr>
        <w:rFonts w:ascii="Symbol" w:hAnsi="Symbol" w:hint="default"/>
      </w:rPr>
    </w:lvl>
    <w:lvl w:ilvl="4" w:tplc="E5C8B4BE" w:tentative="1">
      <w:start w:val="1"/>
      <w:numFmt w:val="bullet"/>
      <w:lvlText w:val=""/>
      <w:lvlJc w:val="left"/>
      <w:pPr>
        <w:tabs>
          <w:tab w:val="num" w:pos="3600"/>
        </w:tabs>
        <w:ind w:left="3600" w:hanging="360"/>
      </w:pPr>
      <w:rPr>
        <w:rFonts w:ascii="Symbol" w:hAnsi="Symbol" w:hint="default"/>
      </w:rPr>
    </w:lvl>
    <w:lvl w:ilvl="5" w:tplc="841471DE" w:tentative="1">
      <w:start w:val="1"/>
      <w:numFmt w:val="bullet"/>
      <w:lvlText w:val=""/>
      <w:lvlJc w:val="left"/>
      <w:pPr>
        <w:tabs>
          <w:tab w:val="num" w:pos="4320"/>
        </w:tabs>
        <w:ind w:left="4320" w:hanging="360"/>
      </w:pPr>
      <w:rPr>
        <w:rFonts w:ascii="Symbol" w:hAnsi="Symbol" w:hint="default"/>
      </w:rPr>
    </w:lvl>
    <w:lvl w:ilvl="6" w:tplc="EAD471E8" w:tentative="1">
      <w:start w:val="1"/>
      <w:numFmt w:val="bullet"/>
      <w:lvlText w:val=""/>
      <w:lvlJc w:val="left"/>
      <w:pPr>
        <w:tabs>
          <w:tab w:val="num" w:pos="5040"/>
        </w:tabs>
        <w:ind w:left="5040" w:hanging="360"/>
      </w:pPr>
      <w:rPr>
        <w:rFonts w:ascii="Symbol" w:hAnsi="Symbol" w:hint="default"/>
      </w:rPr>
    </w:lvl>
    <w:lvl w:ilvl="7" w:tplc="73C61416" w:tentative="1">
      <w:start w:val="1"/>
      <w:numFmt w:val="bullet"/>
      <w:lvlText w:val=""/>
      <w:lvlJc w:val="left"/>
      <w:pPr>
        <w:tabs>
          <w:tab w:val="num" w:pos="5760"/>
        </w:tabs>
        <w:ind w:left="5760" w:hanging="360"/>
      </w:pPr>
      <w:rPr>
        <w:rFonts w:ascii="Symbol" w:hAnsi="Symbol" w:hint="default"/>
      </w:rPr>
    </w:lvl>
    <w:lvl w:ilvl="8" w:tplc="1278DEAA" w:tentative="1">
      <w:start w:val="1"/>
      <w:numFmt w:val="bullet"/>
      <w:lvlText w:val=""/>
      <w:lvlJc w:val="left"/>
      <w:pPr>
        <w:tabs>
          <w:tab w:val="num" w:pos="6480"/>
        </w:tabs>
        <w:ind w:left="6480" w:hanging="360"/>
      </w:pPr>
      <w:rPr>
        <w:rFonts w:ascii="Symbol" w:hAnsi="Symbol" w:hint="default"/>
      </w:rPr>
    </w:lvl>
  </w:abstractNum>
  <w:abstractNum w:abstractNumId="1">
    <w:nsid w:val="7FCD293B"/>
    <w:multiLevelType w:val="hybridMultilevel"/>
    <w:tmpl w:val="CCA4275A"/>
    <w:lvl w:ilvl="0" w:tplc="08667F28">
      <w:start w:val="1"/>
      <w:numFmt w:val="bullet"/>
      <w:lvlText w:val=""/>
      <w:lvlJc w:val="left"/>
      <w:pPr>
        <w:tabs>
          <w:tab w:val="num" w:pos="720"/>
        </w:tabs>
        <w:ind w:left="720" w:hanging="360"/>
      </w:pPr>
      <w:rPr>
        <w:rFonts w:ascii="Symbol" w:hAnsi="Symbol" w:hint="default"/>
      </w:rPr>
    </w:lvl>
    <w:lvl w:ilvl="1" w:tplc="8EE6A28C" w:tentative="1">
      <w:start w:val="1"/>
      <w:numFmt w:val="bullet"/>
      <w:lvlText w:val=""/>
      <w:lvlJc w:val="left"/>
      <w:pPr>
        <w:tabs>
          <w:tab w:val="num" w:pos="1440"/>
        </w:tabs>
        <w:ind w:left="1440" w:hanging="360"/>
      </w:pPr>
      <w:rPr>
        <w:rFonts w:ascii="Symbol" w:hAnsi="Symbol" w:hint="default"/>
      </w:rPr>
    </w:lvl>
    <w:lvl w:ilvl="2" w:tplc="5A8AD06C" w:tentative="1">
      <w:start w:val="1"/>
      <w:numFmt w:val="bullet"/>
      <w:lvlText w:val=""/>
      <w:lvlJc w:val="left"/>
      <w:pPr>
        <w:tabs>
          <w:tab w:val="num" w:pos="2160"/>
        </w:tabs>
        <w:ind w:left="2160" w:hanging="360"/>
      </w:pPr>
      <w:rPr>
        <w:rFonts w:ascii="Symbol" w:hAnsi="Symbol" w:hint="default"/>
      </w:rPr>
    </w:lvl>
    <w:lvl w:ilvl="3" w:tplc="5A4205F4" w:tentative="1">
      <w:start w:val="1"/>
      <w:numFmt w:val="bullet"/>
      <w:lvlText w:val=""/>
      <w:lvlJc w:val="left"/>
      <w:pPr>
        <w:tabs>
          <w:tab w:val="num" w:pos="2880"/>
        </w:tabs>
        <w:ind w:left="2880" w:hanging="360"/>
      </w:pPr>
      <w:rPr>
        <w:rFonts w:ascii="Symbol" w:hAnsi="Symbol" w:hint="default"/>
      </w:rPr>
    </w:lvl>
    <w:lvl w:ilvl="4" w:tplc="C9DCB472" w:tentative="1">
      <w:start w:val="1"/>
      <w:numFmt w:val="bullet"/>
      <w:lvlText w:val=""/>
      <w:lvlJc w:val="left"/>
      <w:pPr>
        <w:tabs>
          <w:tab w:val="num" w:pos="3600"/>
        </w:tabs>
        <w:ind w:left="3600" w:hanging="360"/>
      </w:pPr>
      <w:rPr>
        <w:rFonts w:ascii="Symbol" w:hAnsi="Symbol" w:hint="default"/>
      </w:rPr>
    </w:lvl>
    <w:lvl w:ilvl="5" w:tplc="F7BC8616" w:tentative="1">
      <w:start w:val="1"/>
      <w:numFmt w:val="bullet"/>
      <w:lvlText w:val=""/>
      <w:lvlJc w:val="left"/>
      <w:pPr>
        <w:tabs>
          <w:tab w:val="num" w:pos="4320"/>
        </w:tabs>
        <w:ind w:left="4320" w:hanging="360"/>
      </w:pPr>
      <w:rPr>
        <w:rFonts w:ascii="Symbol" w:hAnsi="Symbol" w:hint="default"/>
      </w:rPr>
    </w:lvl>
    <w:lvl w:ilvl="6" w:tplc="7F44FC7A" w:tentative="1">
      <w:start w:val="1"/>
      <w:numFmt w:val="bullet"/>
      <w:lvlText w:val=""/>
      <w:lvlJc w:val="left"/>
      <w:pPr>
        <w:tabs>
          <w:tab w:val="num" w:pos="5040"/>
        </w:tabs>
        <w:ind w:left="5040" w:hanging="360"/>
      </w:pPr>
      <w:rPr>
        <w:rFonts w:ascii="Symbol" w:hAnsi="Symbol" w:hint="default"/>
      </w:rPr>
    </w:lvl>
    <w:lvl w:ilvl="7" w:tplc="6DE460CC" w:tentative="1">
      <w:start w:val="1"/>
      <w:numFmt w:val="bullet"/>
      <w:lvlText w:val=""/>
      <w:lvlJc w:val="left"/>
      <w:pPr>
        <w:tabs>
          <w:tab w:val="num" w:pos="5760"/>
        </w:tabs>
        <w:ind w:left="5760" w:hanging="360"/>
      </w:pPr>
      <w:rPr>
        <w:rFonts w:ascii="Symbol" w:hAnsi="Symbol" w:hint="default"/>
      </w:rPr>
    </w:lvl>
    <w:lvl w:ilvl="8" w:tplc="027C90CA"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E19FA"/>
    <w:rsid w:val="00240610"/>
    <w:rsid w:val="009E19FA"/>
    <w:rsid w:val="00B66D43"/>
    <w:rsid w:val="00E46643"/>
    <w:rsid w:val="00F648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6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19F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466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643"/>
  </w:style>
  <w:style w:type="paragraph" w:styleId="Footer">
    <w:name w:val="footer"/>
    <w:basedOn w:val="Normal"/>
    <w:link w:val="FooterChar"/>
    <w:uiPriority w:val="99"/>
    <w:unhideWhenUsed/>
    <w:rsid w:val="00E466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6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19F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466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643"/>
  </w:style>
  <w:style w:type="paragraph" w:styleId="Footer">
    <w:name w:val="footer"/>
    <w:basedOn w:val="Normal"/>
    <w:link w:val="FooterChar"/>
    <w:uiPriority w:val="99"/>
    <w:unhideWhenUsed/>
    <w:rsid w:val="00E466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643"/>
  </w:style>
</w:styles>
</file>

<file path=word/webSettings.xml><?xml version="1.0" encoding="utf-8"?>
<w:webSettings xmlns:r="http://schemas.openxmlformats.org/officeDocument/2006/relationships" xmlns:w="http://schemas.openxmlformats.org/wordprocessingml/2006/main">
  <w:divs>
    <w:div w:id="77945737">
      <w:bodyDiv w:val="1"/>
      <w:marLeft w:val="0"/>
      <w:marRight w:val="0"/>
      <w:marTop w:val="0"/>
      <w:marBottom w:val="0"/>
      <w:divBdr>
        <w:top w:val="none" w:sz="0" w:space="0" w:color="auto"/>
        <w:left w:val="none" w:sz="0" w:space="0" w:color="auto"/>
        <w:bottom w:val="none" w:sz="0" w:space="0" w:color="auto"/>
        <w:right w:val="none" w:sz="0" w:space="0" w:color="auto"/>
      </w:divBdr>
      <w:divsChild>
        <w:div w:id="630287179">
          <w:marLeft w:val="547"/>
          <w:marRight w:val="0"/>
          <w:marTop w:val="86"/>
          <w:marBottom w:val="200"/>
          <w:divBdr>
            <w:top w:val="none" w:sz="0" w:space="0" w:color="auto"/>
            <w:left w:val="none" w:sz="0" w:space="0" w:color="auto"/>
            <w:bottom w:val="none" w:sz="0" w:space="0" w:color="auto"/>
            <w:right w:val="none" w:sz="0" w:space="0" w:color="auto"/>
          </w:divBdr>
        </w:div>
        <w:div w:id="2020346910">
          <w:marLeft w:val="547"/>
          <w:marRight w:val="0"/>
          <w:marTop w:val="86"/>
          <w:marBottom w:val="200"/>
          <w:divBdr>
            <w:top w:val="none" w:sz="0" w:space="0" w:color="auto"/>
            <w:left w:val="none" w:sz="0" w:space="0" w:color="auto"/>
            <w:bottom w:val="none" w:sz="0" w:space="0" w:color="auto"/>
            <w:right w:val="none" w:sz="0" w:space="0" w:color="auto"/>
          </w:divBdr>
        </w:div>
        <w:div w:id="1852255130">
          <w:marLeft w:val="547"/>
          <w:marRight w:val="0"/>
          <w:marTop w:val="86"/>
          <w:marBottom w:val="200"/>
          <w:divBdr>
            <w:top w:val="none" w:sz="0" w:space="0" w:color="auto"/>
            <w:left w:val="none" w:sz="0" w:space="0" w:color="auto"/>
            <w:bottom w:val="none" w:sz="0" w:space="0" w:color="auto"/>
            <w:right w:val="none" w:sz="0" w:space="0" w:color="auto"/>
          </w:divBdr>
        </w:div>
        <w:div w:id="1276213959">
          <w:marLeft w:val="547"/>
          <w:marRight w:val="0"/>
          <w:marTop w:val="86"/>
          <w:marBottom w:val="200"/>
          <w:divBdr>
            <w:top w:val="none" w:sz="0" w:space="0" w:color="auto"/>
            <w:left w:val="none" w:sz="0" w:space="0" w:color="auto"/>
            <w:bottom w:val="none" w:sz="0" w:space="0" w:color="auto"/>
            <w:right w:val="none" w:sz="0" w:space="0" w:color="auto"/>
          </w:divBdr>
        </w:div>
        <w:div w:id="1505629557">
          <w:marLeft w:val="547"/>
          <w:marRight w:val="0"/>
          <w:marTop w:val="86"/>
          <w:marBottom w:val="200"/>
          <w:divBdr>
            <w:top w:val="none" w:sz="0" w:space="0" w:color="auto"/>
            <w:left w:val="none" w:sz="0" w:space="0" w:color="auto"/>
            <w:bottom w:val="none" w:sz="0" w:space="0" w:color="auto"/>
            <w:right w:val="none" w:sz="0" w:space="0" w:color="auto"/>
          </w:divBdr>
        </w:div>
        <w:div w:id="2062828883">
          <w:marLeft w:val="547"/>
          <w:marRight w:val="0"/>
          <w:marTop w:val="86"/>
          <w:marBottom w:val="200"/>
          <w:divBdr>
            <w:top w:val="none" w:sz="0" w:space="0" w:color="auto"/>
            <w:left w:val="none" w:sz="0" w:space="0" w:color="auto"/>
            <w:bottom w:val="none" w:sz="0" w:space="0" w:color="auto"/>
            <w:right w:val="none" w:sz="0" w:space="0" w:color="auto"/>
          </w:divBdr>
        </w:div>
        <w:div w:id="1000472887">
          <w:marLeft w:val="547"/>
          <w:marRight w:val="0"/>
          <w:marTop w:val="86"/>
          <w:marBottom w:val="200"/>
          <w:divBdr>
            <w:top w:val="none" w:sz="0" w:space="0" w:color="auto"/>
            <w:left w:val="none" w:sz="0" w:space="0" w:color="auto"/>
            <w:bottom w:val="none" w:sz="0" w:space="0" w:color="auto"/>
            <w:right w:val="none" w:sz="0" w:space="0" w:color="auto"/>
          </w:divBdr>
        </w:div>
        <w:div w:id="584068934">
          <w:marLeft w:val="547"/>
          <w:marRight w:val="0"/>
          <w:marTop w:val="86"/>
          <w:marBottom w:val="200"/>
          <w:divBdr>
            <w:top w:val="none" w:sz="0" w:space="0" w:color="auto"/>
            <w:left w:val="none" w:sz="0" w:space="0" w:color="auto"/>
            <w:bottom w:val="none" w:sz="0" w:space="0" w:color="auto"/>
            <w:right w:val="none" w:sz="0" w:space="0" w:color="auto"/>
          </w:divBdr>
        </w:div>
        <w:div w:id="1357077921">
          <w:marLeft w:val="547"/>
          <w:marRight w:val="0"/>
          <w:marTop w:val="86"/>
          <w:marBottom w:val="200"/>
          <w:divBdr>
            <w:top w:val="none" w:sz="0" w:space="0" w:color="auto"/>
            <w:left w:val="none" w:sz="0" w:space="0" w:color="auto"/>
            <w:bottom w:val="none" w:sz="0" w:space="0" w:color="auto"/>
            <w:right w:val="none" w:sz="0" w:space="0" w:color="auto"/>
          </w:divBdr>
        </w:div>
      </w:divsChild>
    </w:div>
    <w:div w:id="208078878">
      <w:bodyDiv w:val="1"/>
      <w:marLeft w:val="0"/>
      <w:marRight w:val="0"/>
      <w:marTop w:val="0"/>
      <w:marBottom w:val="0"/>
      <w:divBdr>
        <w:top w:val="none" w:sz="0" w:space="0" w:color="auto"/>
        <w:left w:val="none" w:sz="0" w:space="0" w:color="auto"/>
        <w:bottom w:val="none" w:sz="0" w:space="0" w:color="auto"/>
        <w:right w:val="none" w:sz="0" w:space="0" w:color="auto"/>
      </w:divBdr>
    </w:div>
    <w:div w:id="1366759825">
      <w:bodyDiv w:val="1"/>
      <w:marLeft w:val="0"/>
      <w:marRight w:val="0"/>
      <w:marTop w:val="0"/>
      <w:marBottom w:val="0"/>
      <w:divBdr>
        <w:top w:val="none" w:sz="0" w:space="0" w:color="auto"/>
        <w:left w:val="none" w:sz="0" w:space="0" w:color="auto"/>
        <w:bottom w:val="none" w:sz="0" w:space="0" w:color="auto"/>
        <w:right w:val="none" w:sz="0" w:space="0" w:color="auto"/>
      </w:divBdr>
    </w:div>
    <w:div w:id="1483421834">
      <w:bodyDiv w:val="1"/>
      <w:marLeft w:val="0"/>
      <w:marRight w:val="0"/>
      <w:marTop w:val="0"/>
      <w:marBottom w:val="0"/>
      <w:divBdr>
        <w:top w:val="none" w:sz="0" w:space="0" w:color="auto"/>
        <w:left w:val="none" w:sz="0" w:space="0" w:color="auto"/>
        <w:bottom w:val="none" w:sz="0" w:space="0" w:color="auto"/>
        <w:right w:val="none" w:sz="0" w:space="0" w:color="auto"/>
      </w:divBdr>
    </w:div>
    <w:div w:id="155747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se046</cp:lastModifiedBy>
  <cp:revision>3</cp:revision>
  <dcterms:created xsi:type="dcterms:W3CDTF">2017-08-30T11:08:00Z</dcterms:created>
  <dcterms:modified xsi:type="dcterms:W3CDTF">2018-09-19T15:27:00Z</dcterms:modified>
</cp:coreProperties>
</file>