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DCE94" w14:textId="7746FD90" w:rsidR="001A1433" w:rsidRDefault="001A1433">
      <w:r>
        <w:t>Caleb Salmon 2217676</w:t>
      </w:r>
    </w:p>
    <w:p w14:paraId="6A144F5F" w14:textId="77777777" w:rsidR="001A1433" w:rsidRDefault="001A1433"/>
    <w:p w14:paraId="5CB6825A" w14:textId="152E82B9" w:rsidR="007D5825" w:rsidRDefault="006D0B32">
      <w:r>
        <w:t>Evaluate the concept of consent in the UK</w:t>
      </w:r>
      <w:r w:rsidR="00A93CC4">
        <w:t xml:space="preserve"> and it’s role in cases involving battery.</w:t>
      </w:r>
    </w:p>
    <w:p w14:paraId="1E73B53D" w14:textId="77777777" w:rsidR="00C55653" w:rsidRDefault="00C55653"/>
    <w:p w14:paraId="1169EC07" w14:textId="2FB0D34A" w:rsidR="00C55653" w:rsidRDefault="009C35A4" w:rsidP="009F3622">
      <w:pPr>
        <w:spacing w:line="480" w:lineRule="auto"/>
      </w:pPr>
      <w:r>
        <w:t>The definition of con</w:t>
      </w:r>
      <w:r w:rsidR="003A1BE5">
        <w:t>s</w:t>
      </w:r>
      <w:r>
        <w:t xml:space="preserve">ent within legislative terms is </w:t>
      </w:r>
      <w:r w:rsidR="002B648A">
        <w:t>described as “</w:t>
      </w:r>
      <w:r w:rsidR="00950FB2">
        <w:t xml:space="preserve">a voluntary agreement </w:t>
      </w:r>
      <w:r w:rsidR="00564E7D">
        <w:t>to another’s proposition” (</w:t>
      </w:r>
      <w:r w:rsidR="009E4D13">
        <w:t xml:space="preserve">Hill N.D) </w:t>
      </w:r>
      <w:r w:rsidR="00A44420">
        <w:t xml:space="preserve">and within the </w:t>
      </w:r>
      <w:r w:rsidR="00AF7FD7">
        <w:t xml:space="preserve">United Kingdom’s framework of law “consent” is often </w:t>
      </w:r>
      <w:r w:rsidR="000934F5">
        <w:t xml:space="preserve">used </w:t>
      </w:r>
      <w:r w:rsidR="0062184C">
        <w:t xml:space="preserve">as a common defence towards the accusation </w:t>
      </w:r>
      <w:r w:rsidR="00394579">
        <w:t xml:space="preserve">of battery within the courts. </w:t>
      </w:r>
      <w:r w:rsidR="00EA6DB7">
        <w:t xml:space="preserve"> This has </w:t>
      </w:r>
      <w:r w:rsidR="001C50B8">
        <w:t xml:space="preserve">proceeded to be an often controversial topic due to the </w:t>
      </w:r>
      <w:r w:rsidR="00E91901">
        <w:t xml:space="preserve">transparency of the </w:t>
      </w:r>
      <w:r w:rsidR="00E05727">
        <w:t xml:space="preserve">“agreement” as </w:t>
      </w:r>
      <w:r w:rsidR="00801FC5">
        <w:t xml:space="preserve">it does not necessarily need to </w:t>
      </w:r>
      <w:r w:rsidR="00CE16C9">
        <w:t>be through the use</w:t>
      </w:r>
      <w:r w:rsidR="00E509EF">
        <w:t xml:space="preserve"> of words but via </w:t>
      </w:r>
      <w:r w:rsidR="00C10EB8">
        <w:t xml:space="preserve">the </w:t>
      </w:r>
      <w:r w:rsidR="006132DC">
        <w:t xml:space="preserve">inference of one party to another </w:t>
      </w:r>
      <w:r w:rsidR="008C1A3E">
        <w:t xml:space="preserve">which may lead to some </w:t>
      </w:r>
      <w:r w:rsidR="00AD5666">
        <w:t>misinterpretation creating the argument for battery within court.</w:t>
      </w:r>
    </w:p>
    <w:p w14:paraId="65330499" w14:textId="77777777" w:rsidR="003174E8" w:rsidRDefault="003174E8"/>
    <w:p w14:paraId="5BFE2FCB" w14:textId="5CD5AF83" w:rsidR="003E5DBF" w:rsidRDefault="007D0125" w:rsidP="009F3622">
      <w:pPr>
        <w:spacing w:line="480" w:lineRule="auto"/>
      </w:pPr>
      <w:r>
        <w:t>An act of battery is a serious physical offence within the United Kingdom criminal justice system and carry a punishment of “</w:t>
      </w:r>
      <w:r w:rsidR="00A56F5B">
        <w:t>up to 6 months imprisonment and a £5,000 fine”</w:t>
      </w:r>
      <w:r w:rsidR="0050234A">
        <w:t xml:space="preserve">(Yates 2021). Within recent years </w:t>
      </w:r>
      <w:r w:rsidR="00C40F8C">
        <w:t>many</w:t>
      </w:r>
      <w:r w:rsidR="00F73F50">
        <w:t xml:space="preserve"> cases of battery have occurred; all of which have </w:t>
      </w:r>
      <w:r w:rsidR="003E5DBF">
        <w:t>different circumstances</w:t>
      </w:r>
      <w:r w:rsidR="00863A08">
        <w:t xml:space="preserve">. Within the case </w:t>
      </w:r>
      <w:r w:rsidR="00F1613B">
        <w:t xml:space="preserve">of </w:t>
      </w:r>
      <w:proofErr w:type="spellStart"/>
      <w:r w:rsidR="00F1613B">
        <w:t>Haystead</w:t>
      </w:r>
      <w:proofErr w:type="spellEnd"/>
      <w:r w:rsidR="00F1613B">
        <w:t xml:space="preserve"> V DPP – a woman carrying her </w:t>
      </w:r>
      <w:r w:rsidR="00445FB6">
        <w:t xml:space="preserve">child was subject to the act of being assaulted via </w:t>
      </w:r>
      <w:r w:rsidR="009F481C">
        <w:t xml:space="preserve">being punched twice by a male police officer. This action resulted in her dropping her child due to the force of the </w:t>
      </w:r>
      <w:r w:rsidR="002D69C9">
        <w:t>punches. The defendant was later charged with “</w:t>
      </w:r>
      <w:r w:rsidR="006C7D52">
        <w:t>reckless and not intentional battery” (</w:t>
      </w:r>
      <w:proofErr w:type="spellStart"/>
      <w:r w:rsidR="006C7D52">
        <w:t>lawteacher</w:t>
      </w:r>
      <w:proofErr w:type="spellEnd"/>
      <w:r w:rsidR="006C7D52">
        <w:t xml:space="preserve"> 2021) within </w:t>
      </w:r>
      <w:r w:rsidR="00204C7B">
        <w:t xml:space="preserve">the context of this case , </w:t>
      </w:r>
      <w:r w:rsidR="00373954">
        <w:t xml:space="preserve">the court founded that </w:t>
      </w:r>
      <w:r w:rsidR="00204C7B">
        <w:t xml:space="preserve">consent was not given </w:t>
      </w:r>
      <w:r w:rsidR="00D90E8A">
        <w:t xml:space="preserve">by the claimant for the police officer </w:t>
      </w:r>
      <w:r w:rsidR="00A44AE1">
        <w:t xml:space="preserve">to contact the defendant with physical force, leading to the accusation and charge </w:t>
      </w:r>
      <w:r w:rsidR="00F67837">
        <w:t xml:space="preserve">of battery. </w:t>
      </w:r>
      <w:r w:rsidR="008036AE">
        <w:t xml:space="preserve"> </w:t>
      </w:r>
    </w:p>
    <w:p w14:paraId="0C0C37C3" w14:textId="77777777" w:rsidR="008036AE" w:rsidRDefault="008036AE" w:rsidP="009F3622">
      <w:pPr>
        <w:spacing w:line="480" w:lineRule="auto"/>
      </w:pPr>
    </w:p>
    <w:p w14:paraId="6AFEECA5" w14:textId="37450712" w:rsidR="00DF029B" w:rsidRDefault="008036AE" w:rsidP="009F3622">
      <w:pPr>
        <w:spacing w:line="480" w:lineRule="auto"/>
        <w:rPr>
          <w:rFonts w:eastAsia="Times New Roman" w:cs="Arial"/>
          <w:color w:val="000000" w:themeColor="text1"/>
        </w:rPr>
      </w:pPr>
      <w:r>
        <w:t xml:space="preserve">The </w:t>
      </w:r>
      <w:r w:rsidR="00447FA4">
        <w:t>argument of consent</w:t>
      </w:r>
      <w:r w:rsidR="000A655A">
        <w:t xml:space="preserve"> within the accusation of battery</w:t>
      </w:r>
      <w:r w:rsidR="00447FA4">
        <w:t xml:space="preserve"> </w:t>
      </w:r>
      <w:r w:rsidR="0041383A">
        <w:t xml:space="preserve">is an extremely complex </w:t>
      </w:r>
      <w:r w:rsidR="00DE4221">
        <w:t xml:space="preserve">one </w:t>
      </w:r>
      <w:r w:rsidR="0005687F">
        <w:t xml:space="preserve">. From my personal perspective I believe that it should vary from case to case in the </w:t>
      </w:r>
      <w:r w:rsidR="00CB31A5">
        <w:t>judgment of something as serious as battery</w:t>
      </w:r>
      <w:r w:rsidR="003C0E90">
        <w:t xml:space="preserve">, allowing </w:t>
      </w:r>
      <w:r w:rsidR="00941EB9">
        <w:t xml:space="preserve">for the facts and evidence to dictate whether the act of consent was present. </w:t>
      </w:r>
      <w:r w:rsidR="001A5247">
        <w:t xml:space="preserve">A major argument for the </w:t>
      </w:r>
      <w:r w:rsidR="00A4669D">
        <w:t>act of giving consent to receive physical contact is that within sport</w:t>
      </w:r>
      <w:r w:rsidR="00DE4221">
        <w:t xml:space="preserve"> and recreational activities</w:t>
      </w:r>
      <w:r w:rsidR="00A4669D">
        <w:t xml:space="preserve">. As outside of the context of receiving physical contact </w:t>
      </w:r>
      <w:r w:rsidR="007A0769">
        <w:t>without context outside of sport</w:t>
      </w:r>
      <w:r w:rsidR="00120631">
        <w:t xml:space="preserve"> or recreational activity </w:t>
      </w:r>
      <w:r w:rsidR="007A0769">
        <w:t xml:space="preserve">may be perceived as assault or battery. However within the case of </w:t>
      </w:r>
      <w:r w:rsidR="000D391F">
        <w:t>“</w:t>
      </w:r>
      <w:r w:rsidR="00B05F88">
        <w:t>R v Barnes</w:t>
      </w:r>
      <w:r w:rsidR="002F5C8F">
        <w:t xml:space="preserve"> 2004”</w:t>
      </w:r>
      <w:r w:rsidR="008146EE">
        <w:t xml:space="preserve">, where a footballer had injured a opponent whilst </w:t>
      </w:r>
      <w:r w:rsidR="00615EF6">
        <w:t xml:space="preserve">tackling an </w:t>
      </w:r>
      <w:r w:rsidR="00615EF6">
        <w:lastRenderedPageBreak/>
        <w:t xml:space="preserve">opposition player in a </w:t>
      </w:r>
      <w:r w:rsidR="00C66A4A">
        <w:t>fair challenge</w:t>
      </w:r>
      <w:r w:rsidR="002F5C8F">
        <w:t xml:space="preserve"> was originally convicted for battery and grievous bodily harm, but later had his conviction quashed due to </w:t>
      </w:r>
      <w:r w:rsidR="00AA6651">
        <w:t>the “</w:t>
      </w:r>
      <w:r w:rsidR="00AA6651" w:rsidRPr="00B46ECF">
        <w:rPr>
          <w:rFonts w:eastAsia="Times New Roman" w:cs="Arial"/>
          <w:color w:val="000000" w:themeColor="text1"/>
        </w:rPr>
        <w:t>unclear guidance in this case rendered the conviction unsafe</w:t>
      </w:r>
      <w:r w:rsidR="00B46ECF">
        <w:rPr>
          <w:rFonts w:eastAsia="Times New Roman" w:cs="Arial"/>
          <w:color w:val="000000" w:themeColor="text1"/>
        </w:rPr>
        <w:t xml:space="preserve">” (oxbridge law team 2023). </w:t>
      </w:r>
    </w:p>
    <w:p w14:paraId="5AC6669F" w14:textId="77777777" w:rsidR="00DF029B" w:rsidRDefault="00DF029B" w:rsidP="009F3622">
      <w:pPr>
        <w:spacing w:line="480" w:lineRule="auto"/>
        <w:rPr>
          <w:rFonts w:eastAsia="Times New Roman" w:cs="Arial"/>
          <w:color w:val="000000" w:themeColor="text1"/>
        </w:rPr>
      </w:pPr>
    </w:p>
    <w:p w14:paraId="2D17D0E6" w14:textId="4FF2576F" w:rsidR="00DF029B" w:rsidRDefault="00DF029B" w:rsidP="009F3622">
      <w:pPr>
        <w:spacing w:line="480" w:lineRule="auto"/>
        <w:rPr>
          <w:rFonts w:eastAsia="Times New Roman"/>
          <w:color w:val="000000" w:themeColor="text1"/>
          <w:shd w:val="clear" w:color="auto" w:fill="FFFFFF"/>
        </w:rPr>
      </w:pPr>
      <w:r>
        <w:rPr>
          <w:color w:val="000000"/>
        </w:rPr>
        <w:t>On the other hand,</w:t>
      </w:r>
      <w:r w:rsidRPr="00DF029B">
        <w:rPr>
          <w:color w:val="000000"/>
        </w:rPr>
        <w:t xml:space="preserve"> there are instances where obtaining valid consent may be challenging due to various factors such as coercion or incapacity to provide </w:t>
      </w:r>
      <w:r w:rsidR="00120631">
        <w:rPr>
          <w:color w:val="000000"/>
        </w:rPr>
        <w:t xml:space="preserve">an </w:t>
      </w:r>
      <w:r w:rsidRPr="00DF029B">
        <w:rPr>
          <w:color w:val="000000"/>
        </w:rPr>
        <w:t>informed agreement. This raises ethical concerns regarding situations where individuals may not be able to give genuine consent due to power imbalances or impaired judgment.</w:t>
      </w:r>
      <w:r w:rsidR="005B1FD9">
        <w:rPr>
          <w:color w:val="000000"/>
        </w:rPr>
        <w:t xml:space="preserve"> Examples where individuals may </w:t>
      </w:r>
      <w:r w:rsidR="00616F4A">
        <w:rPr>
          <w:color w:val="000000"/>
        </w:rPr>
        <w:t>lack</w:t>
      </w:r>
      <w:r w:rsidR="005B1FD9">
        <w:rPr>
          <w:color w:val="000000"/>
        </w:rPr>
        <w:t xml:space="preserve"> </w:t>
      </w:r>
      <w:r w:rsidR="00920266">
        <w:rPr>
          <w:color w:val="000000"/>
        </w:rPr>
        <w:t>mentally capa</w:t>
      </w:r>
      <w:r w:rsidR="00616F4A">
        <w:rPr>
          <w:color w:val="000000"/>
        </w:rPr>
        <w:t>city</w:t>
      </w:r>
      <w:r w:rsidR="00920266">
        <w:rPr>
          <w:color w:val="000000"/>
        </w:rPr>
        <w:t xml:space="preserve"> to provide consent</w:t>
      </w:r>
      <w:r w:rsidR="0030203C">
        <w:rPr>
          <w:color w:val="000000"/>
        </w:rPr>
        <w:t xml:space="preserve"> is an example of impaired judgement causing a possible</w:t>
      </w:r>
      <w:r w:rsidR="00616F4A">
        <w:rPr>
          <w:color w:val="000000"/>
        </w:rPr>
        <w:t xml:space="preserve"> act of battery and</w:t>
      </w:r>
      <w:r w:rsidR="0030203C">
        <w:rPr>
          <w:color w:val="000000"/>
        </w:rPr>
        <w:t xml:space="preserve"> allowing</w:t>
      </w:r>
      <w:r w:rsidR="00616F4A">
        <w:rPr>
          <w:color w:val="000000"/>
        </w:rPr>
        <w:t xml:space="preserve"> physical violence to occur. To combat this , within the United Kingdom </w:t>
      </w:r>
      <w:r w:rsidR="006E2A67">
        <w:rPr>
          <w:color w:val="000000"/>
        </w:rPr>
        <w:t xml:space="preserve">, </w:t>
      </w:r>
      <w:r w:rsidR="0030203C">
        <w:rPr>
          <w:color w:val="000000"/>
        </w:rPr>
        <w:t xml:space="preserve"> the m</w:t>
      </w:r>
      <w:r w:rsidR="006E2A67">
        <w:rPr>
          <w:color w:val="000000"/>
        </w:rPr>
        <w:t xml:space="preserve">ental </w:t>
      </w:r>
      <w:r w:rsidR="0030203C">
        <w:rPr>
          <w:color w:val="000000"/>
        </w:rPr>
        <w:t>c</w:t>
      </w:r>
      <w:r w:rsidR="006E2A67">
        <w:rPr>
          <w:color w:val="000000"/>
        </w:rPr>
        <w:t xml:space="preserve">apacity </w:t>
      </w:r>
      <w:r w:rsidR="0030203C">
        <w:rPr>
          <w:color w:val="000000"/>
        </w:rPr>
        <w:t>a</w:t>
      </w:r>
      <w:r w:rsidR="006E2A67">
        <w:rPr>
          <w:color w:val="000000"/>
        </w:rPr>
        <w:t xml:space="preserve">ct of </w:t>
      </w:r>
      <w:r w:rsidR="00B160AB">
        <w:rPr>
          <w:color w:val="000000"/>
        </w:rPr>
        <w:t>2005 was developed</w:t>
      </w:r>
      <w:r w:rsidR="00662CF0">
        <w:rPr>
          <w:color w:val="000000"/>
        </w:rPr>
        <w:t xml:space="preserve">. However </w:t>
      </w:r>
      <w:r w:rsidR="00805838">
        <w:rPr>
          <w:color w:val="000000"/>
        </w:rPr>
        <w:t xml:space="preserve">, </w:t>
      </w:r>
      <w:r w:rsidR="00AB4E59">
        <w:rPr>
          <w:color w:val="000000"/>
        </w:rPr>
        <w:t>this was develo</w:t>
      </w:r>
      <w:r w:rsidR="00241572">
        <w:rPr>
          <w:color w:val="000000"/>
        </w:rPr>
        <w:t>ped</w:t>
      </w:r>
      <w:r w:rsidR="006B56CA">
        <w:rPr>
          <w:color w:val="000000"/>
        </w:rPr>
        <w:t xml:space="preserve"> originally </w:t>
      </w:r>
      <w:r w:rsidR="00241572">
        <w:rPr>
          <w:color w:val="000000"/>
        </w:rPr>
        <w:t xml:space="preserve">within a medical capacity to </w:t>
      </w:r>
      <w:r w:rsidR="00B50F13">
        <w:rPr>
          <w:color w:val="000000"/>
        </w:rPr>
        <w:t>differentiate people who are able to consent</w:t>
      </w:r>
      <w:r w:rsidR="006B56CA">
        <w:rPr>
          <w:color w:val="000000"/>
        </w:rPr>
        <w:t xml:space="preserve"> within medical procedures </w:t>
      </w:r>
      <w:r w:rsidR="00B50F13">
        <w:rPr>
          <w:color w:val="000000"/>
        </w:rPr>
        <w:t>and those who are not</w:t>
      </w:r>
      <w:r w:rsidR="00613378">
        <w:rPr>
          <w:color w:val="000000"/>
        </w:rPr>
        <w:t xml:space="preserve">. This was later </w:t>
      </w:r>
      <w:r w:rsidR="00A13CE5">
        <w:rPr>
          <w:color w:val="000000"/>
        </w:rPr>
        <w:t>used</w:t>
      </w:r>
      <w:r w:rsidR="00613378">
        <w:rPr>
          <w:color w:val="000000"/>
        </w:rPr>
        <w:t xml:space="preserve"> to dictate </w:t>
      </w:r>
      <w:r w:rsidR="00D605BC">
        <w:rPr>
          <w:color w:val="000000"/>
        </w:rPr>
        <w:t>if consent was present within breaches of common law</w:t>
      </w:r>
      <w:r w:rsidR="00613378">
        <w:rPr>
          <w:color w:val="000000"/>
        </w:rPr>
        <w:t xml:space="preserve"> due to its effectiveness within the national health service</w:t>
      </w:r>
      <w:r w:rsidR="00D605BC">
        <w:rPr>
          <w:color w:val="000000"/>
        </w:rPr>
        <w:t xml:space="preserve">. </w:t>
      </w:r>
      <w:r w:rsidR="00E44132">
        <w:rPr>
          <w:color w:val="000000"/>
        </w:rPr>
        <w:t>As previously mentioned</w:t>
      </w:r>
      <w:r w:rsidR="005C4600">
        <w:rPr>
          <w:color w:val="000000"/>
        </w:rPr>
        <w:t>;</w:t>
      </w:r>
      <w:r w:rsidR="00E44132">
        <w:rPr>
          <w:color w:val="000000"/>
        </w:rPr>
        <w:t xml:space="preserve"> </w:t>
      </w:r>
      <w:r w:rsidR="005C4600">
        <w:rPr>
          <w:color w:val="000000"/>
        </w:rPr>
        <w:t>within Uk legislation ,</w:t>
      </w:r>
      <w:r w:rsidR="00E44132">
        <w:rPr>
          <w:color w:val="000000"/>
        </w:rPr>
        <w:t>coerci</w:t>
      </w:r>
      <w:r w:rsidR="00BF5B1D">
        <w:rPr>
          <w:color w:val="000000"/>
        </w:rPr>
        <w:t>ve behaviour</w:t>
      </w:r>
      <w:r w:rsidR="00680ADE">
        <w:rPr>
          <w:color w:val="000000"/>
        </w:rPr>
        <w:t xml:space="preserve"> is often used as a precursor to obtaining consent </w:t>
      </w:r>
      <w:r w:rsidR="00C03B13">
        <w:rPr>
          <w:color w:val="000000"/>
        </w:rPr>
        <w:t xml:space="preserve">and </w:t>
      </w:r>
      <w:r w:rsidR="00BF5B1D">
        <w:rPr>
          <w:color w:val="000000"/>
        </w:rPr>
        <w:t>is described as “</w:t>
      </w:r>
      <w:r w:rsidR="00004EF7" w:rsidRPr="00A602C6">
        <w:rPr>
          <w:rFonts w:eastAsia="Times New Roman"/>
          <w:color w:val="000000" w:themeColor="text1"/>
          <w:shd w:val="clear" w:color="auto" w:fill="FFFFFF"/>
        </w:rPr>
        <w:t xml:space="preserve">behaviour </w:t>
      </w:r>
      <w:r w:rsidR="00A602C6" w:rsidRPr="00A602C6">
        <w:rPr>
          <w:rFonts w:eastAsia="Times New Roman"/>
          <w:color w:val="000000" w:themeColor="text1"/>
          <w:shd w:val="clear" w:color="auto" w:fill="FFFFFF"/>
        </w:rPr>
        <w:t xml:space="preserve">that </w:t>
      </w:r>
      <w:r w:rsidR="00004EF7" w:rsidRPr="00A602C6">
        <w:rPr>
          <w:rFonts w:eastAsia="Times New Roman"/>
          <w:color w:val="000000" w:themeColor="text1"/>
          <w:shd w:val="clear" w:color="auto" w:fill="FFFFFF"/>
        </w:rPr>
        <w:t>amounts to fear that violence will be carried out</w:t>
      </w:r>
      <w:r w:rsidR="00A602C6" w:rsidRPr="00A602C6">
        <w:rPr>
          <w:rFonts w:eastAsia="Times New Roman"/>
          <w:color w:val="000000" w:themeColor="text1"/>
          <w:shd w:val="clear" w:color="auto" w:fill="FFFFFF"/>
        </w:rPr>
        <w:t>.”</w:t>
      </w:r>
      <w:r w:rsidR="00A602C6">
        <w:rPr>
          <w:rFonts w:eastAsia="Times New Roman"/>
          <w:color w:val="000000" w:themeColor="text1"/>
          <w:shd w:val="clear" w:color="auto" w:fill="FFFFFF"/>
        </w:rPr>
        <w:t xml:space="preserve"> (</w:t>
      </w:r>
      <w:r w:rsidR="00790EE3">
        <w:rPr>
          <w:rFonts w:eastAsia="Times New Roman"/>
          <w:color w:val="000000" w:themeColor="text1"/>
          <w:shd w:val="clear" w:color="auto" w:fill="FFFFFF"/>
        </w:rPr>
        <w:t xml:space="preserve">Crown Prosecution Service 2023) </w:t>
      </w:r>
      <w:r w:rsidR="00790EE3">
        <w:rPr>
          <w:color w:val="000000" w:themeColor="text1"/>
        </w:rPr>
        <w:t>the use of coercive behaviour in the ability to obtain consent within the context of the case</w:t>
      </w:r>
      <w:r w:rsidR="00C03B13">
        <w:rPr>
          <w:color w:val="000000" w:themeColor="text1"/>
        </w:rPr>
        <w:t>s</w:t>
      </w:r>
      <w:r w:rsidR="00790EE3">
        <w:rPr>
          <w:color w:val="000000" w:themeColor="text1"/>
        </w:rPr>
        <w:t xml:space="preserve"> of battery</w:t>
      </w:r>
      <w:r w:rsidR="00A7759A">
        <w:rPr>
          <w:color w:val="000000" w:themeColor="text1"/>
        </w:rPr>
        <w:t xml:space="preserve"> can be most commonly found within the act of domestic abuse cases</w:t>
      </w:r>
      <w:r w:rsidR="009437AE">
        <w:rPr>
          <w:color w:val="000000" w:themeColor="text1"/>
        </w:rPr>
        <w:t xml:space="preserve">. </w:t>
      </w:r>
      <w:r w:rsidR="00456011">
        <w:rPr>
          <w:color w:val="000000" w:themeColor="text1"/>
        </w:rPr>
        <w:t xml:space="preserve">for example </w:t>
      </w:r>
      <w:r w:rsidR="00A84D73">
        <w:rPr>
          <w:color w:val="000000" w:themeColor="text1"/>
        </w:rPr>
        <w:t>a case that was featured within the Crown Prosecution Services 202</w:t>
      </w:r>
      <w:r w:rsidR="001E1247">
        <w:rPr>
          <w:color w:val="000000" w:themeColor="text1"/>
        </w:rPr>
        <w:t>1 summary of successful domestic abuse cases state that “</w:t>
      </w:r>
      <w:r w:rsidR="001E1247" w:rsidRPr="001E1247">
        <w:rPr>
          <w:rFonts w:eastAsia="Times New Roman"/>
          <w:color w:val="000000" w:themeColor="text1"/>
          <w:shd w:val="clear" w:color="auto" w:fill="FFFFFF"/>
        </w:rPr>
        <w:t>A husband who subjected his wife of 10 years to controlling and coercive behaviour was recently convicted.”</w:t>
      </w:r>
      <w:r w:rsidR="001E1247">
        <w:rPr>
          <w:rFonts w:eastAsia="Times New Roman"/>
          <w:color w:val="000000" w:themeColor="text1"/>
          <w:shd w:val="clear" w:color="auto" w:fill="FFFFFF"/>
        </w:rPr>
        <w:t xml:space="preserve"> (Crown Prosecution Service 2021)</w:t>
      </w:r>
      <w:r w:rsidR="009437AE">
        <w:rPr>
          <w:rFonts w:eastAsia="Times New Roman"/>
          <w:color w:val="000000" w:themeColor="text1"/>
          <w:shd w:val="clear" w:color="auto" w:fill="FFFFFF"/>
        </w:rPr>
        <w:t xml:space="preserve"> (the lack of identify is evident due the protection of the defendant and claimant).</w:t>
      </w:r>
    </w:p>
    <w:p w14:paraId="16FB5711" w14:textId="77777777" w:rsidR="009437AE" w:rsidRDefault="009437AE" w:rsidP="009F3622">
      <w:pPr>
        <w:spacing w:line="480" w:lineRule="auto"/>
        <w:rPr>
          <w:rFonts w:eastAsia="Times New Roman"/>
          <w:color w:val="000000" w:themeColor="text1"/>
          <w:shd w:val="clear" w:color="auto" w:fill="FFFFFF"/>
        </w:rPr>
      </w:pPr>
    </w:p>
    <w:p w14:paraId="3AD11F8F" w14:textId="48AF811F" w:rsidR="00727797" w:rsidRPr="00B5362C" w:rsidRDefault="00B67E7A" w:rsidP="009F3622">
      <w:pPr>
        <w:spacing w:line="480" w:lineRule="auto"/>
        <w:rPr>
          <w:rFonts w:eastAsia="Times New Roman"/>
          <w:color w:val="1A1A1A"/>
          <w:shd w:val="clear" w:color="auto" w:fill="FFFFFF"/>
        </w:rPr>
      </w:pPr>
      <w:r>
        <w:rPr>
          <w:color w:val="000000" w:themeColor="text1"/>
        </w:rPr>
        <w:t xml:space="preserve">The ethical and </w:t>
      </w:r>
      <w:r w:rsidR="00E037BB">
        <w:rPr>
          <w:color w:val="000000" w:themeColor="text1"/>
        </w:rPr>
        <w:t xml:space="preserve">philosophical considerations that may be discussed within the concept of consent </w:t>
      </w:r>
      <w:r w:rsidR="00443753">
        <w:rPr>
          <w:color w:val="000000" w:themeColor="text1"/>
        </w:rPr>
        <w:t xml:space="preserve">in the United Kingdom can be explored in several arguments, </w:t>
      </w:r>
      <w:r w:rsidR="004B7632">
        <w:rPr>
          <w:color w:val="000000" w:themeColor="text1"/>
        </w:rPr>
        <w:t xml:space="preserve">within the reflection of </w:t>
      </w:r>
      <w:r w:rsidR="000827D2">
        <w:rPr>
          <w:color w:val="000000" w:themeColor="text1"/>
        </w:rPr>
        <w:t xml:space="preserve">an individual’s own actions the concept of </w:t>
      </w:r>
      <w:r w:rsidR="004B7632">
        <w:rPr>
          <w:color w:val="000000" w:themeColor="text1"/>
        </w:rPr>
        <w:t>autonomy</w:t>
      </w:r>
      <w:r w:rsidR="000827D2">
        <w:rPr>
          <w:color w:val="000000" w:themeColor="text1"/>
        </w:rPr>
        <w:t xml:space="preserve"> comes to the forefront and</w:t>
      </w:r>
      <w:r w:rsidR="004B7632">
        <w:rPr>
          <w:color w:val="000000" w:themeColor="text1"/>
        </w:rPr>
        <w:t xml:space="preserve"> states that</w:t>
      </w:r>
      <w:r w:rsidR="00FD0A40">
        <w:rPr>
          <w:color w:val="000000" w:themeColor="text1"/>
        </w:rPr>
        <w:t xml:space="preserve"> </w:t>
      </w:r>
      <w:r w:rsidR="00DF6D96">
        <w:rPr>
          <w:color w:val="000000" w:themeColor="text1"/>
        </w:rPr>
        <w:t xml:space="preserve">an individual should be </w:t>
      </w:r>
      <w:r w:rsidR="00FD0A40">
        <w:rPr>
          <w:color w:val="000000" w:themeColor="text1"/>
        </w:rPr>
        <w:lastRenderedPageBreak/>
        <w:t>“</w:t>
      </w:r>
      <w:r w:rsidR="00FD0A40" w:rsidRPr="00DF6D96">
        <w:rPr>
          <w:rFonts w:eastAsia="Times New Roman"/>
          <w:color w:val="1A1A1A"/>
          <w:shd w:val="clear" w:color="auto" w:fill="FFFFFF"/>
        </w:rPr>
        <w:t>leading one’s life according to reasons, values, or desires that are authentically one’s own</w:t>
      </w:r>
      <w:r w:rsidR="00DF6D96">
        <w:rPr>
          <w:rFonts w:eastAsia="Times New Roman"/>
          <w:color w:val="1A1A1A"/>
          <w:shd w:val="clear" w:color="auto" w:fill="FFFFFF"/>
        </w:rPr>
        <w:t>” (Stacey-Taylor 20</w:t>
      </w:r>
      <w:r w:rsidR="007D5B12">
        <w:rPr>
          <w:rFonts w:eastAsia="Times New Roman"/>
          <w:color w:val="1A1A1A"/>
          <w:shd w:val="clear" w:color="auto" w:fill="FFFFFF"/>
        </w:rPr>
        <w:t>1</w:t>
      </w:r>
      <w:r w:rsidR="00C511BF">
        <w:rPr>
          <w:rFonts w:eastAsia="Times New Roman"/>
          <w:color w:val="1A1A1A"/>
          <w:shd w:val="clear" w:color="auto" w:fill="FFFFFF"/>
        </w:rPr>
        <w:t xml:space="preserve">4) within the framework of consent this is related as it believes that a individual should apply consent within situations that they believe is morally right and lawful, this will differentiate from individual to individual but within a court of law will allow them to </w:t>
      </w:r>
      <w:r w:rsidR="000B55CD">
        <w:rPr>
          <w:rFonts w:eastAsia="Times New Roman"/>
          <w:color w:val="1A1A1A"/>
          <w:shd w:val="clear" w:color="auto" w:fill="FFFFFF"/>
        </w:rPr>
        <w:t>actively give consent.</w:t>
      </w:r>
      <w:r w:rsidR="003F3C77">
        <w:rPr>
          <w:rFonts w:eastAsia="Times New Roman"/>
          <w:color w:val="1A1A1A"/>
          <w:shd w:val="clear" w:color="auto" w:fill="FFFFFF"/>
        </w:rPr>
        <w:t xml:space="preserve"> On the other hand the </w:t>
      </w:r>
      <w:r w:rsidR="00D8512C">
        <w:rPr>
          <w:rFonts w:eastAsia="Times New Roman"/>
          <w:color w:val="1A1A1A"/>
          <w:shd w:val="clear" w:color="auto" w:fill="FFFFFF"/>
        </w:rPr>
        <w:t xml:space="preserve">ethical </w:t>
      </w:r>
      <w:r w:rsidR="003F3C77">
        <w:rPr>
          <w:rFonts w:eastAsia="Times New Roman"/>
          <w:color w:val="1A1A1A"/>
          <w:shd w:val="clear" w:color="auto" w:fill="FFFFFF"/>
        </w:rPr>
        <w:t>concept</w:t>
      </w:r>
      <w:r w:rsidR="00B5362C">
        <w:rPr>
          <w:rFonts w:eastAsia="Times New Roman"/>
          <w:color w:val="1A1A1A"/>
          <w:shd w:val="clear" w:color="auto" w:fill="FFFFFF"/>
        </w:rPr>
        <w:t xml:space="preserve">s of </w:t>
      </w:r>
      <w:r w:rsidR="00261481">
        <w:rPr>
          <w:rFonts w:eastAsia="Times New Roman"/>
          <w:color w:val="1A1A1A"/>
          <w:shd w:val="clear" w:color="auto" w:fill="FFFFFF"/>
        </w:rPr>
        <w:t>beneficence and non-maleficence</w:t>
      </w:r>
      <w:r w:rsidR="005D1737">
        <w:rPr>
          <w:rFonts w:eastAsia="Times New Roman"/>
          <w:color w:val="1A1A1A"/>
          <w:shd w:val="clear" w:color="auto" w:fill="FFFFFF"/>
        </w:rPr>
        <w:t xml:space="preserve"> can be effective applied to the </w:t>
      </w:r>
      <w:r w:rsidR="00AC6E0C">
        <w:rPr>
          <w:rFonts w:eastAsia="Times New Roman"/>
          <w:color w:val="1A1A1A"/>
          <w:shd w:val="clear" w:color="auto" w:fill="FFFFFF"/>
        </w:rPr>
        <w:t>concept of consent as a whole these ethical concepts can be</w:t>
      </w:r>
      <w:r w:rsidR="00C809AF">
        <w:rPr>
          <w:rFonts w:eastAsia="Times New Roman"/>
          <w:color w:val="1A1A1A"/>
          <w:shd w:val="clear" w:color="auto" w:fill="FFFFFF"/>
        </w:rPr>
        <w:t xml:space="preserve"> linked to the idea of autonomy and builds the idea that </w:t>
      </w:r>
      <w:r w:rsidR="002874C4">
        <w:rPr>
          <w:rFonts w:eastAsia="Times New Roman"/>
          <w:color w:val="1A1A1A"/>
          <w:shd w:val="clear" w:color="auto" w:fill="FFFFFF"/>
        </w:rPr>
        <w:t xml:space="preserve">an individual should actively seek to </w:t>
      </w:r>
      <w:r w:rsidR="00CB7CE1">
        <w:rPr>
          <w:rFonts w:eastAsia="Times New Roman"/>
          <w:color w:val="1A1A1A"/>
          <w:shd w:val="clear" w:color="auto" w:fill="FFFFFF"/>
        </w:rPr>
        <w:t xml:space="preserve">stop the act of harm within a situation. This concept when applied to cases of battery would reduce the likelihood </w:t>
      </w:r>
      <w:r w:rsidR="00FD4FC1">
        <w:rPr>
          <w:rFonts w:eastAsia="Times New Roman"/>
          <w:color w:val="1A1A1A"/>
          <w:shd w:val="clear" w:color="auto" w:fill="FFFFFF"/>
        </w:rPr>
        <w:t xml:space="preserve">of harm being caused due to the </w:t>
      </w:r>
      <w:r w:rsidR="00BD08B0">
        <w:rPr>
          <w:rFonts w:eastAsia="Times New Roman"/>
          <w:color w:val="1A1A1A"/>
          <w:shd w:val="clear" w:color="auto" w:fill="FFFFFF"/>
        </w:rPr>
        <w:t>endorsement</w:t>
      </w:r>
      <w:r w:rsidR="00FD4FC1">
        <w:rPr>
          <w:rFonts w:eastAsia="Times New Roman"/>
          <w:color w:val="1A1A1A"/>
          <w:shd w:val="clear" w:color="auto" w:fill="FFFFFF"/>
        </w:rPr>
        <w:t xml:space="preserve"> of non-</w:t>
      </w:r>
      <w:r w:rsidR="00BD08B0">
        <w:rPr>
          <w:rFonts w:eastAsia="Times New Roman"/>
          <w:color w:val="1A1A1A"/>
          <w:shd w:val="clear" w:color="auto" w:fill="FFFFFF"/>
        </w:rPr>
        <w:t>violent practices</w:t>
      </w:r>
      <w:r w:rsidR="00FD4FC1">
        <w:rPr>
          <w:rFonts w:eastAsia="Times New Roman"/>
          <w:color w:val="1A1A1A"/>
          <w:shd w:val="clear" w:color="auto" w:fill="FFFFFF"/>
        </w:rPr>
        <w:t>.</w:t>
      </w:r>
    </w:p>
    <w:p w14:paraId="1A015EF4" w14:textId="77777777" w:rsidR="00DF029B" w:rsidRDefault="00DF029B" w:rsidP="009F3622">
      <w:pPr>
        <w:spacing w:line="480" w:lineRule="auto"/>
        <w:rPr>
          <w:color w:val="000000" w:themeColor="text1"/>
        </w:rPr>
      </w:pPr>
    </w:p>
    <w:p w14:paraId="60897A42" w14:textId="077182E3" w:rsidR="00812781" w:rsidRDefault="00AB1018" w:rsidP="009F3622">
      <w:pPr>
        <w:spacing w:line="480" w:lineRule="auto"/>
        <w:rPr>
          <w:color w:val="000000" w:themeColor="text1"/>
        </w:rPr>
      </w:pPr>
      <w:r>
        <w:rPr>
          <w:color w:val="000000" w:themeColor="text1"/>
        </w:rPr>
        <w:t xml:space="preserve">The evolution of the concept of consent within cases of battery within the United Kingdom’s legal frame work is </w:t>
      </w:r>
      <w:r w:rsidR="009819BF">
        <w:rPr>
          <w:color w:val="000000" w:themeColor="text1"/>
        </w:rPr>
        <w:t>ever-changing</w:t>
      </w:r>
      <w:r>
        <w:rPr>
          <w:color w:val="000000" w:themeColor="text1"/>
        </w:rPr>
        <w:t xml:space="preserve">. One of the first </w:t>
      </w:r>
      <w:r w:rsidR="00FC04AC">
        <w:rPr>
          <w:color w:val="000000" w:themeColor="text1"/>
        </w:rPr>
        <w:t xml:space="preserve">major breakthroughs was evident within </w:t>
      </w:r>
      <w:r w:rsidR="00A91E86">
        <w:rPr>
          <w:color w:val="000000" w:themeColor="text1"/>
        </w:rPr>
        <w:t>1830</w:t>
      </w:r>
      <w:r w:rsidR="00F03A51">
        <w:rPr>
          <w:color w:val="000000" w:themeColor="text1"/>
        </w:rPr>
        <w:t xml:space="preserve"> within the case of Stephens v</w:t>
      </w:r>
      <w:r w:rsidR="006507A5">
        <w:rPr>
          <w:color w:val="000000" w:themeColor="text1"/>
        </w:rPr>
        <w:t xml:space="preserve"> Myers; this case set a precedent for the concept of </w:t>
      </w:r>
      <w:r w:rsidR="008E5E6A">
        <w:rPr>
          <w:color w:val="000000" w:themeColor="text1"/>
        </w:rPr>
        <w:t>the act of physical contact without consent constituting a battery</w:t>
      </w:r>
      <w:r w:rsidR="00DE7DCC">
        <w:rPr>
          <w:color w:val="000000" w:themeColor="text1"/>
        </w:rPr>
        <w:t xml:space="preserve"> or a form of assault</w:t>
      </w:r>
      <w:r w:rsidR="008E5E6A">
        <w:rPr>
          <w:color w:val="000000" w:themeColor="text1"/>
        </w:rPr>
        <w:t xml:space="preserve">. As within this case the defendant </w:t>
      </w:r>
      <w:r w:rsidR="00DE7DCC">
        <w:rPr>
          <w:color w:val="000000" w:themeColor="text1"/>
        </w:rPr>
        <w:t xml:space="preserve">, during a heated argument </w:t>
      </w:r>
      <w:r w:rsidR="007F48BB">
        <w:rPr>
          <w:color w:val="000000" w:themeColor="text1"/>
        </w:rPr>
        <w:t xml:space="preserve">the defendant </w:t>
      </w:r>
      <w:r w:rsidR="00DE7DCC">
        <w:rPr>
          <w:color w:val="000000" w:themeColor="text1"/>
        </w:rPr>
        <w:t xml:space="preserve">made physical contact with the claimant and was stopped by </w:t>
      </w:r>
      <w:r w:rsidR="00457CF4">
        <w:rPr>
          <w:color w:val="000000" w:themeColor="text1"/>
        </w:rPr>
        <w:t xml:space="preserve">several onlookers. </w:t>
      </w:r>
      <w:r w:rsidR="006A71EA">
        <w:rPr>
          <w:color w:val="000000" w:themeColor="text1"/>
        </w:rPr>
        <w:t>Moreover</w:t>
      </w:r>
      <w:r w:rsidR="00B00755">
        <w:rPr>
          <w:color w:val="000000" w:themeColor="text1"/>
        </w:rPr>
        <w:t xml:space="preserve"> within the secondary case of </w:t>
      </w:r>
      <w:r w:rsidR="00442FB0">
        <w:rPr>
          <w:color w:val="000000" w:themeColor="text1"/>
        </w:rPr>
        <w:t>R v Clarence</w:t>
      </w:r>
      <w:r w:rsidR="009819BF">
        <w:rPr>
          <w:color w:val="000000" w:themeColor="text1"/>
        </w:rPr>
        <w:t xml:space="preserve"> (188</w:t>
      </w:r>
      <w:r w:rsidR="00361E5F">
        <w:rPr>
          <w:color w:val="000000" w:themeColor="text1"/>
        </w:rPr>
        <w:t>9</w:t>
      </w:r>
      <w:r w:rsidR="009819BF">
        <w:rPr>
          <w:color w:val="000000" w:themeColor="text1"/>
        </w:rPr>
        <w:t>)</w:t>
      </w:r>
      <w:r w:rsidR="00442FB0">
        <w:rPr>
          <w:color w:val="000000" w:themeColor="text1"/>
        </w:rPr>
        <w:t xml:space="preserve"> the use of consent is pivotal in the use of quashing a conviction of the defendant </w:t>
      </w:r>
      <w:r w:rsidR="00363C07">
        <w:rPr>
          <w:color w:val="000000" w:themeColor="text1"/>
        </w:rPr>
        <w:t>and as consent being used as a defence within court. A</w:t>
      </w:r>
      <w:r w:rsidR="00442FB0">
        <w:rPr>
          <w:color w:val="000000" w:themeColor="text1"/>
        </w:rPr>
        <w:t>s within the case</w:t>
      </w:r>
      <w:r w:rsidR="004C56A1">
        <w:rPr>
          <w:color w:val="000000" w:themeColor="text1"/>
        </w:rPr>
        <w:t xml:space="preserve"> the sexual </w:t>
      </w:r>
      <w:r w:rsidR="002153F2">
        <w:rPr>
          <w:color w:val="000000" w:themeColor="text1"/>
        </w:rPr>
        <w:t xml:space="preserve">relationship between the two parties was completely consensual and </w:t>
      </w:r>
      <w:r w:rsidR="00812781">
        <w:rPr>
          <w:color w:val="000000" w:themeColor="text1"/>
        </w:rPr>
        <w:t>was not justified as a act of physical violence even though the defendant was unknowingly suffering from a sexually transmitted disease.</w:t>
      </w:r>
      <w:r w:rsidR="00863060">
        <w:rPr>
          <w:color w:val="000000" w:themeColor="text1"/>
        </w:rPr>
        <w:t xml:space="preserve"> </w:t>
      </w:r>
    </w:p>
    <w:p w14:paraId="45032630" w14:textId="77777777" w:rsidR="00863060" w:rsidRDefault="00863060" w:rsidP="009F3622">
      <w:pPr>
        <w:spacing w:line="480" w:lineRule="auto"/>
        <w:rPr>
          <w:color w:val="000000" w:themeColor="text1"/>
        </w:rPr>
      </w:pPr>
    </w:p>
    <w:p w14:paraId="459FA073" w14:textId="68EBBC65" w:rsidR="00863060" w:rsidRPr="009553E8" w:rsidRDefault="009D4EBA" w:rsidP="009F3622">
      <w:pPr>
        <w:spacing w:line="480" w:lineRule="auto"/>
        <w:rPr>
          <w:color w:val="000000" w:themeColor="text1"/>
        </w:rPr>
      </w:pPr>
      <w:r>
        <w:rPr>
          <w:color w:val="000000" w:themeColor="text1"/>
        </w:rPr>
        <w:t xml:space="preserve">Within our constantly evolving society the use of consent is extremely important not just within battery and cases of physical assault. </w:t>
      </w:r>
      <w:r w:rsidR="000501B3">
        <w:rPr>
          <w:color w:val="000000" w:themeColor="text1"/>
        </w:rPr>
        <w:t xml:space="preserve">But also within cases </w:t>
      </w:r>
      <w:r w:rsidR="00CE4EA3">
        <w:rPr>
          <w:color w:val="000000" w:themeColor="text1"/>
        </w:rPr>
        <w:t xml:space="preserve">of everyday social interactions, this </w:t>
      </w:r>
      <w:r w:rsidR="00D250EA">
        <w:rPr>
          <w:color w:val="000000" w:themeColor="text1"/>
        </w:rPr>
        <w:t xml:space="preserve">is evident within the </w:t>
      </w:r>
      <w:r w:rsidR="009553E8">
        <w:rPr>
          <w:color w:val="000000" w:themeColor="text1"/>
        </w:rPr>
        <w:t>quote of “</w:t>
      </w:r>
      <w:r w:rsidR="009553E8" w:rsidRPr="009553E8">
        <w:rPr>
          <w:rFonts w:eastAsia="Times New Roman"/>
          <w:color w:val="000000" w:themeColor="text1"/>
          <w:shd w:val="clear" w:color="auto" w:fill="FFFFFF"/>
        </w:rPr>
        <w:t>People have a variety of values around bodily autonomy which may impact their preferences around physical interaction</w:t>
      </w:r>
      <w:r w:rsidR="009553E8">
        <w:rPr>
          <w:rFonts w:eastAsia="Times New Roman"/>
          <w:color w:val="000000" w:themeColor="text1"/>
          <w:shd w:val="clear" w:color="auto" w:fill="FFFFFF"/>
        </w:rPr>
        <w:t>” (</w:t>
      </w:r>
      <w:r w:rsidR="00514BB3">
        <w:rPr>
          <w:rFonts w:eastAsia="Times New Roman"/>
          <w:color w:val="000000" w:themeColor="text1"/>
          <w:shd w:val="clear" w:color="auto" w:fill="FFFFFF"/>
        </w:rPr>
        <w:t xml:space="preserve">Brown University N.D). Cases of </w:t>
      </w:r>
      <w:r w:rsidR="007B7138">
        <w:rPr>
          <w:rFonts w:eastAsia="Times New Roman"/>
          <w:color w:val="000000" w:themeColor="text1"/>
          <w:shd w:val="clear" w:color="auto" w:fill="FFFFFF"/>
        </w:rPr>
        <w:t>physical contact without the lack of consent which have come to the forefront of socia</w:t>
      </w:r>
      <w:r w:rsidR="00993401">
        <w:rPr>
          <w:rFonts w:eastAsia="Times New Roman"/>
          <w:color w:val="000000" w:themeColor="text1"/>
          <w:shd w:val="clear" w:color="auto" w:fill="FFFFFF"/>
        </w:rPr>
        <w:t>l</w:t>
      </w:r>
      <w:r w:rsidR="007B7138">
        <w:rPr>
          <w:rFonts w:eastAsia="Times New Roman"/>
          <w:color w:val="000000" w:themeColor="text1"/>
          <w:shd w:val="clear" w:color="auto" w:fill="FFFFFF"/>
        </w:rPr>
        <w:t xml:space="preserve"> and political media </w:t>
      </w:r>
      <w:r w:rsidR="007B7138">
        <w:rPr>
          <w:rFonts w:eastAsia="Times New Roman"/>
          <w:color w:val="000000" w:themeColor="text1"/>
          <w:shd w:val="clear" w:color="auto" w:fill="FFFFFF"/>
        </w:rPr>
        <w:lastRenderedPageBreak/>
        <w:t>include the #</w:t>
      </w:r>
      <w:proofErr w:type="spellStart"/>
      <w:r w:rsidR="007B7138">
        <w:rPr>
          <w:rFonts w:eastAsia="Times New Roman"/>
          <w:color w:val="000000" w:themeColor="text1"/>
          <w:shd w:val="clear" w:color="auto" w:fill="FFFFFF"/>
        </w:rPr>
        <w:t>metoo</w:t>
      </w:r>
      <w:proofErr w:type="spellEnd"/>
      <w:r w:rsidR="007B7138">
        <w:rPr>
          <w:rFonts w:eastAsia="Times New Roman"/>
          <w:color w:val="000000" w:themeColor="text1"/>
          <w:shd w:val="clear" w:color="auto" w:fill="FFFFFF"/>
        </w:rPr>
        <w:t xml:space="preserve"> movement </w:t>
      </w:r>
      <w:r w:rsidR="00993401">
        <w:rPr>
          <w:rFonts w:eastAsia="Times New Roman"/>
          <w:color w:val="000000" w:themeColor="text1"/>
          <w:shd w:val="clear" w:color="auto" w:fill="FFFFFF"/>
        </w:rPr>
        <w:t xml:space="preserve">which allows women to raise awareness on </w:t>
      </w:r>
      <w:r w:rsidR="00F30663">
        <w:rPr>
          <w:rFonts w:eastAsia="Times New Roman"/>
          <w:color w:val="000000" w:themeColor="text1"/>
          <w:shd w:val="clear" w:color="auto" w:fill="FFFFFF"/>
        </w:rPr>
        <w:t xml:space="preserve">acts of sexual assault and rape culture. But on the other hand </w:t>
      </w:r>
      <w:r w:rsidR="00EB6A4C">
        <w:rPr>
          <w:rFonts w:eastAsia="Times New Roman"/>
          <w:color w:val="000000" w:themeColor="text1"/>
          <w:shd w:val="clear" w:color="auto" w:fill="FFFFFF"/>
        </w:rPr>
        <w:t xml:space="preserve">acts of politeness such as a handshake of hug , within the eyes of the law may be considered as an act of battery , which leads us </w:t>
      </w:r>
      <w:r w:rsidR="00E234ED">
        <w:rPr>
          <w:rFonts w:eastAsia="Times New Roman"/>
          <w:color w:val="000000" w:themeColor="text1"/>
          <w:shd w:val="clear" w:color="auto" w:fill="FFFFFF"/>
        </w:rPr>
        <w:t xml:space="preserve">to the benefits of </w:t>
      </w:r>
      <w:r w:rsidR="003D4425">
        <w:rPr>
          <w:rFonts w:eastAsia="Times New Roman"/>
          <w:color w:val="000000" w:themeColor="text1"/>
          <w:shd w:val="clear" w:color="auto" w:fill="FFFFFF"/>
        </w:rPr>
        <w:t xml:space="preserve">small acts of self-awareness </w:t>
      </w:r>
      <w:r w:rsidR="00C450C1">
        <w:rPr>
          <w:rFonts w:eastAsia="Times New Roman"/>
          <w:color w:val="000000" w:themeColor="text1"/>
          <w:shd w:val="clear" w:color="auto" w:fill="FFFFFF"/>
        </w:rPr>
        <w:t>and consideration to allow people to be comfortable and safe.</w:t>
      </w:r>
    </w:p>
    <w:p w14:paraId="3123C743" w14:textId="77777777" w:rsidR="00361E5F" w:rsidRDefault="00361E5F" w:rsidP="009F3622">
      <w:pPr>
        <w:spacing w:line="480" w:lineRule="auto"/>
        <w:rPr>
          <w:color w:val="000000" w:themeColor="text1"/>
        </w:rPr>
      </w:pPr>
    </w:p>
    <w:p w14:paraId="4E0033C3" w14:textId="300CCD03" w:rsidR="00C450C1" w:rsidRPr="006E4BF2" w:rsidRDefault="00C450C1" w:rsidP="009F3622">
      <w:pPr>
        <w:spacing w:line="480" w:lineRule="auto"/>
        <w:rPr>
          <w:color w:val="000000" w:themeColor="text1"/>
        </w:rPr>
      </w:pPr>
      <w:r>
        <w:rPr>
          <w:color w:val="000000" w:themeColor="text1"/>
        </w:rPr>
        <w:t xml:space="preserve">In conclusion, the concept of </w:t>
      </w:r>
      <w:proofErr w:type="spellStart"/>
      <w:r>
        <w:rPr>
          <w:color w:val="000000" w:themeColor="text1"/>
        </w:rPr>
        <w:t>concent</w:t>
      </w:r>
      <w:proofErr w:type="spellEnd"/>
      <w:r>
        <w:rPr>
          <w:color w:val="000000" w:themeColor="text1"/>
        </w:rPr>
        <w:t xml:space="preserve"> within the United Kingdom’s legislative framework is an essential component </w:t>
      </w:r>
      <w:r w:rsidR="006C1B30">
        <w:rPr>
          <w:color w:val="000000" w:themeColor="text1"/>
        </w:rPr>
        <w:t>of how physical contact is used.</w:t>
      </w:r>
      <w:r w:rsidR="00F777F0">
        <w:rPr>
          <w:color w:val="000000" w:themeColor="text1"/>
        </w:rPr>
        <w:t xml:space="preserve"> From ancient legal principles to modern legislation , the concept of consent </w:t>
      </w:r>
      <w:r w:rsidR="009F6402">
        <w:rPr>
          <w:color w:val="000000" w:themeColor="text1"/>
        </w:rPr>
        <w:t>highlights the changing attitudes towards personal autonomy and bodily integrity</w:t>
      </w:r>
      <w:r w:rsidR="00E11BEB">
        <w:rPr>
          <w:color w:val="000000" w:themeColor="text1"/>
        </w:rPr>
        <w:t xml:space="preserve">. While consent is a recognised defence , it’s application </w:t>
      </w:r>
      <w:r w:rsidR="00A57508">
        <w:rPr>
          <w:color w:val="000000" w:themeColor="text1"/>
        </w:rPr>
        <w:t xml:space="preserve">plays a major part in concerning public policy considerations. The analysis of case law brought forward within this essay demonstrates how clearly </w:t>
      </w:r>
      <w:r w:rsidR="00667C06">
        <w:rPr>
          <w:color w:val="000000" w:themeColor="text1"/>
        </w:rPr>
        <w:t>complex the interplay of consent is within the context of physical context and battery</w:t>
      </w:r>
      <w:r w:rsidR="002D1833">
        <w:rPr>
          <w:color w:val="000000" w:themeColor="text1"/>
        </w:rPr>
        <w:t xml:space="preserve">. Statistical insights show that </w:t>
      </w:r>
      <w:r w:rsidR="00571CB9">
        <w:rPr>
          <w:color w:val="000000" w:themeColor="text1"/>
        </w:rPr>
        <w:t xml:space="preserve">police have taken a tougher view </w:t>
      </w:r>
      <w:r w:rsidR="00C74B0D">
        <w:rPr>
          <w:color w:val="000000" w:themeColor="text1"/>
        </w:rPr>
        <w:t>in every scope, as “</w:t>
      </w:r>
      <w:r w:rsidR="00EA2571">
        <w:rPr>
          <w:color w:val="000000" w:themeColor="text1"/>
        </w:rPr>
        <w:t xml:space="preserve"> arrest </w:t>
      </w:r>
      <w:r w:rsidR="00C74B0D" w:rsidRPr="00EA2571">
        <w:rPr>
          <w:rFonts w:eastAsia="Times New Roman"/>
          <w:color w:val="000000" w:themeColor="text1"/>
          <w:shd w:val="clear" w:color="auto" w:fill="FFFFFF"/>
        </w:rPr>
        <w:t>rates have increased across All Crime, Domestic Abuse and Hate Crime</w:t>
      </w:r>
      <w:r w:rsidR="00EA2571">
        <w:rPr>
          <w:rFonts w:eastAsia="Times New Roman"/>
          <w:color w:val="000000" w:themeColor="text1"/>
          <w:shd w:val="clear" w:color="auto" w:fill="FFFFFF"/>
        </w:rPr>
        <w:t xml:space="preserve">” (Crown prosecution service </w:t>
      </w:r>
      <w:r w:rsidR="004514FC">
        <w:rPr>
          <w:rFonts w:eastAsia="Times New Roman"/>
          <w:color w:val="000000" w:themeColor="text1"/>
          <w:shd w:val="clear" w:color="auto" w:fill="FFFFFF"/>
        </w:rPr>
        <w:t>2022) and this increase in arrest charges for violent crime some may argue stems from social pressure such as the previously mentioned #</w:t>
      </w:r>
      <w:proofErr w:type="spellStart"/>
      <w:r w:rsidR="004514FC">
        <w:rPr>
          <w:rFonts w:eastAsia="Times New Roman"/>
          <w:color w:val="000000" w:themeColor="text1"/>
          <w:shd w:val="clear" w:color="auto" w:fill="FFFFFF"/>
        </w:rPr>
        <w:t>metoo</w:t>
      </w:r>
      <w:proofErr w:type="spellEnd"/>
      <w:r w:rsidR="004514FC">
        <w:rPr>
          <w:rFonts w:eastAsia="Times New Roman"/>
          <w:color w:val="000000" w:themeColor="text1"/>
          <w:shd w:val="clear" w:color="auto" w:fill="FFFFFF"/>
        </w:rPr>
        <w:t xml:space="preserve"> and </w:t>
      </w:r>
      <w:r w:rsidR="00504A9D">
        <w:rPr>
          <w:rFonts w:eastAsia="Times New Roman"/>
          <w:color w:val="000000" w:themeColor="text1"/>
          <w:shd w:val="clear" w:color="auto" w:fill="FFFFFF"/>
        </w:rPr>
        <w:t>related movements. Within the future , a positive attitude for the U</w:t>
      </w:r>
      <w:r w:rsidR="004136DB">
        <w:rPr>
          <w:rFonts w:eastAsia="Times New Roman"/>
          <w:color w:val="000000" w:themeColor="text1"/>
          <w:shd w:val="clear" w:color="auto" w:fill="FFFFFF"/>
        </w:rPr>
        <w:t>nited Kingdom to possess is to be evolving</w:t>
      </w:r>
      <w:r w:rsidR="001915FA">
        <w:rPr>
          <w:rFonts w:eastAsia="Times New Roman"/>
          <w:color w:val="000000" w:themeColor="text1"/>
          <w:shd w:val="clear" w:color="auto" w:fill="FFFFFF"/>
        </w:rPr>
        <w:t xml:space="preserve"> (within the context of the concept of consent)</w:t>
      </w:r>
      <w:r w:rsidR="004136DB">
        <w:rPr>
          <w:rFonts w:eastAsia="Times New Roman"/>
          <w:color w:val="000000" w:themeColor="text1"/>
          <w:shd w:val="clear" w:color="auto" w:fill="FFFFFF"/>
        </w:rPr>
        <w:t xml:space="preserve"> alongside the sociopolitical</w:t>
      </w:r>
      <w:r w:rsidR="001915FA">
        <w:rPr>
          <w:rFonts w:eastAsia="Times New Roman"/>
          <w:color w:val="000000" w:themeColor="text1"/>
          <w:shd w:val="clear" w:color="auto" w:fill="FFFFFF"/>
        </w:rPr>
        <w:t xml:space="preserve"> climate that I’m sure shall be evolvin</w:t>
      </w:r>
      <w:r w:rsidR="00067847">
        <w:rPr>
          <w:rFonts w:eastAsia="Times New Roman"/>
          <w:color w:val="000000" w:themeColor="text1"/>
          <w:shd w:val="clear" w:color="auto" w:fill="FFFFFF"/>
        </w:rPr>
        <w:t xml:space="preserve">g with it. </w:t>
      </w:r>
      <w:r w:rsidR="00C74B0D">
        <w:rPr>
          <w:rStyle w:val="apple-converted-space"/>
          <w:rFonts w:ascii="Lato" w:eastAsia="Times New Roman" w:hAnsi="Lato"/>
          <w:color w:val="444444"/>
          <w:shd w:val="clear" w:color="auto" w:fill="FFFFFF"/>
        </w:rPr>
        <w:t> </w:t>
      </w:r>
      <w:r w:rsidR="00C74B0D">
        <w:rPr>
          <w:color w:val="000000" w:themeColor="text1"/>
        </w:rPr>
        <w:t xml:space="preserve"> </w:t>
      </w:r>
      <w:r w:rsidR="00667C06">
        <w:rPr>
          <w:color w:val="000000" w:themeColor="text1"/>
        </w:rPr>
        <w:t xml:space="preserve"> </w:t>
      </w:r>
      <w:r w:rsidR="00CE14A6">
        <w:rPr>
          <w:color w:val="000000" w:themeColor="text1"/>
        </w:rPr>
        <w:t>But a key element that the legislative framework of our country must possess is making consent a cornerstone of</w:t>
      </w:r>
      <w:r w:rsidR="004E0F32">
        <w:rPr>
          <w:color w:val="000000" w:themeColor="text1"/>
        </w:rPr>
        <w:t xml:space="preserve"> </w:t>
      </w:r>
      <w:r w:rsidR="00E8483A">
        <w:rPr>
          <w:color w:val="000000" w:themeColor="text1"/>
        </w:rPr>
        <w:t xml:space="preserve">our legal system , as it allows people to act safely and protect those who cannot </w:t>
      </w:r>
      <w:r w:rsidR="00A63691">
        <w:rPr>
          <w:color w:val="000000" w:themeColor="text1"/>
        </w:rPr>
        <w:t>act for themselves.</w:t>
      </w:r>
    </w:p>
    <w:p w14:paraId="500B0BB6" w14:textId="77777777" w:rsidR="00361E5F" w:rsidRDefault="00361E5F" w:rsidP="009F3622">
      <w:pPr>
        <w:spacing w:line="480" w:lineRule="auto"/>
        <w:rPr>
          <w:color w:val="000000" w:themeColor="text1"/>
        </w:rPr>
      </w:pPr>
    </w:p>
    <w:p w14:paraId="7CE738DE" w14:textId="77777777" w:rsidR="001B16E8" w:rsidRDefault="001B16E8" w:rsidP="009F3622">
      <w:pPr>
        <w:spacing w:line="480" w:lineRule="auto"/>
        <w:rPr>
          <w:color w:val="000000" w:themeColor="text1"/>
        </w:rPr>
      </w:pPr>
    </w:p>
    <w:p w14:paraId="532BE625" w14:textId="5628F90D" w:rsidR="001B16E8" w:rsidRDefault="00BD62E0">
      <w:pPr>
        <w:rPr>
          <w:color w:val="000000" w:themeColor="text1"/>
        </w:rPr>
      </w:pPr>
      <w:r>
        <w:rPr>
          <w:color w:val="000000" w:themeColor="text1"/>
        </w:rPr>
        <w:t>Reference list</w:t>
      </w:r>
      <w:r w:rsidR="001B16E8">
        <w:rPr>
          <w:color w:val="000000" w:themeColor="text1"/>
        </w:rPr>
        <w:t>:</w:t>
      </w:r>
    </w:p>
    <w:p w14:paraId="40E2C4C7" w14:textId="7D8DBDDA" w:rsidR="00BD62E0" w:rsidRDefault="00BD62E0">
      <w:pPr>
        <w:rPr>
          <w:color w:val="000000" w:themeColor="text1"/>
        </w:rPr>
      </w:pPr>
    </w:p>
    <w:p w14:paraId="1674FB33" w14:textId="09749544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Brown University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(no date)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Consent | Health Promotion | Brown University. Available at: https://www.brown.edu/campus-life/health/services/promotion/general-health-social-wellbeing/consent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20D582E2" w14:textId="588F0541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lastRenderedPageBreak/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Controlling or coercive behaviour in an intimate or family relationship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(no date)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Controlling or Coercive Behaviour in an Intimate or Family Relationship | The Crown Prosecution Service. Available at: https://www.cps.gov.uk/legal-guidance/controlling-or-coercive-behaviour-intimate-or-family-relationship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3A0AEA26" w14:textId="01C96742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CPS Quarterly Data Summaries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(no date)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The Crown Prosecution Service. Available at: https://www.cps.gov.uk/publication/cps-data-summary-quarter-1-2022-2023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4FC589AC" w14:textId="268AFDE2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Domestic abuse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(no date)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The Crown Prosecution Service. Available at: https://www.cps.gov.uk/london-south/news/summary-successful-domestic-abuse-cases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683F6B77" w14:textId="3D3A95B4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Legal dictionary - law.com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(no date)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Law.com Legal Dictionary. Available at: https://dictionary.law.com/Default.aspx?typed=consent&amp;type=1#:~:text=Search%20Legal%20Terms%20and%20Definitions&amp;text=n.,from%20contracts%20to%20sexual%20relations.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640AA838" w14:textId="0B8DF9A1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Ltd, A.A. (2023)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proofErr w:type="spellStart"/>
      <w:r w:rsidR="00154B09" w:rsidRPr="00EC1004">
        <w:rPr>
          <w:rFonts w:asciiTheme="minorHAnsi" w:hAnsiTheme="minorHAnsi"/>
          <w:color w:val="000000"/>
          <w:sz w:val="22"/>
          <w:szCs w:val="22"/>
        </w:rPr>
        <w:t>Haystead</w:t>
      </w:r>
      <w:proofErr w:type="spellEnd"/>
      <w:r w:rsidR="00154B09" w:rsidRPr="00EC1004">
        <w:rPr>
          <w:rFonts w:asciiTheme="minorHAnsi" w:hAnsiTheme="minorHAnsi"/>
          <w:color w:val="000000"/>
          <w:sz w:val="22"/>
          <w:szCs w:val="22"/>
        </w:rPr>
        <w:t xml:space="preserve"> v DPP,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Law Teacher. Available at: https://www.lawteacher.net/cases/haystead-v-dpp.php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07E44D14" w14:textId="60AE43CB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Oxbridge Notes (2023)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 xml:space="preserve">R v barnes [2005] </w:t>
      </w:r>
      <w:proofErr w:type="spellStart"/>
      <w:r w:rsidR="00154B09" w:rsidRPr="00EC1004">
        <w:rPr>
          <w:rFonts w:asciiTheme="minorHAnsi" w:hAnsiTheme="minorHAnsi"/>
          <w:color w:val="000000"/>
          <w:sz w:val="22"/>
          <w:szCs w:val="22"/>
        </w:rPr>
        <w:t>Crim</w:t>
      </w:r>
      <w:proofErr w:type="spellEnd"/>
      <w:r w:rsidR="00154B09" w:rsidRPr="00EC1004">
        <w:rPr>
          <w:rFonts w:asciiTheme="minorHAnsi" w:hAnsiTheme="minorHAnsi"/>
          <w:color w:val="000000"/>
          <w:sz w:val="22"/>
          <w:szCs w:val="22"/>
        </w:rPr>
        <w:t xml:space="preserve"> LR 381 - case summary,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Oxbridge Notes. Available at: https://www.oxbridgenotes.co.uk/law_cases/r-v-barnes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5C6DBED9" w14:textId="186BA654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Taylor, J.S. (2005)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Personal autonomy new essays on personal autonomy and its role in contemporary moral philosophy. Cambridge: Cambridge University Press.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793F68B7" w14:textId="74D8A759" w:rsidR="00154B09" w:rsidRPr="00EC1004" w:rsidRDefault="00EC1004">
      <w:pPr>
        <w:pStyle w:val="NormalWeb"/>
        <w:ind w:left="567" w:hanging="567"/>
        <w:divId w:val="1055662549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-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Yates, J. (2021)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 xml:space="preserve">What is the difference between assault, Battery, </w:t>
      </w:r>
      <w:proofErr w:type="spellStart"/>
      <w:r w:rsidR="00154B09" w:rsidRPr="00EC1004">
        <w:rPr>
          <w:rFonts w:asciiTheme="minorHAnsi" w:hAnsiTheme="minorHAnsi"/>
          <w:color w:val="000000"/>
          <w:sz w:val="22"/>
          <w:szCs w:val="22"/>
        </w:rPr>
        <w:t>abh</w:t>
      </w:r>
      <w:proofErr w:type="spellEnd"/>
      <w:r w:rsidR="00154B09" w:rsidRPr="00EC1004">
        <w:rPr>
          <w:rFonts w:asciiTheme="minorHAnsi" w:hAnsiTheme="minorHAnsi"/>
          <w:color w:val="000000"/>
          <w:sz w:val="22"/>
          <w:szCs w:val="22"/>
        </w:rPr>
        <w:t xml:space="preserve"> and GBH?: Martin Cray &amp; Co..,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Martin Cray and Co.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  <w:r w:rsidR="00154B09" w:rsidRPr="00EC1004">
        <w:rPr>
          <w:rFonts w:asciiTheme="minorHAnsi" w:hAnsiTheme="minorHAnsi"/>
          <w:color w:val="000000"/>
          <w:sz w:val="22"/>
          <w:szCs w:val="22"/>
        </w:rPr>
        <w:t>Available at: https://martincray.co.uk/advice/what-is-assault-battery-abh-and-gbh/ (Accessed: 10 November 2023).</w:t>
      </w:r>
      <w:r w:rsidR="00154B09" w:rsidRPr="00EC1004">
        <w:rPr>
          <w:rStyle w:val="apple-converted-space"/>
          <w:rFonts w:asciiTheme="minorHAnsi" w:hAnsiTheme="minorHAnsi"/>
          <w:color w:val="000000"/>
          <w:sz w:val="22"/>
          <w:szCs w:val="22"/>
        </w:rPr>
        <w:t> </w:t>
      </w:r>
    </w:p>
    <w:p w14:paraId="7C974DDB" w14:textId="77777777" w:rsidR="00154B09" w:rsidRPr="00DF6D96" w:rsidRDefault="00154B09">
      <w:pPr>
        <w:rPr>
          <w:color w:val="000000" w:themeColor="text1"/>
        </w:rPr>
      </w:pPr>
    </w:p>
    <w:sectPr w:rsidR="00154B09" w:rsidRPr="00DF6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33"/>
    <w:rsid w:val="00004EF7"/>
    <w:rsid w:val="000501B3"/>
    <w:rsid w:val="0005687F"/>
    <w:rsid w:val="00067847"/>
    <w:rsid w:val="0008042D"/>
    <w:rsid w:val="000827D2"/>
    <w:rsid w:val="000934F5"/>
    <w:rsid w:val="000A655A"/>
    <w:rsid w:val="000B55CD"/>
    <w:rsid w:val="000D391F"/>
    <w:rsid w:val="00120631"/>
    <w:rsid w:val="00154B09"/>
    <w:rsid w:val="001915FA"/>
    <w:rsid w:val="001A1433"/>
    <w:rsid w:val="001A5247"/>
    <w:rsid w:val="001B16E8"/>
    <w:rsid w:val="001C50B8"/>
    <w:rsid w:val="001E1247"/>
    <w:rsid w:val="00204C7B"/>
    <w:rsid w:val="002153F2"/>
    <w:rsid w:val="00241572"/>
    <w:rsid w:val="00261481"/>
    <w:rsid w:val="002874C4"/>
    <w:rsid w:val="002B648A"/>
    <w:rsid w:val="002D1833"/>
    <w:rsid w:val="002D69C9"/>
    <w:rsid w:val="002E1E8A"/>
    <w:rsid w:val="002F5C8F"/>
    <w:rsid w:val="0030203C"/>
    <w:rsid w:val="003174E8"/>
    <w:rsid w:val="00361E5F"/>
    <w:rsid w:val="00363C07"/>
    <w:rsid w:val="00373954"/>
    <w:rsid w:val="00394579"/>
    <w:rsid w:val="003A16B7"/>
    <w:rsid w:val="003A1BE5"/>
    <w:rsid w:val="003C0E90"/>
    <w:rsid w:val="003D4425"/>
    <w:rsid w:val="003D7996"/>
    <w:rsid w:val="003E012C"/>
    <w:rsid w:val="003E5DBF"/>
    <w:rsid w:val="003F3C77"/>
    <w:rsid w:val="003F7B3B"/>
    <w:rsid w:val="004136DB"/>
    <w:rsid w:val="0041383A"/>
    <w:rsid w:val="00442FB0"/>
    <w:rsid w:val="00443753"/>
    <w:rsid w:val="00445FB6"/>
    <w:rsid w:val="00447FA4"/>
    <w:rsid w:val="004514FC"/>
    <w:rsid w:val="00456011"/>
    <w:rsid w:val="00457CF4"/>
    <w:rsid w:val="00484D3E"/>
    <w:rsid w:val="004952AE"/>
    <w:rsid w:val="004B7632"/>
    <w:rsid w:val="004C56A1"/>
    <w:rsid w:val="004E0F32"/>
    <w:rsid w:val="004F2C5D"/>
    <w:rsid w:val="0050234A"/>
    <w:rsid w:val="00504A9D"/>
    <w:rsid w:val="00514BB3"/>
    <w:rsid w:val="00564E7D"/>
    <w:rsid w:val="00571CB9"/>
    <w:rsid w:val="005821A6"/>
    <w:rsid w:val="005B1FD9"/>
    <w:rsid w:val="005C4600"/>
    <w:rsid w:val="005C7193"/>
    <w:rsid w:val="005D1737"/>
    <w:rsid w:val="005D30B6"/>
    <w:rsid w:val="006132DC"/>
    <w:rsid w:val="00613378"/>
    <w:rsid w:val="00615EF6"/>
    <w:rsid w:val="00616F4A"/>
    <w:rsid w:val="0062184C"/>
    <w:rsid w:val="006507A5"/>
    <w:rsid w:val="00662CF0"/>
    <w:rsid w:val="00667C06"/>
    <w:rsid w:val="00680ADE"/>
    <w:rsid w:val="006A71EA"/>
    <w:rsid w:val="006B56CA"/>
    <w:rsid w:val="006C1B30"/>
    <w:rsid w:val="006C7D52"/>
    <w:rsid w:val="006D0B32"/>
    <w:rsid w:val="006E2A67"/>
    <w:rsid w:val="006E4BF2"/>
    <w:rsid w:val="00727797"/>
    <w:rsid w:val="00790EE3"/>
    <w:rsid w:val="007A0769"/>
    <w:rsid w:val="007B7138"/>
    <w:rsid w:val="007C7B17"/>
    <w:rsid w:val="007D0125"/>
    <w:rsid w:val="007D02C4"/>
    <w:rsid w:val="007D5825"/>
    <w:rsid w:val="007D5B12"/>
    <w:rsid w:val="007F48BB"/>
    <w:rsid w:val="00801FC5"/>
    <w:rsid w:val="008036AE"/>
    <w:rsid w:val="00805838"/>
    <w:rsid w:val="00812781"/>
    <w:rsid w:val="008146EE"/>
    <w:rsid w:val="00863060"/>
    <w:rsid w:val="00863A08"/>
    <w:rsid w:val="008A2ACE"/>
    <w:rsid w:val="008C1A3E"/>
    <w:rsid w:val="008E5E6A"/>
    <w:rsid w:val="00920266"/>
    <w:rsid w:val="009411A7"/>
    <w:rsid w:val="00941EB9"/>
    <w:rsid w:val="009437AE"/>
    <w:rsid w:val="00950FB2"/>
    <w:rsid w:val="009553E8"/>
    <w:rsid w:val="009736D8"/>
    <w:rsid w:val="009808D9"/>
    <w:rsid w:val="009819BF"/>
    <w:rsid w:val="0099095A"/>
    <w:rsid w:val="00993401"/>
    <w:rsid w:val="009C35A4"/>
    <w:rsid w:val="009D4EBA"/>
    <w:rsid w:val="009E4D13"/>
    <w:rsid w:val="009F3622"/>
    <w:rsid w:val="009F481C"/>
    <w:rsid w:val="009F6402"/>
    <w:rsid w:val="00A13CE5"/>
    <w:rsid w:val="00A262AB"/>
    <w:rsid w:val="00A44420"/>
    <w:rsid w:val="00A44AE1"/>
    <w:rsid w:val="00A4669D"/>
    <w:rsid w:val="00A56F5B"/>
    <w:rsid w:val="00A57508"/>
    <w:rsid w:val="00A602C6"/>
    <w:rsid w:val="00A63691"/>
    <w:rsid w:val="00A7759A"/>
    <w:rsid w:val="00A8329B"/>
    <w:rsid w:val="00A84D73"/>
    <w:rsid w:val="00A91E86"/>
    <w:rsid w:val="00A93CC4"/>
    <w:rsid w:val="00AA6651"/>
    <w:rsid w:val="00AB1018"/>
    <w:rsid w:val="00AB4E59"/>
    <w:rsid w:val="00AC6E0C"/>
    <w:rsid w:val="00AD5666"/>
    <w:rsid w:val="00AF7FD7"/>
    <w:rsid w:val="00B00755"/>
    <w:rsid w:val="00B05F88"/>
    <w:rsid w:val="00B12AEC"/>
    <w:rsid w:val="00B160AB"/>
    <w:rsid w:val="00B26FC7"/>
    <w:rsid w:val="00B46ECF"/>
    <w:rsid w:val="00B50F13"/>
    <w:rsid w:val="00B5362C"/>
    <w:rsid w:val="00B67E7A"/>
    <w:rsid w:val="00B7242D"/>
    <w:rsid w:val="00BD08B0"/>
    <w:rsid w:val="00BD62E0"/>
    <w:rsid w:val="00BF5B1D"/>
    <w:rsid w:val="00BF681D"/>
    <w:rsid w:val="00C03B13"/>
    <w:rsid w:val="00C10EB8"/>
    <w:rsid w:val="00C40F8C"/>
    <w:rsid w:val="00C450C1"/>
    <w:rsid w:val="00C511BF"/>
    <w:rsid w:val="00C55653"/>
    <w:rsid w:val="00C66A4A"/>
    <w:rsid w:val="00C74B0D"/>
    <w:rsid w:val="00C809AF"/>
    <w:rsid w:val="00C94A96"/>
    <w:rsid w:val="00CB31A5"/>
    <w:rsid w:val="00CB7CE1"/>
    <w:rsid w:val="00CE14A6"/>
    <w:rsid w:val="00CE16C9"/>
    <w:rsid w:val="00CE4EA3"/>
    <w:rsid w:val="00D250EA"/>
    <w:rsid w:val="00D4631D"/>
    <w:rsid w:val="00D605BC"/>
    <w:rsid w:val="00D8512C"/>
    <w:rsid w:val="00D90E8A"/>
    <w:rsid w:val="00DA4C09"/>
    <w:rsid w:val="00DE4221"/>
    <w:rsid w:val="00DE7DCC"/>
    <w:rsid w:val="00DF029B"/>
    <w:rsid w:val="00DF6D96"/>
    <w:rsid w:val="00E037BB"/>
    <w:rsid w:val="00E05727"/>
    <w:rsid w:val="00E11BEB"/>
    <w:rsid w:val="00E234ED"/>
    <w:rsid w:val="00E44132"/>
    <w:rsid w:val="00E509EF"/>
    <w:rsid w:val="00E8483A"/>
    <w:rsid w:val="00E91901"/>
    <w:rsid w:val="00EA2571"/>
    <w:rsid w:val="00EA6DB7"/>
    <w:rsid w:val="00EA6F78"/>
    <w:rsid w:val="00EB6A4C"/>
    <w:rsid w:val="00EC1004"/>
    <w:rsid w:val="00EC683A"/>
    <w:rsid w:val="00F02624"/>
    <w:rsid w:val="00F03A51"/>
    <w:rsid w:val="00F11689"/>
    <w:rsid w:val="00F1613B"/>
    <w:rsid w:val="00F30663"/>
    <w:rsid w:val="00F67837"/>
    <w:rsid w:val="00F73F50"/>
    <w:rsid w:val="00F777F0"/>
    <w:rsid w:val="00FC04AC"/>
    <w:rsid w:val="00FD0A40"/>
    <w:rsid w:val="00FD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D5D66B"/>
  <w15:chartTrackingRefBased/>
  <w15:docId w15:val="{3AD89FE3-8953-9C45-96B8-8BE952E7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029B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apple-converted-space">
    <w:name w:val="apple-converted-space"/>
    <w:basedOn w:val="DefaultParagraphFont"/>
    <w:rsid w:val="001E1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1552</Words>
  <Characters>8850</Characters>
  <Application>Microsoft Office Word</Application>
  <DocSecurity>0</DocSecurity>
  <Lines>73</Lines>
  <Paragraphs>20</Paragraphs>
  <ScaleCrop>false</ScaleCrop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 Salmon (2217676)</dc:creator>
  <cp:keywords/>
  <dc:description/>
  <cp:lastModifiedBy>Caleb Salmon (2217676)</cp:lastModifiedBy>
  <cp:revision>138</cp:revision>
  <dcterms:created xsi:type="dcterms:W3CDTF">2023-11-09T23:46:00Z</dcterms:created>
  <dcterms:modified xsi:type="dcterms:W3CDTF">2023-11-10T18:40:00Z</dcterms:modified>
</cp:coreProperties>
</file>