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2DACAED2"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2967F3A4"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973BA6">
        <w:rPr>
          <w:rFonts w:ascii="Arial" w:hAnsi="Arial" w:cs="Arial"/>
          <w:sz w:val="28"/>
          <w:szCs w:val="28"/>
          <w:lang w:val="nl-NL"/>
        </w:rPr>
        <w:t>Ortenzia Alexandra Barcea</w:t>
      </w:r>
    </w:p>
    <w:p w14:paraId="18D88AE2" w14:textId="0BF4A7F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973BA6">
        <w:rPr>
          <w:rFonts w:ascii="Arial" w:hAnsi="Arial" w:cs="Arial"/>
          <w:sz w:val="28"/>
          <w:szCs w:val="28"/>
          <w:lang w:val="nl-NL"/>
        </w:rPr>
        <w:t>2412822</w:t>
      </w:r>
    </w:p>
    <w:p w14:paraId="3D8DA301" w14:textId="3DEA012A"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7F547D">
        <w:rPr>
          <w:rFonts w:ascii="Arial" w:hAnsi="Arial" w:cs="Arial"/>
          <w:sz w:val="28"/>
          <w:szCs w:val="28"/>
          <w:lang w:val="nl-NL"/>
        </w:rPr>
        <w:t xml:space="preserve">Changemakers Building Personal Brend </w:t>
      </w:r>
    </w:p>
    <w:p w14:paraId="4464B9DF" w14:textId="6E17E4E0" w:rsidR="00030DD1" w:rsidRPr="002348FB" w:rsidRDefault="00C558B0" w:rsidP="00030DD1">
      <w:pPr>
        <w:pStyle w:val="Heading1"/>
        <w:spacing w:before="0"/>
        <w:rPr>
          <w:rFonts w:ascii="Segoe UI" w:eastAsia="Times New Roman" w:hAnsi="Segoe UI" w:cs="Segoe UI"/>
          <w:b/>
          <w:bCs/>
          <w:color w:val="0D0D0D" w:themeColor="text1" w:themeTint="F2"/>
          <w:kern w:val="36"/>
          <w:sz w:val="48"/>
          <w:szCs w:val="48"/>
          <w:lang w:eastAsia="en-GB"/>
        </w:rPr>
      </w:pPr>
      <w:r w:rsidRPr="002348FB">
        <w:rPr>
          <w:rFonts w:ascii="Arial" w:hAnsi="Arial" w:cs="Arial"/>
          <w:b/>
          <w:bCs/>
          <w:color w:val="0D0D0D" w:themeColor="text1" w:themeTint="F2"/>
          <w:sz w:val="28"/>
          <w:szCs w:val="28"/>
          <w:lang w:val="fr-FR"/>
        </w:rPr>
        <w:t xml:space="preserve">Module </w:t>
      </w:r>
      <w:proofErr w:type="gramStart"/>
      <w:r w:rsidRPr="002348FB">
        <w:rPr>
          <w:rFonts w:ascii="Arial" w:hAnsi="Arial" w:cs="Arial"/>
          <w:b/>
          <w:bCs/>
          <w:color w:val="0D0D0D" w:themeColor="text1" w:themeTint="F2"/>
          <w:sz w:val="28"/>
          <w:szCs w:val="28"/>
          <w:lang w:val="fr-FR"/>
        </w:rPr>
        <w:t>code</w:t>
      </w:r>
      <w:r w:rsidRPr="002348FB">
        <w:rPr>
          <w:rFonts w:ascii="Arial" w:hAnsi="Arial" w:cs="Arial"/>
          <w:color w:val="0D0D0D" w:themeColor="text1" w:themeTint="F2"/>
          <w:sz w:val="28"/>
          <w:szCs w:val="28"/>
          <w:lang w:val="fr-FR"/>
        </w:rPr>
        <w:t>:</w:t>
      </w:r>
      <w:proofErr w:type="gramEnd"/>
      <w:r w:rsidR="00030DD1" w:rsidRPr="002348FB">
        <w:rPr>
          <w:rFonts w:ascii="Segoe UI" w:eastAsia="Times New Roman" w:hAnsi="Segoe UI" w:cs="Segoe UI"/>
          <w:b/>
          <w:bCs/>
          <w:color w:val="0D0D0D" w:themeColor="text1" w:themeTint="F2"/>
          <w:kern w:val="36"/>
          <w:sz w:val="48"/>
          <w:szCs w:val="48"/>
          <w:lang w:eastAsia="en-GB"/>
        </w:rPr>
        <w:t xml:space="preserve"> </w:t>
      </w:r>
      <w:r w:rsidR="00030DD1" w:rsidRPr="002348FB">
        <w:rPr>
          <w:rFonts w:ascii="AriEL" w:eastAsia="Times New Roman" w:hAnsi="AriEL" w:cs="Segoe UI"/>
          <w:color w:val="0D0D0D" w:themeColor="text1" w:themeTint="F2"/>
          <w:kern w:val="36"/>
          <w:lang w:eastAsia="en-GB"/>
        </w:rPr>
        <w:t>BMHP5015_LON</w:t>
      </w:r>
    </w:p>
    <w:p w14:paraId="1F0BF0D6" w14:textId="77777777" w:rsidR="002348FB" w:rsidRDefault="002348FB" w:rsidP="00594FAC">
      <w:pPr>
        <w:tabs>
          <w:tab w:val="left" w:pos="6540"/>
        </w:tabs>
        <w:spacing w:line="360" w:lineRule="auto"/>
        <w:rPr>
          <w:rFonts w:ascii="Arial" w:hAnsi="Arial" w:cs="Arial"/>
          <w:sz w:val="28"/>
          <w:szCs w:val="28"/>
          <w:lang w:val="fr-FR"/>
        </w:rPr>
      </w:pPr>
    </w:p>
    <w:p w14:paraId="463562DE" w14:textId="787AA2B6" w:rsidR="008C125B"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r w:rsidRPr="00821FD2">
        <w:rPr>
          <w:rFonts w:ascii="Arial" w:hAnsi="Arial" w:cs="Arial"/>
          <w:sz w:val="28"/>
          <w:szCs w:val="28"/>
          <w:lang w:val="fr-FR"/>
        </w:rPr>
        <w:t>:</w:t>
      </w:r>
      <w:r w:rsidR="008C125B">
        <w:rPr>
          <w:rFonts w:ascii="Arial" w:hAnsi="Arial" w:cs="Arial"/>
          <w:sz w:val="28"/>
          <w:szCs w:val="28"/>
          <w:lang w:val="fr-FR"/>
        </w:rPr>
        <w:t>Brian</w:t>
      </w:r>
      <w:proofErr w:type="spellEnd"/>
      <w:proofErr w:type="gramEnd"/>
      <w:r w:rsidR="008C125B">
        <w:rPr>
          <w:rFonts w:ascii="Arial" w:hAnsi="Arial" w:cs="Arial"/>
          <w:sz w:val="28"/>
          <w:szCs w:val="28"/>
          <w:lang w:val="fr-FR"/>
        </w:rPr>
        <w:t xml:space="preserve"> Mashumba </w:t>
      </w:r>
    </w:p>
    <w:p w14:paraId="73357935" w14:textId="3F6CFABE" w:rsidR="00981499" w:rsidRDefault="00981499" w:rsidP="00594FAC">
      <w:pPr>
        <w:tabs>
          <w:tab w:val="left" w:pos="6540"/>
        </w:tabs>
        <w:spacing w:line="360" w:lineRule="auto"/>
        <w:rPr>
          <w:rFonts w:ascii="Arial" w:hAnsi="Arial" w:cs="Arial"/>
          <w:sz w:val="28"/>
          <w:szCs w:val="28"/>
          <w:lang w:val="fr-FR"/>
        </w:rPr>
      </w:pPr>
      <w:r>
        <w:rPr>
          <w:rFonts w:ascii="Arial" w:hAnsi="Arial" w:cs="Arial"/>
          <w:sz w:val="28"/>
          <w:szCs w:val="28"/>
          <w:lang w:val="fr-FR"/>
        </w:rPr>
        <w:t xml:space="preserve">  </w:t>
      </w:r>
    </w:p>
    <w:p w14:paraId="1CA14A81" w14:textId="77777777" w:rsidR="00981499" w:rsidRDefault="00981499" w:rsidP="00594FAC">
      <w:pPr>
        <w:tabs>
          <w:tab w:val="left" w:pos="6540"/>
        </w:tabs>
        <w:spacing w:line="360" w:lineRule="auto"/>
        <w:rPr>
          <w:rFonts w:ascii="Arial" w:hAnsi="Arial" w:cs="Arial"/>
          <w:sz w:val="28"/>
          <w:szCs w:val="28"/>
          <w:lang w:val="fr-FR"/>
        </w:rPr>
      </w:pPr>
    </w:p>
    <w:p w14:paraId="7D5124D5" w14:textId="77777777" w:rsidR="00981499" w:rsidRDefault="00981499" w:rsidP="00594FAC">
      <w:pPr>
        <w:tabs>
          <w:tab w:val="left" w:pos="6540"/>
        </w:tabs>
        <w:spacing w:line="360" w:lineRule="auto"/>
        <w:rPr>
          <w:rFonts w:ascii="Arial" w:hAnsi="Arial" w:cs="Arial"/>
          <w:sz w:val="28"/>
          <w:szCs w:val="28"/>
          <w:lang w:val="fr-FR"/>
        </w:rPr>
      </w:pPr>
    </w:p>
    <w:p w14:paraId="4BD3DD91" w14:textId="77777777" w:rsidR="00981499" w:rsidRDefault="00981499" w:rsidP="00594FAC">
      <w:pPr>
        <w:tabs>
          <w:tab w:val="left" w:pos="6540"/>
        </w:tabs>
        <w:spacing w:line="360" w:lineRule="auto"/>
        <w:rPr>
          <w:rFonts w:ascii="Arial" w:hAnsi="Arial" w:cs="Arial"/>
          <w:sz w:val="28"/>
          <w:szCs w:val="28"/>
          <w:lang w:val="fr-FR"/>
        </w:rPr>
      </w:pPr>
    </w:p>
    <w:p w14:paraId="7137EAF5" w14:textId="77777777" w:rsidR="00981499" w:rsidRDefault="00981499" w:rsidP="00594FAC">
      <w:pPr>
        <w:tabs>
          <w:tab w:val="left" w:pos="6540"/>
        </w:tabs>
        <w:spacing w:line="360" w:lineRule="auto"/>
        <w:rPr>
          <w:rFonts w:ascii="Arial" w:hAnsi="Arial" w:cs="Arial"/>
          <w:sz w:val="28"/>
          <w:szCs w:val="28"/>
          <w:lang w:val="fr-FR"/>
        </w:rPr>
      </w:pPr>
    </w:p>
    <w:p w14:paraId="7B813A9A" w14:textId="1D9B3782" w:rsidR="008C125B" w:rsidRPr="00821FD2" w:rsidRDefault="00981499" w:rsidP="00594FAC">
      <w:pPr>
        <w:tabs>
          <w:tab w:val="left" w:pos="6540"/>
        </w:tabs>
        <w:spacing w:line="360" w:lineRule="auto"/>
        <w:rPr>
          <w:rFonts w:ascii="Arial" w:hAnsi="Arial" w:cs="Arial"/>
          <w:sz w:val="28"/>
          <w:szCs w:val="28"/>
          <w:lang w:val="fr-FR"/>
        </w:rPr>
      </w:pPr>
      <w:r>
        <w:rPr>
          <w:rFonts w:ascii="Arial" w:hAnsi="Arial" w:cs="Arial"/>
          <w:sz w:val="28"/>
          <w:szCs w:val="28"/>
          <w:lang w:val="fr-FR"/>
        </w:rPr>
        <w:t xml:space="preserve">                                                                  </w:t>
      </w:r>
      <w:r w:rsidR="00A51ED7">
        <w:rPr>
          <w:rFonts w:ascii="Arial" w:hAnsi="Arial" w:cs="Arial"/>
          <w:sz w:val="28"/>
          <w:szCs w:val="28"/>
          <w:lang w:val="fr-FR"/>
        </w:rPr>
        <w:t xml:space="preserve">SUBMITED :31 July </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4011F60F" w14:textId="618E5D13" w:rsidR="008C7D17" w:rsidRPr="00A33649" w:rsidRDefault="006D2F2D" w:rsidP="00A33649">
      <w:pPr>
        <w:spacing w:line="360" w:lineRule="auto"/>
        <w:rPr>
          <w:rFonts w:ascii="Arial" w:hAnsi="Arial" w:cs="Arial"/>
          <w:lang w:val="fr-FR"/>
        </w:rPr>
      </w:pPr>
      <w:r w:rsidRPr="00821FD2">
        <w:rPr>
          <w:rFonts w:ascii="Arial" w:hAnsi="Arial" w:cs="Arial"/>
          <w:lang w:val="fr-FR"/>
        </w:rPr>
        <w:br w:type="page"/>
      </w:r>
    </w:p>
    <w:p w14:paraId="6427E816" w14:textId="5DA0B25D" w:rsidR="00450ECF" w:rsidRPr="00BB0D4C" w:rsidRDefault="00450ECF" w:rsidP="00BB0D4C">
      <w:pPr>
        <w:pStyle w:val="Heading2"/>
        <w:spacing w:line="360" w:lineRule="auto"/>
        <w:jc w:val="both"/>
        <w:rPr>
          <w:rFonts w:ascii="AriEL" w:hAnsi="AriEL"/>
        </w:rPr>
      </w:pPr>
      <w:r w:rsidRPr="00BB0D4C">
        <w:rPr>
          <w:rStyle w:val="Strong"/>
          <w:rFonts w:ascii="AriEL" w:hAnsi="AriEL"/>
          <w:b/>
          <w:bCs/>
        </w:rPr>
        <w:lastRenderedPageBreak/>
        <w:t xml:space="preserve">Task 1 – Unit 1: Brand You </w:t>
      </w:r>
    </w:p>
    <w:p w14:paraId="32935A22" w14:textId="77777777" w:rsidR="00551E7F" w:rsidRPr="00BB0D4C" w:rsidRDefault="00450ECF" w:rsidP="00BB0D4C">
      <w:pPr>
        <w:pStyle w:val="NormalWeb"/>
        <w:spacing w:line="360" w:lineRule="auto"/>
        <w:jc w:val="both"/>
        <w:rPr>
          <w:rFonts w:ascii="AriEL" w:hAnsi="AriEL"/>
        </w:rPr>
      </w:pPr>
      <w:r w:rsidRPr="00BB0D4C">
        <w:rPr>
          <w:rFonts w:ascii="AriEL" w:hAnsi="AriEL"/>
        </w:rPr>
        <w:t xml:space="preserve">This assignment focuses on reflecting on the key concepts explored in Unit 1: </w:t>
      </w:r>
      <w:r w:rsidRPr="00BB0D4C">
        <w:rPr>
          <w:rStyle w:val="Emphasis"/>
          <w:rFonts w:ascii="AriEL" w:hAnsi="AriEL"/>
        </w:rPr>
        <w:t>Brand You</w:t>
      </w:r>
      <w:r w:rsidRPr="00BB0D4C">
        <w:rPr>
          <w:rFonts w:ascii="AriEL" w:hAnsi="AriEL"/>
        </w:rPr>
        <w:t xml:space="preserve">, examining how these ideas have shaped my understanding of personal branding and professional identity. The unit encouraged a deeper awareness of how individuals communicate their value, strengths, and professional narrative within competitive labour markets. In this reflection, I discuss three core concepts: </w:t>
      </w:r>
      <w:r w:rsidR="00B42519" w:rsidRPr="00BB0D4C">
        <w:rPr>
          <w:rStyle w:val="Strong"/>
          <w:rFonts w:ascii="AriEL" w:hAnsi="AriEL"/>
          <w:b w:val="0"/>
          <w:bCs w:val="0"/>
        </w:rPr>
        <w:t>self</w:t>
      </w:r>
      <w:r w:rsidR="00B42519" w:rsidRPr="00BB0D4C">
        <w:rPr>
          <w:rStyle w:val="Strong"/>
          <w:rFonts w:ascii="AriEL" w:hAnsi="AriEL"/>
          <w:b w:val="0"/>
          <w:bCs w:val="0"/>
        </w:rPr>
        <w:noBreakHyphen/>
        <w:t>awareness</w:t>
      </w:r>
      <w:r w:rsidR="00B42519" w:rsidRPr="00BB0D4C">
        <w:rPr>
          <w:rFonts w:ascii="AriEL" w:hAnsi="AriEL"/>
          <w:b/>
          <w:bCs/>
        </w:rPr>
        <w:t xml:space="preserve">, </w:t>
      </w:r>
      <w:r w:rsidR="00B42519" w:rsidRPr="00BB0D4C">
        <w:rPr>
          <w:rStyle w:val="Strong"/>
          <w:rFonts w:ascii="AriEL" w:hAnsi="AriEL"/>
          <w:b w:val="0"/>
          <w:bCs w:val="0"/>
        </w:rPr>
        <w:t>digital identity</w:t>
      </w:r>
      <w:r w:rsidR="00B42519" w:rsidRPr="00BB0D4C">
        <w:rPr>
          <w:rFonts w:ascii="AriEL" w:hAnsi="AriEL"/>
        </w:rPr>
        <w:t xml:space="preserve">, and </w:t>
      </w:r>
      <w:r w:rsidR="00B42519" w:rsidRPr="00BB0D4C">
        <w:rPr>
          <w:rStyle w:val="Strong"/>
          <w:rFonts w:ascii="AriEL" w:hAnsi="AriEL"/>
          <w:b w:val="0"/>
          <w:bCs w:val="0"/>
        </w:rPr>
        <w:t>value proposition</w:t>
      </w:r>
      <w:r w:rsidR="00B42519" w:rsidRPr="00BB0D4C">
        <w:rPr>
          <w:rFonts w:ascii="AriEL" w:hAnsi="AriEL"/>
        </w:rPr>
        <w:t>, drawing on academic literature to demonstrate how these ideas informed my learning.</w:t>
      </w:r>
      <w:r w:rsidR="00EF5CA5" w:rsidRPr="00BB0D4C">
        <w:rPr>
          <w:rFonts w:ascii="AriEL" w:hAnsi="AriEL"/>
        </w:rPr>
        <w:t xml:space="preserve"> </w:t>
      </w:r>
    </w:p>
    <w:p w14:paraId="52B3EB11" w14:textId="2139698F" w:rsidR="00B42519" w:rsidRPr="00BB0D4C" w:rsidRDefault="00EF5CA5" w:rsidP="00BB0D4C">
      <w:pPr>
        <w:pStyle w:val="NormalWeb"/>
        <w:spacing w:line="360" w:lineRule="auto"/>
        <w:jc w:val="both"/>
        <w:rPr>
          <w:rFonts w:ascii="AriEL" w:hAnsi="AriEL"/>
        </w:rPr>
      </w:pPr>
      <w:r w:rsidRPr="00BB0D4C">
        <w:rPr>
          <w:rFonts w:ascii="AriEL" w:hAnsi="AriEL"/>
        </w:rPr>
        <w:t>A further key learning point from Unit 1 was understanding how personal branding contributes to professional trustworthiness within health and social care. The unit made it clear that personal branding is not limited to online presentation; it also reflects how consistently I demonstrate my values, abilities, and professional standards in daily practice. This helped me see that credibility is built through dependable behaviour, ethical decision</w:t>
      </w:r>
      <w:r w:rsidRPr="00BB0D4C">
        <w:rPr>
          <w:rFonts w:ascii="AriEL" w:hAnsi="AriEL"/>
        </w:rPr>
        <w:noBreakHyphen/>
        <w:t>making, and clear communication, all of which shape how employers and colleagues view my professional identity.</w:t>
      </w:r>
    </w:p>
    <w:p w14:paraId="3D1F1AB3" w14:textId="77777777" w:rsidR="00551E7F" w:rsidRPr="00BB0D4C" w:rsidRDefault="00B42519" w:rsidP="00BB0D4C">
      <w:pPr>
        <w:pStyle w:val="NormalWeb"/>
        <w:spacing w:line="360" w:lineRule="auto"/>
        <w:jc w:val="both"/>
        <w:rPr>
          <w:rFonts w:ascii="AriEL" w:hAnsi="AriEL"/>
        </w:rPr>
      </w:pPr>
      <w:r w:rsidRPr="00BB0D4C">
        <w:rPr>
          <w:rFonts w:ascii="AriEL" w:hAnsi="AriEL"/>
        </w:rPr>
        <w:t xml:space="preserve">A central theme in Unit 1 was </w:t>
      </w:r>
      <w:r w:rsidRPr="00BB0D4C">
        <w:rPr>
          <w:rStyle w:val="Strong"/>
          <w:rFonts w:ascii="AriEL" w:hAnsi="AriEL"/>
          <w:b w:val="0"/>
          <w:bCs w:val="0"/>
        </w:rPr>
        <w:t>self</w:t>
      </w:r>
      <w:r w:rsidRPr="00BB0D4C">
        <w:rPr>
          <w:rStyle w:val="Strong"/>
          <w:rFonts w:ascii="AriEL" w:hAnsi="AriEL"/>
          <w:b w:val="0"/>
          <w:bCs w:val="0"/>
        </w:rPr>
        <w:noBreakHyphen/>
        <w:t>awareness</w:t>
      </w:r>
      <w:r w:rsidRPr="00BB0D4C">
        <w:rPr>
          <w:rFonts w:ascii="AriEL" w:hAnsi="AriEL"/>
        </w:rPr>
        <w:t>, which emphasises understanding one’s strengths, limitations, and unique attributes. Developing self</w:t>
      </w:r>
      <w:r w:rsidRPr="00BB0D4C">
        <w:rPr>
          <w:rFonts w:ascii="AriEL" w:hAnsi="AriEL"/>
        </w:rPr>
        <w:noBreakHyphen/>
        <w:t>awareness is widely recognised as foundational to effective personal branding because it enables individuals to articulate who they are and what they offer (Gander, 2022). Through online activities, such as completing the strengths</w:t>
      </w:r>
      <w:r w:rsidRPr="00BB0D4C">
        <w:rPr>
          <w:rFonts w:ascii="AriEL" w:hAnsi="AriEL"/>
        </w:rPr>
        <w:noBreakHyphen/>
        <w:t>mapping exercise, I gained clearer insight into my professional qualities and how these can be communicated to employers.</w:t>
      </w:r>
      <w:r w:rsidR="000C703E" w:rsidRPr="00BB0D4C">
        <w:rPr>
          <w:rFonts w:ascii="AriEL" w:hAnsi="AriEL"/>
        </w:rPr>
        <w:t xml:space="preserve"> </w:t>
      </w:r>
    </w:p>
    <w:p w14:paraId="37D67488" w14:textId="59F59341" w:rsidR="000C703E" w:rsidRPr="00BB0D4C" w:rsidRDefault="000C703E" w:rsidP="00BB0D4C">
      <w:pPr>
        <w:pStyle w:val="NormalWeb"/>
        <w:spacing w:line="360" w:lineRule="auto"/>
        <w:jc w:val="both"/>
        <w:rPr>
          <w:rFonts w:ascii="AriEL" w:hAnsi="AriEL"/>
        </w:rPr>
      </w:pPr>
      <w:r w:rsidRPr="00BB0D4C">
        <w:rPr>
          <w:rFonts w:ascii="AriEL" w:hAnsi="AriEL"/>
        </w:rPr>
        <w:t>The unit also emphasised the role of self</w:t>
      </w:r>
      <w:r w:rsidRPr="00BB0D4C">
        <w:rPr>
          <w:rFonts w:ascii="AriEL" w:hAnsi="AriEL"/>
        </w:rPr>
        <w:noBreakHyphen/>
        <w:t>reflection in developing a strong personal brand. By examining my strengths, areas for improvement, and long</w:t>
      </w:r>
      <w:r w:rsidRPr="00BB0D4C">
        <w:rPr>
          <w:rFonts w:ascii="AriEL" w:hAnsi="AriEL"/>
        </w:rPr>
        <w:noBreakHyphen/>
        <w:t>term ambitions, I gained a clearer sense of how my experience as a health care assistant supports my future career goals. This reflective approach encouraged me to be more intentional about how I present myself in applications, interviews, and workplace interactions.</w:t>
      </w:r>
    </w:p>
    <w:p w14:paraId="17E2143F" w14:textId="77777777" w:rsidR="000C703E" w:rsidRPr="00BB0D4C" w:rsidRDefault="000C703E" w:rsidP="00BB0D4C">
      <w:pPr>
        <w:pStyle w:val="NormalWeb"/>
        <w:spacing w:line="360" w:lineRule="auto"/>
        <w:jc w:val="both"/>
        <w:rPr>
          <w:rFonts w:ascii="AriEL" w:hAnsi="AriEL"/>
        </w:rPr>
      </w:pPr>
    </w:p>
    <w:p w14:paraId="5B4DC996" w14:textId="39414432" w:rsidR="00B42519" w:rsidRPr="00BB0D4C" w:rsidRDefault="0022058D" w:rsidP="00BB0D4C">
      <w:pPr>
        <w:pStyle w:val="NormalWeb"/>
        <w:spacing w:line="360" w:lineRule="auto"/>
        <w:jc w:val="both"/>
        <w:rPr>
          <w:rFonts w:ascii="AriEL" w:hAnsi="AriEL"/>
        </w:rPr>
      </w:pPr>
      <w:r w:rsidRPr="00BB0D4C">
        <w:rPr>
          <w:rFonts w:ascii="AriEL" w:hAnsi="AriEL"/>
          <w:noProof/>
        </w:rPr>
        <w:lastRenderedPageBreak/>
        <w:drawing>
          <wp:inline distT="0" distB="0" distL="0" distR="0" wp14:anchorId="1D91BBA3" wp14:editId="514E35C4">
            <wp:extent cx="3206750" cy="1973577"/>
            <wp:effectExtent l="0" t="0" r="0" b="8255"/>
            <wp:docPr id="56486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86745" name="Picture 564867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4245" cy="2002807"/>
                    </a:xfrm>
                    <a:prstGeom prst="rect">
                      <a:avLst/>
                    </a:prstGeom>
                  </pic:spPr>
                </pic:pic>
              </a:graphicData>
            </a:graphic>
          </wp:inline>
        </w:drawing>
      </w:r>
    </w:p>
    <w:p w14:paraId="44289216" w14:textId="37FE2C17" w:rsidR="00672A8F" w:rsidRPr="00BB0D4C" w:rsidRDefault="00475E35" w:rsidP="00BB0D4C">
      <w:pPr>
        <w:spacing w:before="100" w:beforeAutospacing="1" w:after="100" w:afterAutospacing="1" w:line="360" w:lineRule="auto"/>
        <w:jc w:val="both"/>
        <w:outlineLvl w:val="1"/>
        <w:rPr>
          <w:rFonts w:ascii="AriEL" w:hAnsi="AriEL"/>
        </w:rPr>
      </w:pPr>
      <w:r w:rsidRPr="00BB0D4C">
        <w:rPr>
          <w:rFonts w:ascii="AriEL" w:hAnsi="AriEL"/>
        </w:rPr>
        <w:t xml:space="preserve">The unit also explored </w:t>
      </w:r>
      <w:r w:rsidRPr="00BB0D4C">
        <w:rPr>
          <w:rStyle w:val="Strong"/>
          <w:rFonts w:ascii="AriEL" w:hAnsi="AriEL"/>
          <w:b w:val="0"/>
          <w:bCs w:val="0"/>
        </w:rPr>
        <w:t>digital identity</w:t>
      </w:r>
      <w:r w:rsidRPr="00BB0D4C">
        <w:rPr>
          <w:rFonts w:ascii="AriEL" w:hAnsi="AriEL"/>
        </w:rPr>
        <w:t>, highlighting how online platforms shape professional visibility. In contemporary employment contexts, digital presence is increasingly linked to credibility and employability (Smith &amp; Sanderson, 2020). Engaging with tasks such as reviewing my LinkedIn profile helped me recognise the importance of consistency, professionalism, and authenticity across digital spaces. This reinforced the idea that personal branding is not limited to face</w:t>
      </w:r>
      <w:r w:rsidRPr="00BB0D4C">
        <w:rPr>
          <w:rFonts w:ascii="AriEL" w:hAnsi="AriEL"/>
        </w:rPr>
        <w:noBreakHyphen/>
        <w:t>to</w:t>
      </w:r>
      <w:r w:rsidRPr="00BB0D4C">
        <w:rPr>
          <w:rFonts w:ascii="AriEL" w:hAnsi="AriEL"/>
        </w:rPr>
        <w:noBreakHyphen/>
        <w:t>face interactions but extends to how individuals present themselves online.</w:t>
      </w:r>
      <w:r w:rsidR="00CB3B61" w:rsidRPr="00BB0D4C">
        <w:rPr>
          <w:rFonts w:ascii="AriEL" w:hAnsi="AriEL"/>
        </w:rPr>
        <w:t xml:space="preserve"> Another important insight was the significance of digital professionalism. The unit highlighted that employers increasingly review online profiles, making it essential to maintain a positive and professional digital presence. This motivated me to enhance my online visibility, update my CV, and ensure that my digital footprint aligns with my aspirations in leadership, quality assurance, and social work.</w:t>
      </w:r>
    </w:p>
    <w:p w14:paraId="5029609C" w14:textId="735BEF9B" w:rsidR="00591EC4" w:rsidRPr="00BB0D4C" w:rsidRDefault="00591EC4" w:rsidP="00BB0D4C">
      <w:pPr>
        <w:spacing w:before="100" w:beforeAutospacing="1" w:after="100" w:afterAutospacing="1" w:line="360" w:lineRule="auto"/>
        <w:jc w:val="both"/>
        <w:outlineLvl w:val="1"/>
        <w:rPr>
          <w:rFonts w:ascii="AriEL" w:eastAsia="Times New Roman" w:hAnsi="AriEL" w:cs="Times New Roman"/>
          <w:b/>
          <w:bCs/>
          <w:color w:val="000000"/>
          <w:sz w:val="36"/>
          <w:szCs w:val="36"/>
          <w:lang w:eastAsia="en-GB"/>
        </w:rPr>
      </w:pPr>
      <w:r w:rsidRPr="00BB0D4C">
        <w:rPr>
          <w:rFonts w:ascii="AriEL" w:eastAsia="Times New Roman" w:hAnsi="AriEL" w:cs="Times New Roman"/>
          <w:b/>
          <w:bCs/>
          <w:noProof/>
          <w:color w:val="000000"/>
          <w:sz w:val="36"/>
          <w:szCs w:val="36"/>
          <w:lang w:eastAsia="en-GB"/>
        </w:rPr>
        <w:drawing>
          <wp:inline distT="0" distB="0" distL="0" distR="0" wp14:anchorId="2903FD7A" wp14:editId="07FD348A">
            <wp:extent cx="3244850" cy="1899600"/>
            <wp:effectExtent l="0" t="0" r="0" b="5715"/>
            <wp:docPr id="44473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3657" name="Picture 4447365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9625" cy="1925812"/>
                    </a:xfrm>
                    <a:prstGeom prst="rect">
                      <a:avLst/>
                    </a:prstGeom>
                  </pic:spPr>
                </pic:pic>
              </a:graphicData>
            </a:graphic>
          </wp:inline>
        </w:drawing>
      </w:r>
    </w:p>
    <w:p w14:paraId="16066AB5" w14:textId="77777777" w:rsidR="00B00F4E" w:rsidRPr="00BB0D4C" w:rsidRDefault="00B00F4E" w:rsidP="00BB0D4C">
      <w:pPr>
        <w:spacing w:before="100" w:beforeAutospacing="1" w:after="100" w:afterAutospacing="1" w:line="360" w:lineRule="auto"/>
        <w:jc w:val="both"/>
        <w:outlineLvl w:val="1"/>
        <w:rPr>
          <w:rFonts w:ascii="AriEL" w:eastAsia="Times New Roman" w:hAnsi="AriEL" w:cs="Times New Roman"/>
          <w:b/>
          <w:bCs/>
          <w:color w:val="000000"/>
          <w:sz w:val="36"/>
          <w:szCs w:val="36"/>
          <w:lang w:eastAsia="en-GB"/>
        </w:rPr>
      </w:pPr>
    </w:p>
    <w:p w14:paraId="0149D1AB" w14:textId="3852D040" w:rsidR="00B00F4E" w:rsidRPr="00BB0D4C" w:rsidRDefault="006F27DC" w:rsidP="00BB0D4C">
      <w:pPr>
        <w:spacing w:before="100" w:beforeAutospacing="1" w:after="100" w:afterAutospacing="1" w:line="360" w:lineRule="auto"/>
        <w:jc w:val="both"/>
        <w:outlineLvl w:val="1"/>
        <w:rPr>
          <w:rFonts w:ascii="AriEL" w:hAnsi="AriEL"/>
        </w:rPr>
      </w:pPr>
      <w:r w:rsidRPr="00BB0D4C">
        <w:rPr>
          <w:rFonts w:ascii="AriEL" w:hAnsi="AriEL"/>
        </w:rPr>
        <w:t xml:space="preserve">A third concept that influenced my understanding was the </w:t>
      </w:r>
      <w:r w:rsidRPr="00BB0D4C">
        <w:rPr>
          <w:rStyle w:val="Strong"/>
          <w:rFonts w:ascii="AriEL" w:hAnsi="AriEL"/>
          <w:b w:val="0"/>
          <w:bCs w:val="0"/>
        </w:rPr>
        <w:t>value proposition</w:t>
      </w:r>
      <w:r w:rsidRPr="00BB0D4C">
        <w:rPr>
          <w:rFonts w:ascii="AriEL" w:hAnsi="AriEL"/>
        </w:rPr>
        <w:t xml:space="preserve">, which refers to the unique combination of skills and attributes that differentiate an individual </w:t>
      </w:r>
      <w:r w:rsidRPr="00BB0D4C">
        <w:rPr>
          <w:rFonts w:ascii="AriEL" w:hAnsi="AriEL"/>
        </w:rPr>
        <w:lastRenderedPageBreak/>
        <w:t>from others. According to Peters (2019), a strong value proposition enhances employability by clearly communicating what makes a candidate distinctive. The unit’s activities encouraged me to reflect on my career goals and articulate my value in a concise and meaningful way. This process helped me recognise how personal branding supports long</w:t>
      </w:r>
      <w:r w:rsidRPr="00BB0D4C">
        <w:rPr>
          <w:rFonts w:ascii="AriEL" w:hAnsi="AriEL"/>
        </w:rPr>
        <w:noBreakHyphen/>
        <w:t>term career development, particularly in health and social care roles where clarity of professional identity is essential.</w:t>
      </w:r>
    </w:p>
    <w:p w14:paraId="439BD944" w14:textId="671C055C" w:rsidR="008C1B47" w:rsidRPr="00BB0D4C" w:rsidRDefault="008C1B47" w:rsidP="00BB0D4C">
      <w:pPr>
        <w:spacing w:before="100" w:beforeAutospacing="1" w:after="100" w:afterAutospacing="1" w:line="360" w:lineRule="auto"/>
        <w:jc w:val="both"/>
        <w:outlineLvl w:val="1"/>
        <w:rPr>
          <w:rFonts w:ascii="AriEL" w:eastAsia="Times New Roman" w:hAnsi="AriEL" w:cs="Times New Roman"/>
          <w:b/>
          <w:bCs/>
          <w:color w:val="000000"/>
          <w:sz w:val="36"/>
          <w:szCs w:val="36"/>
          <w:lang w:eastAsia="en-GB"/>
        </w:rPr>
      </w:pPr>
      <w:r w:rsidRPr="00BB0D4C">
        <w:rPr>
          <w:rFonts w:ascii="AriEL" w:eastAsia="Times New Roman" w:hAnsi="AriEL" w:cs="Times New Roman"/>
          <w:b/>
          <w:bCs/>
          <w:noProof/>
          <w:color w:val="000000"/>
          <w:sz w:val="36"/>
          <w:szCs w:val="36"/>
          <w:lang w:eastAsia="en-GB"/>
        </w:rPr>
        <w:drawing>
          <wp:inline distT="0" distB="0" distL="0" distR="0" wp14:anchorId="390683D9" wp14:editId="6463D667">
            <wp:extent cx="3351176" cy="1911350"/>
            <wp:effectExtent l="0" t="0" r="1905" b="0"/>
            <wp:docPr id="8860542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54246" name="Picture 88605424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6140" cy="1925588"/>
                    </a:xfrm>
                    <a:prstGeom prst="rect">
                      <a:avLst/>
                    </a:prstGeom>
                  </pic:spPr>
                </pic:pic>
              </a:graphicData>
            </a:graphic>
          </wp:inline>
        </w:drawing>
      </w:r>
    </w:p>
    <w:p w14:paraId="48F42FD2" w14:textId="6CCC14C8" w:rsidR="00657FDA" w:rsidRPr="00BB0D4C" w:rsidRDefault="00657FDA" w:rsidP="00BB0D4C">
      <w:pPr>
        <w:spacing w:before="100" w:beforeAutospacing="1" w:after="100" w:afterAutospacing="1" w:line="360" w:lineRule="auto"/>
        <w:jc w:val="both"/>
        <w:outlineLvl w:val="1"/>
        <w:rPr>
          <w:rFonts w:ascii="AriEL" w:eastAsia="Times New Roman" w:hAnsi="AriEL" w:cs="Times New Roman"/>
          <w:b/>
          <w:bCs/>
          <w:color w:val="000000"/>
          <w:sz w:val="36"/>
          <w:szCs w:val="36"/>
          <w:lang w:eastAsia="en-GB"/>
        </w:rPr>
      </w:pPr>
    </w:p>
    <w:p w14:paraId="61EEEC6E" w14:textId="77777777" w:rsidR="00416395" w:rsidRPr="00BB0D4C" w:rsidRDefault="00416395" w:rsidP="00BB0D4C">
      <w:pPr>
        <w:spacing w:before="100" w:beforeAutospacing="1" w:after="100" w:afterAutospacing="1" w:line="360" w:lineRule="auto"/>
        <w:jc w:val="both"/>
        <w:outlineLvl w:val="1"/>
        <w:rPr>
          <w:rFonts w:ascii="AriEL" w:hAnsi="AriEL"/>
        </w:rPr>
      </w:pPr>
    </w:p>
    <w:p w14:paraId="2CBD71B7" w14:textId="77777777" w:rsidR="00416395" w:rsidRPr="00BB0D4C" w:rsidRDefault="00416395" w:rsidP="00BB0D4C">
      <w:pPr>
        <w:spacing w:before="100" w:beforeAutospacing="1" w:after="100" w:afterAutospacing="1" w:line="360" w:lineRule="auto"/>
        <w:jc w:val="both"/>
        <w:outlineLvl w:val="1"/>
        <w:rPr>
          <w:rFonts w:ascii="AriEL" w:hAnsi="AriEL"/>
        </w:rPr>
      </w:pPr>
    </w:p>
    <w:p w14:paraId="5C0FC776" w14:textId="25F114F3" w:rsidR="00657FDA" w:rsidRPr="00BB0D4C" w:rsidRDefault="00342DF2" w:rsidP="00BB0D4C">
      <w:pPr>
        <w:spacing w:before="100" w:beforeAutospacing="1" w:after="100" w:afterAutospacing="1" w:line="360" w:lineRule="auto"/>
        <w:jc w:val="both"/>
        <w:outlineLvl w:val="1"/>
        <w:rPr>
          <w:rFonts w:ascii="AriEL" w:hAnsi="AriEL"/>
        </w:rPr>
      </w:pPr>
      <w:r w:rsidRPr="00BB0D4C">
        <w:rPr>
          <w:rFonts w:ascii="AriEL" w:hAnsi="AriEL"/>
        </w:rPr>
        <w:t>Overall, Unit 1 strengthened my understanding of personal branding as a strategic, reflective, and ongoing process. The concepts of self</w:t>
      </w:r>
      <w:r w:rsidRPr="00BB0D4C">
        <w:rPr>
          <w:rFonts w:ascii="AriEL" w:hAnsi="AriEL"/>
        </w:rPr>
        <w:noBreakHyphen/>
        <w:t>awareness, digital identity, and value proposition provided a framework for evaluating how I present myself professionally and how I can continue developing a strong, authentic brand aligned with my future career aspirations.</w:t>
      </w:r>
    </w:p>
    <w:p w14:paraId="6A98AAF6" w14:textId="77777777" w:rsidR="00BB499F" w:rsidRPr="00BB0D4C" w:rsidRDefault="00BB499F" w:rsidP="00BB0D4C">
      <w:pPr>
        <w:spacing w:before="100" w:beforeAutospacing="1" w:after="100" w:afterAutospacing="1" w:line="360" w:lineRule="auto"/>
        <w:jc w:val="both"/>
        <w:outlineLvl w:val="1"/>
        <w:rPr>
          <w:rFonts w:ascii="AriEL" w:hAnsi="AriEL"/>
        </w:rPr>
      </w:pPr>
    </w:p>
    <w:p w14:paraId="5EE49C81" w14:textId="77777777" w:rsidR="00CB3B61" w:rsidRPr="00BB0D4C" w:rsidRDefault="00CB3B61" w:rsidP="00BB0D4C">
      <w:pPr>
        <w:spacing w:before="100" w:beforeAutospacing="1" w:after="100" w:afterAutospacing="1" w:line="360" w:lineRule="auto"/>
        <w:jc w:val="both"/>
        <w:outlineLvl w:val="1"/>
        <w:rPr>
          <w:rFonts w:ascii="AriEL" w:hAnsi="AriEL"/>
        </w:rPr>
      </w:pPr>
    </w:p>
    <w:p w14:paraId="51F8BB77" w14:textId="77777777" w:rsidR="002F059D" w:rsidRDefault="002F059D" w:rsidP="00BB0D4C">
      <w:pPr>
        <w:pStyle w:val="Heading2"/>
        <w:spacing w:line="360" w:lineRule="auto"/>
        <w:jc w:val="both"/>
        <w:rPr>
          <w:rStyle w:val="Strong"/>
          <w:rFonts w:ascii="AriEL" w:hAnsi="AriEL"/>
          <w:b/>
          <w:bCs/>
        </w:rPr>
      </w:pPr>
    </w:p>
    <w:p w14:paraId="08073904" w14:textId="77777777" w:rsidR="002F059D" w:rsidRDefault="002F059D" w:rsidP="00BB0D4C">
      <w:pPr>
        <w:pStyle w:val="Heading2"/>
        <w:spacing w:line="360" w:lineRule="auto"/>
        <w:jc w:val="both"/>
        <w:rPr>
          <w:rStyle w:val="Strong"/>
          <w:rFonts w:ascii="AriEL" w:hAnsi="AriEL"/>
          <w:b/>
          <w:bCs/>
        </w:rPr>
      </w:pPr>
    </w:p>
    <w:p w14:paraId="65E0279D" w14:textId="4E3CA809" w:rsidR="00600DEA" w:rsidRPr="00BB0D4C" w:rsidRDefault="00600DEA" w:rsidP="00BB0D4C">
      <w:pPr>
        <w:pStyle w:val="Heading2"/>
        <w:spacing w:line="360" w:lineRule="auto"/>
        <w:jc w:val="both"/>
        <w:rPr>
          <w:rFonts w:ascii="AriEL" w:hAnsi="AriEL"/>
        </w:rPr>
      </w:pPr>
      <w:r w:rsidRPr="00BB0D4C">
        <w:rPr>
          <w:rStyle w:val="Strong"/>
          <w:rFonts w:ascii="AriEL" w:hAnsi="AriEL"/>
          <w:b/>
          <w:bCs/>
        </w:rPr>
        <w:lastRenderedPageBreak/>
        <w:t xml:space="preserve">Task 2 – Reflection on Unit 2: It’s a Small World </w:t>
      </w:r>
    </w:p>
    <w:p w14:paraId="635CB190" w14:textId="77777777" w:rsidR="00600DEA" w:rsidRPr="00BB0D4C" w:rsidRDefault="00600DEA" w:rsidP="00BB0D4C">
      <w:pPr>
        <w:pStyle w:val="Heading3"/>
        <w:spacing w:line="360" w:lineRule="auto"/>
        <w:jc w:val="both"/>
        <w:rPr>
          <w:rFonts w:ascii="AriEL" w:hAnsi="AriEL"/>
        </w:rPr>
      </w:pPr>
      <w:r w:rsidRPr="00BB0D4C">
        <w:rPr>
          <w:rStyle w:val="Strong"/>
          <w:rFonts w:ascii="AriEL" w:hAnsi="AriEL"/>
          <w:b/>
          <w:bCs/>
        </w:rPr>
        <w:t>Academic Reflection Using Gibbs’ Reflective Cycle</w:t>
      </w:r>
    </w:p>
    <w:p w14:paraId="06AFCB5A" w14:textId="6663106E" w:rsidR="00FE0641" w:rsidRPr="00BB0D4C" w:rsidRDefault="00600DEA" w:rsidP="00BB0D4C">
      <w:pPr>
        <w:pStyle w:val="Heading3"/>
        <w:spacing w:line="360" w:lineRule="auto"/>
        <w:jc w:val="both"/>
        <w:rPr>
          <w:rFonts w:ascii="AriEL" w:hAnsi="AriEL"/>
          <w:b w:val="0"/>
          <w:bCs w:val="0"/>
        </w:rPr>
      </w:pPr>
      <w:r w:rsidRPr="00BB0D4C">
        <w:rPr>
          <w:rFonts w:ascii="AriEL" w:hAnsi="AriEL"/>
          <w:b w:val="0"/>
          <w:bCs w:val="0"/>
        </w:rPr>
        <w:t xml:space="preserve">Unit 2, </w:t>
      </w:r>
      <w:r w:rsidRPr="00BB0D4C">
        <w:rPr>
          <w:rStyle w:val="Emphasis"/>
          <w:rFonts w:ascii="AriEL" w:hAnsi="AriEL"/>
          <w:b w:val="0"/>
          <w:bCs w:val="0"/>
        </w:rPr>
        <w:t>It’s a Small World</w:t>
      </w:r>
      <w:r w:rsidRPr="00BB0D4C">
        <w:rPr>
          <w:rFonts w:ascii="AriEL" w:hAnsi="AriEL"/>
          <w:b w:val="0"/>
          <w:bCs w:val="0"/>
        </w:rPr>
        <w:t>, examined how globalisation influences health and social care. Using</w:t>
      </w:r>
      <w:r w:rsidRPr="00BB0D4C">
        <w:rPr>
          <w:rFonts w:ascii="AriEL" w:hAnsi="AriEL"/>
        </w:rPr>
        <w:t xml:space="preserve"> </w:t>
      </w:r>
      <w:r w:rsidRPr="00BB0D4C">
        <w:rPr>
          <w:rStyle w:val="Strong"/>
          <w:rFonts w:ascii="AriEL" w:hAnsi="AriEL"/>
        </w:rPr>
        <w:t>Gibbs’ Reflective Cycle (1988)</w:t>
      </w:r>
      <w:r w:rsidRPr="00BB0D4C">
        <w:rPr>
          <w:rFonts w:ascii="AriEL" w:hAnsi="AriEL"/>
        </w:rPr>
        <w:t xml:space="preserve">, </w:t>
      </w:r>
      <w:r w:rsidRPr="00BB0D4C">
        <w:rPr>
          <w:rFonts w:ascii="AriEL" w:hAnsi="AriEL"/>
          <w:b w:val="0"/>
          <w:bCs w:val="0"/>
        </w:rPr>
        <w:t>I reflect on the main topics</w:t>
      </w:r>
      <w:r w:rsidRPr="00BB0D4C">
        <w:rPr>
          <w:rFonts w:ascii="AriEL" w:hAnsi="AriEL"/>
        </w:rPr>
        <w:t xml:space="preserve"> </w:t>
      </w:r>
      <w:r w:rsidRPr="00BB0D4C">
        <w:rPr>
          <w:rFonts w:ascii="AriEL" w:hAnsi="AriEL"/>
          <w:b w:val="0"/>
          <w:bCs w:val="0"/>
        </w:rPr>
        <w:t>covered</w:t>
      </w:r>
      <w:r w:rsidR="005F5630" w:rsidRPr="00BB0D4C">
        <w:rPr>
          <w:rFonts w:ascii="AriEL" w:hAnsi="AriEL"/>
        </w:rPr>
        <w:t xml:space="preserve"> </w:t>
      </w:r>
      <w:r w:rsidRPr="00BB0D4C">
        <w:rPr>
          <w:rStyle w:val="Strong"/>
          <w:rFonts w:ascii="AriEL" w:hAnsi="AriEL"/>
        </w:rPr>
        <w:t>global health inequalities</w:t>
      </w:r>
      <w:r w:rsidRPr="00BB0D4C">
        <w:rPr>
          <w:rFonts w:ascii="AriEL" w:hAnsi="AriEL"/>
        </w:rPr>
        <w:t xml:space="preserve">, </w:t>
      </w:r>
      <w:r w:rsidRPr="00BB0D4C">
        <w:rPr>
          <w:rStyle w:val="Strong"/>
          <w:rFonts w:ascii="AriEL" w:hAnsi="AriEL"/>
        </w:rPr>
        <w:t>migration and workforce mobility</w:t>
      </w:r>
      <w:r w:rsidRPr="00BB0D4C">
        <w:rPr>
          <w:rFonts w:ascii="AriEL" w:hAnsi="AriEL"/>
        </w:rPr>
        <w:t xml:space="preserve">, </w:t>
      </w:r>
      <w:r w:rsidRPr="00BB0D4C">
        <w:rPr>
          <w:rFonts w:ascii="AriEL" w:hAnsi="AriEL"/>
          <w:b w:val="0"/>
          <w:bCs w:val="0"/>
        </w:rPr>
        <w:t xml:space="preserve">and </w:t>
      </w:r>
      <w:r w:rsidRPr="00BB0D4C">
        <w:rPr>
          <w:rStyle w:val="Strong"/>
          <w:rFonts w:ascii="AriEL" w:hAnsi="AriEL"/>
        </w:rPr>
        <w:t>international policy frameworks</w:t>
      </w:r>
      <w:r w:rsidR="005F5630" w:rsidRPr="00BB0D4C">
        <w:rPr>
          <w:rFonts w:ascii="AriEL" w:hAnsi="AriEL"/>
        </w:rPr>
        <w:t xml:space="preserve"> </w:t>
      </w:r>
      <w:r w:rsidRPr="00BB0D4C">
        <w:rPr>
          <w:rFonts w:ascii="AriEL" w:hAnsi="AriEL"/>
          <w:b w:val="0"/>
          <w:bCs w:val="0"/>
        </w:rPr>
        <w:t>and how these shaped my awareness of global</w:t>
      </w:r>
      <w:r w:rsidRPr="00BB0D4C">
        <w:rPr>
          <w:rFonts w:ascii="AriEL" w:hAnsi="AriEL"/>
        </w:rPr>
        <w:t xml:space="preserve"> </w:t>
      </w:r>
      <w:r w:rsidRPr="00BB0D4C">
        <w:rPr>
          <w:rFonts w:ascii="AriEL" w:hAnsi="AriEL"/>
          <w:b w:val="0"/>
          <w:bCs w:val="0"/>
        </w:rPr>
        <w:t>connections within the sector.</w:t>
      </w:r>
      <w:r w:rsidR="007A3AFB" w:rsidRPr="00BB0D4C">
        <w:rPr>
          <w:rFonts w:ascii="AriEL" w:hAnsi="AriEL"/>
        </w:rPr>
        <w:t xml:space="preserve"> </w:t>
      </w:r>
      <w:r w:rsidR="007A3AFB" w:rsidRPr="00BB0D4C">
        <w:rPr>
          <w:rFonts w:ascii="AriEL" w:hAnsi="AriEL"/>
          <w:b w:val="0"/>
          <w:bCs w:val="0"/>
        </w:rPr>
        <w:t>For example, learning about global disease patterns helped me understand why certain conditions are more prevalent in diverse communities, and how this shapes the support needs of service users. This made me more aware of the importance of culturally responsive practice and the need to adapt communication styles when working with individuals from different backgrounds.</w:t>
      </w:r>
    </w:p>
    <w:p w14:paraId="66137191" w14:textId="63F9F16D" w:rsidR="00FE0641" w:rsidRPr="00BB0D4C" w:rsidRDefault="00FE0641" w:rsidP="00BB0D4C">
      <w:pPr>
        <w:pStyle w:val="Heading3"/>
        <w:spacing w:line="360" w:lineRule="auto"/>
        <w:jc w:val="both"/>
        <w:rPr>
          <w:rFonts w:ascii="AriEL" w:hAnsi="AriEL"/>
        </w:rPr>
      </w:pPr>
      <w:r w:rsidRPr="00BB0D4C">
        <w:rPr>
          <w:rFonts w:ascii="AriEL" w:hAnsi="AriEL"/>
          <w:b w:val="0"/>
          <w:bCs w:val="0"/>
        </w:rPr>
        <w:t xml:space="preserve"> </w:t>
      </w:r>
      <w:r w:rsidRPr="00BB0D4C">
        <w:rPr>
          <w:rStyle w:val="Strong"/>
          <w:rFonts w:ascii="AriEL" w:hAnsi="AriEL"/>
          <w:b/>
          <w:bCs/>
        </w:rPr>
        <w:t>Description</w:t>
      </w:r>
    </w:p>
    <w:p w14:paraId="12F8C719" w14:textId="77777777" w:rsidR="00FE0641" w:rsidRPr="00BB0D4C" w:rsidRDefault="00FE0641" w:rsidP="00BB0D4C">
      <w:pPr>
        <w:pStyle w:val="NormalWeb"/>
        <w:spacing w:line="360" w:lineRule="auto"/>
        <w:jc w:val="both"/>
        <w:rPr>
          <w:rFonts w:ascii="AriEL" w:hAnsi="AriEL"/>
        </w:rPr>
      </w:pPr>
      <w:r w:rsidRPr="00BB0D4C">
        <w:rPr>
          <w:rFonts w:ascii="AriEL" w:hAnsi="AriEL"/>
        </w:rPr>
        <w:t>The unit introduced the idea that health and social care systems are interconnected globally. I engaged in online activities exploring global health data, international workforce trends, and the role of global organisations such as the World Health Organization (WHO).</w:t>
      </w:r>
    </w:p>
    <w:p w14:paraId="6AD3DFDD" w14:textId="0489802F" w:rsidR="008668DF" w:rsidRPr="00BB0D4C" w:rsidRDefault="009367B6" w:rsidP="00BB0D4C">
      <w:pPr>
        <w:pStyle w:val="NormalWeb"/>
        <w:spacing w:line="360" w:lineRule="auto"/>
        <w:jc w:val="both"/>
        <w:rPr>
          <w:rFonts w:ascii="AriEL" w:hAnsi="AriEL"/>
        </w:rPr>
      </w:pPr>
      <w:r w:rsidRPr="00BB0D4C">
        <w:rPr>
          <w:rFonts w:ascii="AriEL" w:hAnsi="AriEL"/>
          <w:noProof/>
        </w:rPr>
        <w:drawing>
          <wp:inline distT="0" distB="0" distL="0" distR="0" wp14:anchorId="2A0742E6" wp14:editId="648E08B1">
            <wp:extent cx="2667000" cy="1561315"/>
            <wp:effectExtent l="0" t="0" r="0" b="1270"/>
            <wp:docPr id="251915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15089" name="Picture 25191508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05707" cy="1583975"/>
                    </a:xfrm>
                    <a:prstGeom prst="rect">
                      <a:avLst/>
                    </a:prstGeom>
                  </pic:spPr>
                </pic:pic>
              </a:graphicData>
            </a:graphic>
          </wp:inline>
        </w:drawing>
      </w:r>
    </w:p>
    <w:p w14:paraId="62568521" w14:textId="77777777" w:rsidR="00EB3744" w:rsidRPr="00BB0D4C" w:rsidRDefault="00EB3744" w:rsidP="00BB0D4C">
      <w:pPr>
        <w:pStyle w:val="NormalWeb"/>
        <w:spacing w:line="360" w:lineRule="auto"/>
        <w:jc w:val="both"/>
        <w:rPr>
          <w:rFonts w:ascii="AriEL" w:hAnsi="AriEL"/>
        </w:rPr>
      </w:pPr>
    </w:p>
    <w:p w14:paraId="3C46E51F" w14:textId="77777777" w:rsidR="00416395" w:rsidRPr="00BB0D4C" w:rsidRDefault="00416395" w:rsidP="00BB0D4C">
      <w:pPr>
        <w:pStyle w:val="NormalWeb"/>
        <w:spacing w:line="360" w:lineRule="auto"/>
        <w:jc w:val="both"/>
        <w:rPr>
          <w:rFonts w:ascii="AriEL" w:hAnsi="AriEL"/>
        </w:rPr>
      </w:pPr>
    </w:p>
    <w:p w14:paraId="0DBEB59B" w14:textId="77777777" w:rsidR="00416395" w:rsidRPr="00BB0D4C" w:rsidRDefault="00416395" w:rsidP="00BB0D4C">
      <w:pPr>
        <w:pStyle w:val="NormalWeb"/>
        <w:spacing w:line="360" w:lineRule="auto"/>
        <w:jc w:val="both"/>
        <w:rPr>
          <w:rFonts w:ascii="AriEL" w:hAnsi="AriEL"/>
        </w:rPr>
      </w:pPr>
    </w:p>
    <w:p w14:paraId="5AE1C40E" w14:textId="77777777" w:rsidR="002F059D" w:rsidRDefault="002F059D" w:rsidP="00BB0D4C">
      <w:pPr>
        <w:pStyle w:val="Heading3"/>
        <w:spacing w:line="360" w:lineRule="auto"/>
        <w:jc w:val="both"/>
        <w:rPr>
          <w:rStyle w:val="Strong"/>
          <w:rFonts w:ascii="AriEL" w:hAnsi="AriEL"/>
          <w:b/>
          <w:bCs/>
        </w:rPr>
      </w:pPr>
    </w:p>
    <w:p w14:paraId="71386D73" w14:textId="77777777" w:rsidR="002F059D" w:rsidRDefault="002F059D" w:rsidP="00BB0D4C">
      <w:pPr>
        <w:pStyle w:val="Heading3"/>
        <w:spacing w:line="360" w:lineRule="auto"/>
        <w:jc w:val="both"/>
        <w:rPr>
          <w:rStyle w:val="Strong"/>
          <w:rFonts w:ascii="AriEL" w:hAnsi="AriEL"/>
          <w:b/>
          <w:bCs/>
        </w:rPr>
      </w:pPr>
    </w:p>
    <w:p w14:paraId="4951E90F" w14:textId="222B4666" w:rsidR="00EB3744" w:rsidRPr="00BB0D4C" w:rsidRDefault="00EB3744" w:rsidP="00BB0D4C">
      <w:pPr>
        <w:pStyle w:val="Heading3"/>
        <w:spacing w:line="360" w:lineRule="auto"/>
        <w:jc w:val="both"/>
        <w:rPr>
          <w:rFonts w:ascii="AriEL" w:hAnsi="AriEL"/>
        </w:rPr>
      </w:pPr>
      <w:r w:rsidRPr="00BB0D4C">
        <w:rPr>
          <w:rStyle w:val="Strong"/>
          <w:rFonts w:ascii="AriEL" w:hAnsi="AriEL"/>
          <w:b/>
          <w:bCs/>
        </w:rPr>
        <w:t>Feelings</w:t>
      </w:r>
    </w:p>
    <w:p w14:paraId="6666C2C8" w14:textId="7799E53B" w:rsidR="00EB3744" w:rsidRPr="00BB0D4C" w:rsidRDefault="00EB3744" w:rsidP="00BB0D4C">
      <w:pPr>
        <w:pStyle w:val="NormalWeb"/>
        <w:spacing w:line="360" w:lineRule="auto"/>
        <w:jc w:val="both"/>
        <w:rPr>
          <w:rFonts w:ascii="AriEL" w:hAnsi="AriEL"/>
        </w:rPr>
      </w:pPr>
      <w:r w:rsidRPr="00BB0D4C">
        <w:rPr>
          <w:rFonts w:ascii="AriEL" w:hAnsi="AriEL"/>
        </w:rPr>
        <w:t>At first, I felt challenged by the scale of global health issues, especially when comparing health outcomes between high</w:t>
      </w:r>
      <w:r w:rsidRPr="00BB0D4C">
        <w:rPr>
          <w:rFonts w:ascii="AriEL" w:hAnsi="AriEL"/>
        </w:rPr>
        <w:noBreakHyphen/>
        <w:t>income and low</w:t>
      </w:r>
      <w:r w:rsidRPr="00BB0D4C">
        <w:rPr>
          <w:rFonts w:ascii="AriEL" w:hAnsi="AriEL"/>
        </w:rPr>
        <w:noBreakHyphen/>
        <w:t>income countries. As I progressed, I became more confident in understanding how global factors directly influence UK practice, particularly in diverse communities.</w:t>
      </w:r>
      <w:r w:rsidR="005A54BF" w:rsidRPr="00BB0D4C">
        <w:rPr>
          <w:rFonts w:ascii="AriEL" w:hAnsi="AriEL"/>
        </w:rPr>
        <w:t xml:space="preserve"> This emotional response motivated me to engage more actively with international guidance, such as WHO updates, and to consider how global knowledge strengthens my professional practice.</w:t>
      </w:r>
    </w:p>
    <w:p w14:paraId="793C52E8" w14:textId="77777777" w:rsidR="00E3676D" w:rsidRPr="00BB0D4C" w:rsidRDefault="00E3676D" w:rsidP="00BB0D4C">
      <w:pPr>
        <w:pStyle w:val="NormalWeb"/>
        <w:spacing w:line="360" w:lineRule="auto"/>
        <w:jc w:val="both"/>
        <w:rPr>
          <w:rFonts w:ascii="AriEL" w:hAnsi="AriEL"/>
        </w:rPr>
      </w:pPr>
    </w:p>
    <w:p w14:paraId="78FF4239" w14:textId="77777777" w:rsidR="00E3676D" w:rsidRPr="00BB0D4C" w:rsidRDefault="00E3676D" w:rsidP="00BB0D4C">
      <w:pPr>
        <w:pStyle w:val="NormalWeb"/>
        <w:spacing w:line="360" w:lineRule="auto"/>
        <w:jc w:val="both"/>
        <w:rPr>
          <w:rFonts w:ascii="AriEL" w:hAnsi="AriEL"/>
        </w:rPr>
      </w:pPr>
    </w:p>
    <w:p w14:paraId="7774EC8B" w14:textId="77777777" w:rsidR="004E1B3D" w:rsidRPr="00BB0D4C" w:rsidRDefault="004E1B3D" w:rsidP="00BB0D4C">
      <w:pPr>
        <w:pStyle w:val="Heading3"/>
        <w:spacing w:line="360" w:lineRule="auto"/>
        <w:jc w:val="both"/>
        <w:rPr>
          <w:rFonts w:ascii="AriEL" w:hAnsi="AriEL"/>
        </w:rPr>
      </w:pPr>
      <w:r w:rsidRPr="00BB0D4C">
        <w:rPr>
          <w:rStyle w:val="Strong"/>
          <w:rFonts w:ascii="AriEL" w:hAnsi="AriEL"/>
          <w:b/>
          <w:bCs/>
        </w:rPr>
        <w:t>Evaluation</w:t>
      </w:r>
    </w:p>
    <w:p w14:paraId="5BA39604" w14:textId="77777777" w:rsidR="004E1B3D" w:rsidRPr="00BB0D4C" w:rsidRDefault="004E1B3D" w:rsidP="00BB0D4C">
      <w:pPr>
        <w:pStyle w:val="NormalWeb"/>
        <w:spacing w:line="360" w:lineRule="auto"/>
        <w:jc w:val="both"/>
        <w:rPr>
          <w:rFonts w:ascii="AriEL" w:hAnsi="AriEL"/>
        </w:rPr>
      </w:pPr>
      <w:r w:rsidRPr="00BB0D4C">
        <w:rPr>
          <w:rFonts w:ascii="AriEL" w:hAnsi="AriEL"/>
        </w:rPr>
        <w:t>The activities were valuable because they connected global concepts to real</w:t>
      </w:r>
      <w:r w:rsidRPr="00BB0D4C">
        <w:rPr>
          <w:rFonts w:ascii="AriEL" w:hAnsi="AriEL"/>
        </w:rPr>
        <w:noBreakHyphen/>
        <w:t xml:space="preserve">world practice. Learning about </w:t>
      </w:r>
      <w:r w:rsidRPr="00BB0D4C">
        <w:rPr>
          <w:rStyle w:val="Strong"/>
          <w:rFonts w:ascii="AriEL" w:hAnsi="AriEL"/>
          <w:b w:val="0"/>
          <w:bCs w:val="0"/>
        </w:rPr>
        <w:t>global health inequalities</w:t>
      </w:r>
      <w:r w:rsidRPr="00BB0D4C">
        <w:rPr>
          <w:rFonts w:ascii="AriEL" w:hAnsi="AriEL"/>
        </w:rPr>
        <w:t xml:space="preserve"> helped me recognise how poverty, conflict, and limited healthcare access shape health outcomes worldwide. Research highlights that global inequalities remain a major barrier to achieving universal health coverage, reinforcing the importance of understanding these disparities in UK practice.</w:t>
      </w:r>
    </w:p>
    <w:p w14:paraId="5AD45512" w14:textId="6AC6DEA4" w:rsidR="009367B6" w:rsidRPr="00BB0D4C" w:rsidRDefault="00D86DCA" w:rsidP="00BB0D4C">
      <w:pPr>
        <w:pStyle w:val="NormalWeb"/>
        <w:spacing w:line="360" w:lineRule="auto"/>
        <w:jc w:val="both"/>
        <w:rPr>
          <w:rFonts w:ascii="AriEL" w:hAnsi="AriEL"/>
        </w:rPr>
      </w:pPr>
      <w:r w:rsidRPr="00BB0D4C">
        <w:rPr>
          <w:rFonts w:ascii="AriEL" w:hAnsi="AriEL"/>
          <w:noProof/>
        </w:rPr>
        <w:drawing>
          <wp:inline distT="0" distB="0" distL="0" distR="0" wp14:anchorId="6A583AC1" wp14:editId="205EDAE0">
            <wp:extent cx="2044700" cy="1206069"/>
            <wp:effectExtent l="0" t="0" r="0" b="0"/>
            <wp:docPr id="838047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47700" name="Picture 83804770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67923" cy="1219767"/>
                    </a:xfrm>
                    <a:prstGeom prst="rect">
                      <a:avLst/>
                    </a:prstGeom>
                  </pic:spPr>
                </pic:pic>
              </a:graphicData>
            </a:graphic>
          </wp:inline>
        </w:drawing>
      </w:r>
    </w:p>
    <w:p w14:paraId="3DA7AC69" w14:textId="77777777" w:rsidR="009367B6" w:rsidRPr="00BB0D4C" w:rsidRDefault="009367B6" w:rsidP="00BB0D4C">
      <w:pPr>
        <w:pStyle w:val="NormalWeb"/>
        <w:spacing w:line="360" w:lineRule="auto"/>
        <w:jc w:val="both"/>
        <w:rPr>
          <w:rFonts w:ascii="AriEL" w:hAnsi="AriEL"/>
        </w:rPr>
      </w:pPr>
    </w:p>
    <w:p w14:paraId="3A8FD3E8" w14:textId="77777777" w:rsidR="00E3676D" w:rsidRPr="00BB0D4C" w:rsidRDefault="00E3676D" w:rsidP="00BB0D4C">
      <w:pPr>
        <w:pStyle w:val="NormalWeb"/>
        <w:spacing w:line="360" w:lineRule="auto"/>
        <w:jc w:val="both"/>
        <w:rPr>
          <w:rFonts w:ascii="AriEL" w:hAnsi="AriEL"/>
        </w:rPr>
      </w:pPr>
    </w:p>
    <w:p w14:paraId="71E1E05E" w14:textId="77777777" w:rsidR="004E1B3D" w:rsidRPr="00BB0D4C" w:rsidRDefault="004E1B3D" w:rsidP="00BB0D4C">
      <w:pPr>
        <w:pStyle w:val="Heading3"/>
        <w:spacing w:line="360" w:lineRule="auto"/>
        <w:jc w:val="both"/>
        <w:rPr>
          <w:rFonts w:ascii="AriEL" w:hAnsi="AriEL"/>
        </w:rPr>
      </w:pPr>
      <w:r w:rsidRPr="00BB0D4C">
        <w:rPr>
          <w:rStyle w:val="Strong"/>
          <w:rFonts w:ascii="AriEL" w:hAnsi="AriEL"/>
          <w:b/>
          <w:bCs/>
        </w:rPr>
        <w:lastRenderedPageBreak/>
        <w:t>Analysis</w:t>
      </w:r>
    </w:p>
    <w:p w14:paraId="4F9CC172" w14:textId="77777777" w:rsidR="000A4CCD" w:rsidRPr="00BB0D4C" w:rsidRDefault="004E1B3D" w:rsidP="00BB0D4C">
      <w:pPr>
        <w:pStyle w:val="NormalWeb"/>
        <w:spacing w:line="360" w:lineRule="auto"/>
        <w:jc w:val="both"/>
        <w:rPr>
          <w:rFonts w:ascii="AriEL" w:hAnsi="AriEL"/>
        </w:rPr>
      </w:pPr>
      <w:r w:rsidRPr="00BB0D4C">
        <w:rPr>
          <w:rFonts w:ascii="AriEL" w:hAnsi="AriEL"/>
        </w:rPr>
        <w:t xml:space="preserve">The unit’s focus on </w:t>
      </w:r>
      <w:r w:rsidRPr="00BB0D4C">
        <w:rPr>
          <w:rStyle w:val="Strong"/>
          <w:rFonts w:ascii="AriEL" w:hAnsi="AriEL"/>
          <w:b w:val="0"/>
          <w:bCs w:val="0"/>
        </w:rPr>
        <w:t>migration and workforce mobility</w:t>
      </w:r>
      <w:r w:rsidRPr="00BB0D4C">
        <w:rPr>
          <w:rFonts w:ascii="AriEL" w:hAnsi="AriEL"/>
          <w:b/>
          <w:bCs/>
        </w:rPr>
        <w:t xml:space="preserve"> </w:t>
      </w:r>
      <w:r w:rsidRPr="00BB0D4C">
        <w:rPr>
          <w:rFonts w:ascii="AriEL" w:hAnsi="AriEL"/>
        </w:rPr>
        <w:t>deepened my understanding of how international labour flows shape the UK workforce. Evidence shows that the UK relies heavily on internationally trained staff, making global workforce trends essential for workforce planning. This helped me appreciate the importance of cultural competence, ethical recruitment, and inclusive practice.</w:t>
      </w:r>
      <w:r w:rsidR="00391AC5" w:rsidRPr="00BB0D4C">
        <w:rPr>
          <w:rFonts w:ascii="AriEL" w:hAnsi="AriEL"/>
        </w:rPr>
        <w:t xml:space="preserve"> </w:t>
      </w:r>
    </w:p>
    <w:p w14:paraId="016975FB" w14:textId="38592993" w:rsidR="004E1B3D" w:rsidRPr="00BB0D4C" w:rsidRDefault="00391AC5" w:rsidP="00BB0D4C">
      <w:pPr>
        <w:pStyle w:val="NormalWeb"/>
        <w:spacing w:line="360" w:lineRule="auto"/>
        <w:jc w:val="both"/>
        <w:rPr>
          <w:rFonts w:ascii="AriEL" w:hAnsi="AriEL"/>
        </w:rPr>
      </w:pPr>
      <w:r w:rsidRPr="00BB0D4C">
        <w:rPr>
          <w:rFonts w:ascii="AriEL" w:hAnsi="AriEL"/>
        </w:rPr>
        <w:t xml:space="preserve">Learning about </w:t>
      </w:r>
      <w:r w:rsidRPr="00BB0D4C">
        <w:rPr>
          <w:rStyle w:val="Strong"/>
          <w:rFonts w:ascii="AriEL" w:hAnsi="AriEL"/>
          <w:b w:val="0"/>
          <w:bCs w:val="0"/>
        </w:rPr>
        <w:t>international policy frameworks</w:t>
      </w:r>
      <w:r w:rsidRPr="00BB0D4C">
        <w:rPr>
          <w:rFonts w:ascii="AriEL" w:hAnsi="AriEL"/>
          <w:b/>
          <w:bCs/>
        </w:rPr>
        <w:t>,</w:t>
      </w:r>
      <w:r w:rsidRPr="00BB0D4C">
        <w:rPr>
          <w:rFonts w:ascii="AriEL" w:hAnsi="AriEL"/>
        </w:rPr>
        <w:t xml:space="preserve"> particularly the WHO’s role, strengthened my awareness of how global cooperation influences national policy. Scholars argue that international collaboration is crucial for addressing cross</w:t>
      </w:r>
      <w:r w:rsidRPr="00BB0D4C">
        <w:rPr>
          <w:rFonts w:ascii="AriEL" w:hAnsi="AriEL"/>
        </w:rPr>
        <w:noBreakHyphen/>
        <w:t>border threats such as pandemics and antimicrobial resistance. This analysis helped me understand how local practice is shaped by global agreements, shared standards, and international evidence.</w:t>
      </w:r>
    </w:p>
    <w:p w14:paraId="2CB46A4D" w14:textId="7B04156C" w:rsidR="00D86DCA" w:rsidRPr="00BB0D4C" w:rsidRDefault="00E3676D" w:rsidP="00BB0D4C">
      <w:pPr>
        <w:pStyle w:val="NormalWeb"/>
        <w:spacing w:line="360" w:lineRule="auto"/>
        <w:jc w:val="both"/>
        <w:rPr>
          <w:rFonts w:ascii="AriEL" w:hAnsi="AriEL"/>
        </w:rPr>
      </w:pPr>
      <w:r w:rsidRPr="00BB0D4C">
        <w:rPr>
          <w:rFonts w:ascii="AriEL" w:hAnsi="AriEL"/>
          <w:noProof/>
        </w:rPr>
        <w:drawing>
          <wp:inline distT="0" distB="0" distL="0" distR="0" wp14:anchorId="66B6B9E2" wp14:editId="514B5157">
            <wp:extent cx="1930400" cy="1185915"/>
            <wp:effectExtent l="0" t="0" r="0" b="0"/>
            <wp:docPr id="11719362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36270" name="Picture 11719362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69594" cy="1209994"/>
                    </a:xfrm>
                    <a:prstGeom prst="rect">
                      <a:avLst/>
                    </a:prstGeom>
                  </pic:spPr>
                </pic:pic>
              </a:graphicData>
            </a:graphic>
          </wp:inline>
        </w:drawing>
      </w:r>
    </w:p>
    <w:p w14:paraId="36FD9F1F" w14:textId="77777777" w:rsidR="003304BD" w:rsidRPr="00BB0D4C" w:rsidRDefault="003304BD" w:rsidP="00BB0D4C">
      <w:pPr>
        <w:pStyle w:val="NormalWeb"/>
        <w:spacing w:line="360" w:lineRule="auto"/>
        <w:jc w:val="both"/>
        <w:rPr>
          <w:rFonts w:ascii="AriEL" w:hAnsi="AriEL"/>
        </w:rPr>
      </w:pPr>
    </w:p>
    <w:p w14:paraId="14BF5D26" w14:textId="66C0F44C" w:rsidR="003304BD" w:rsidRPr="00BB0D4C" w:rsidRDefault="001A3AD5" w:rsidP="00BB0D4C">
      <w:pPr>
        <w:pStyle w:val="NormalWeb"/>
        <w:spacing w:line="360" w:lineRule="auto"/>
        <w:jc w:val="both"/>
        <w:rPr>
          <w:rFonts w:ascii="AriEL" w:hAnsi="AriEL"/>
          <w:b/>
          <w:bCs/>
          <w:sz w:val="28"/>
          <w:szCs w:val="28"/>
        </w:rPr>
      </w:pPr>
      <w:r w:rsidRPr="00BB0D4C">
        <w:rPr>
          <w:rFonts w:ascii="AriEL" w:hAnsi="AriEL"/>
          <w:b/>
          <w:bCs/>
          <w:sz w:val="28"/>
          <w:szCs w:val="28"/>
        </w:rPr>
        <w:t xml:space="preserve">Task 3 – Reflection on Unit 3: Opportunity Knocks </w:t>
      </w:r>
    </w:p>
    <w:p w14:paraId="26816DB8" w14:textId="77777777" w:rsidR="00B4382C" w:rsidRPr="00BB0D4C" w:rsidRDefault="00727083" w:rsidP="00BB0D4C">
      <w:pPr>
        <w:pStyle w:val="NormalWeb"/>
        <w:spacing w:line="360" w:lineRule="auto"/>
        <w:jc w:val="both"/>
        <w:rPr>
          <w:rFonts w:ascii="AriEL" w:hAnsi="AriEL"/>
        </w:rPr>
      </w:pPr>
      <w:r w:rsidRPr="00BB0D4C">
        <w:rPr>
          <w:rFonts w:ascii="AriEL" w:hAnsi="AriEL"/>
        </w:rPr>
        <w:t xml:space="preserve">Unit 3, </w:t>
      </w:r>
      <w:r w:rsidRPr="00BB0D4C">
        <w:rPr>
          <w:rStyle w:val="Emphasis"/>
          <w:rFonts w:ascii="AriEL" w:hAnsi="AriEL"/>
        </w:rPr>
        <w:t>Opportunity Knocks</w:t>
      </w:r>
      <w:r w:rsidRPr="00BB0D4C">
        <w:rPr>
          <w:rFonts w:ascii="AriEL" w:hAnsi="AriEL"/>
        </w:rPr>
        <w:t>, focused on recognising, evaluating, and acting on opportunities that support both personal and professional development. The unit encouraged me to reflect on how opportunities emerge through networks, labour</w:t>
      </w:r>
      <w:r w:rsidRPr="00BB0D4C">
        <w:rPr>
          <w:rFonts w:ascii="AriEL" w:hAnsi="AriEL"/>
        </w:rPr>
        <w:noBreakHyphen/>
        <w:t xml:space="preserve">market awareness, transferable skills, and proactive career planning. Engaging with these topics helped me understand how to position myself effectively within the health and social care sector. A key topic explored was </w:t>
      </w:r>
      <w:r w:rsidRPr="00BB0D4C">
        <w:rPr>
          <w:rStyle w:val="Strong"/>
          <w:rFonts w:ascii="AriEL" w:hAnsi="AriEL"/>
          <w:b w:val="0"/>
          <w:bCs w:val="0"/>
        </w:rPr>
        <w:t>identifying opportunities through labour</w:t>
      </w:r>
      <w:r w:rsidRPr="00BB0D4C">
        <w:rPr>
          <w:rStyle w:val="Strong"/>
          <w:rFonts w:ascii="AriEL" w:hAnsi="AriEL"/>
          <w:b w:val="0"/>
          <w:bCs w:val="0"/>
        </w:rPr>
        <w:noBreakHyphen/>
        <w:t>market awareness</w:t>
      </w:r>
      <w:r w:rsidRPr="00BB0D4C">
        <w:rPr>
          <w:rFonts w:ascii="AriEL" w:hAnsi="AriEL"/>
        </w:rPr>
        <w:t xml:space="preserve">. </w:t>
      </w:r>
    </w:p>
    <w:p w14:paraId="16271354" w14:textId="734A2462" w:rsidR="00B4382C" w:rsidRPr="00BB0D4C" w:rsidRDefault="00C910F3" w:rsidP="00BB0D4C">
      <w:pPr>
        <w:pStyle w:val="NormalWeb"/>
        <w:spacing w:line="360" w:lineRule="auto"/>
        <w:jc w:val="both"/>
        <w:rPr>
          <w:rFonts w:ascii="AriEL" w:hAnsi="AriEL"/>
        </w:rPr>
      </w:pPr>
      <w:r w:rsidRPr="00BB0D4C">
        <w:rPr>
          <w:rFonts w:ascii="AriEL" w:hAnsi="AriEL"/>
          <w:noProof/>
        </w:rPr>
        <w:lastRenderedPageBreak/>
        <w:drawing>
          <wp:inline distT="0" distB="0" distL="0" distR="0" wp14:anchorId="7E62A83A" wp14:editId="6A07EF0D">
            <wp:extent cx="2023481" cy="1016000"/>
            <wp:effectExtent l="0" t="0" r="0" b="0"/>
            <wp:docPr id="19033424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42418" name="Picture 190334241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36268" cy="1022421"/>
                    </a:xfrm>
                    <a:prstGeom prst="rect">
                      <a:avLst/>
                    </a:prstGeom>
                  </pic:spPr>
                </pic:pic>
              </a:graphicData>
            </a:graphic>
          </wp:inline>
        </w:drawing>
      </w:r>
    </w:p>
    <w:p w14:paraId="22C6BC9B" w14:textId="77777777" w:rsidR="001B715B" w:rsidRPr="00BB0D4C" w:rsidRDefault="001B715B" w:rsidP="00BB0D4C">
      <w:pPr>
        <w:pStyle w:val="NormalWeb"/>
        <w:spacing w:line="360" w:lineRule="auto"/>
        <w:jc w:val="both"/>
        <w:rPr>
          <w:rFonts w:ascii="AriEL" w:hAnsi="AriEL"/>
        </w:rPr>
      </w:pPr>
    </w:p>
    <w:p w14:paraId="1D2518AC" w14:textId="77777777" w:rsidR="007201AB" w:rsidRPr="00BB0D4C" w:rsidRDefault="007201AB" w:rsidP="00BB0D4C">
      <w:pPr>
        <w:pStyle w:val="NormalWeb"/>
        <w:spacing w:line="360" w:lineRule="auto"/>
        <w:jc w:val="both"/>
        <w:rPr>
          <w:rFonts w:ascii="AriEL" w:hAnsi="AriEL"/>
        </w:rPr>
      </w:pPr>
    </w:p>
    <w:p w14:paraId="14CD9E0F" w14:textId="77777777" w:rsidR="00B4382C" w:rsidRPr="00BB0D4C" w:rsidRDefault="00727083" w:rsidP="00BB0D4C">
      <w:pPr>
        <w:pStyle w:val="NormalWeb"/>
        <w:spacing w:line="360" w:lineRule="auto"/>
        <w:jc w:val="both"/>
        <w:rPr>
          <w:rFonts w:ascii="AriEL" w:hAnsi="AriEL"/>
        </w:rPr>
      </w:pPr>
      <w:r w:rsidRPr="00BB0D4C">
        <w:rPr>
          <w:rFonts w:ascii="AriEL" w:hAnsi="AriEL"/>
        </w:rPr>
        <w:t>The lectures emphasised that understanding sector trends, workforce shortages, and emerging roles enables individuals to make informed career decisions. Research suggests that labour</w:t>
      </w:r>
      <w:r w:rsidRPr="00BB0D4C">
        <w:rPr>
          <w:rFonts w:ascii="AriEL" w:hAnsi="AriEL"/>
        </w:rPr>
        <w:noBreakHyphen/>
        <w:t>market intelligence is essential for navigating modern, rapidly changing employment environments, particularly in health and social care where demand for skilled workers continues to rise. Through online activities analysing job adverts and sector data, I recognised how roles such as team leader, senior support worker, and quality assurance officer align with my long</w:t>
      </w:r>
      <w:r w:rsidRPr="00BB0D4C">
        <w:rPr>
          <w:rFonts w:ascii="AriEL" w:hAnsi="AriEL"/>
        </w:rPr>
        <w:noBreakHyphen/>
        <w:t>term goals.</w:t>
      </w:r>
      <w:r w:rsidR="00380E06" w:rsidRPr="00BB0D4C">
        <w:rPr>
          <w:rFonts w:ascii="AriEL" w:hAnsi="AriEL"/>
        </w:rPr>
        <w:t xml:space="preserve"> Another important concept was </w:t>
      </w:r>
      <w:r w:rsidR="00380E06" w:rsidRPr="00BB0D4C">
        <w:rPr>
          <w:rStyle w:val="Strong"/>
          <w:rFonts w:ascii="AriEL" w:hAnsi="AriEL"/>
          <w:b w:val="0"/>
          <w:bCs w:val="0"/>
        </w:rPr>
        <w:t>networking and professional relationships</w:t>
      </w:r>
      <w:r w:rsidR="00380E06" w:rsidRPr="00BB0D4C">
        <w:rPr>
          <w:rFonts w:ascii="AriEL" w:hAnsi="AriEL"/>
        </w:rPr>
        <w:t xml:space="preserve">. </w:t>
      </w:r>
    </w:p>
    <w:p w14:paraId="2CB9CDEA" w14:textId="544A5BFD" w:rsidR="0097640C" w:rsidRPr="00BB0D4C" w:rsidRDefault="0097640C" w:rsidP="00BB0D4C">
      <w:pPr>
        <w:pStyle w:val="NormalWeb"/>
        <w:spacing w:line="360" w:lineRule="auto"/>
        <w:jc w:val="both"/>
        <w:rPr>
          <w:rFonts w:ascii="AriEL" w:hAnsi="AriEL"/>
        </w:rPr>
      </w:pPr>
      <w:r w:rsidRPr="00BB0D4C">
        <w:rPr>
          <w:rFonts w:ascii="AriEL" w:hAnsi="AriEL"/>
          <w:noProof/>
        </w:rPr>
        <w:drawing>
          <wp:inline distT="0" distB="0" distL="0" distR="0" wp14:anchorId="43B7D3A6" wp14:editId="5E1832E4">
            <wp:extent cx="1841500" cy="965023"/>
            <wp:effectExtent l="0" t="0" r="6350" b="6985"/>
            <wp:docPr id="1915422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2240" name="Picture 19154224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69828" cy="979868"/>
                    </a:xfrm>
                    <a:prstGeom prst="rect">
                      <a:avLst/>
                    </a:prstGeom>
                  </pic:spPr>
                </pic:pic>
              </a:graphicData>
            </a:graphic>
          </wp:inline>
        </w:drawing>
      </w:r>
    </w:p>
    <w:p w14:paraId="22EF808E" w14:textId="77777777" w:rsidR="000A4CCD" w:rsidRPr="00BB0D4C" w:rsidRDefault="000A4CCD" w:rsidP="00BB0D4C">
      <w:pPr>
        <w:pStyle w:val="NormalWeb"/>
        <w:spacing w:line="360" w:lineRule="auto"/>
        <w:jc w:val="both"/>
        <w:rPr>
          <w:rFonts w:ascii="AriEL" w:hAnsi="AriEL"/>
        </w:rPr>
      </w:pPr>
    </w:p>
    <w:p w14:paraId="419F41B3" w14:textId="77777777" w:rsidR="000A4CCD" w:rsidRPr="00BB0D4C" w:rsidRDefault="00380E06" w:rsidP="00BB0D4C">
      <w:pPr>
        <w:pStyle w:val="NormalWeb"/>
        <w:spacing w:line="360" w:lineRule="auto"/>
        <w:jc w:val="both"/>
        <w:rPr>
          <w:rFonts w:ascii="AriEL" w:hAnsi="AriEL"/>
        </w:rPr>
      </w:pPr>
      <w:r w:rsidRPr="00BB0D4C">
        <w:rPr>
          <w:rFonts w:ascii="AriEL" w:hAnsi="AriEL"/>
        </w:rPr>
        <w:t xml:space="preserve">The unit highlighted that opportunities often arise through connections rather than formal recruitment processes. Contemporary literature emphasises that networking enhances employability by increasing access to information, mentorship, and hidden job markets. Reflecting on this helped me understand the value of engaging with colleagues, supervisors, and professional communities. </w:t>
      </w:r>
    </w:p>
    <w:p w14:paraId="743ABA6A" w14:textId="77777777" w:rsidR="000A4CCD" w:rsidRPr="00BB0D4C" w:rsidRDefault="00380E06" w:rsidP="00BB0D4C">
      <w:pPr>
        <w:pStyle w:val="NormalWeb"/>
        <w:spacing w:line="360" w:lineRule="auto"/>
        <w:jc w:val="both"/>
        <w:rPr>
          <w:rFonts w:ascii="AriEL" w:hAnsi="AriEL"/>
        </w:rPr>
      </w:pPr>
      <w:r w:rsidRPr="00BB0D4C">
        <w:rPr>
          <w:rFonts w:ascii="AriEL" w:hAnsi="AriEL"/>
        </w:rPr>
        <w:t>The online networking activity demonstrated how digital platforms, such as LinkedIn, can support visibility and open pathways to new opportunities.</w:t>
      </w:r>
      <w:r w:rsidR="00F6281D" w:rsidRPr="00BB0D4C">
        <w:rPr>
          <w:rFonts w:ascii="AriEL" w:hAnsi="AriEL"/>
        </w:rPr>
        <w:t xml:space="preserve"> The unit also explored </w:t>
      </w:r>
      <w:r w:rsidR="00F6281D" w:rsidRPr="00BB0D4C">
        <w:rPr>
          <w:rStyle w:val="Strong"/>
          <w:rFonts w:ascii="AriEL" w:hAnsi="AriEL"/>
          <w:b w:val="0"/>
          <w:bCs w:val="0"/>
        </w:rPr>
        <w:t>transferable skills</w:t>
      </w:r>
      <w:r w:rsidR="00F6281D" w:rsidRPr="00BB0D4C">
        <w:rPr>
          <w:rFonts w:ascii="AriEL" w:hAnsi="AriEL"/>
        </w:rPr>
        <w:t xml:space="preserve">, which are essential for adapting to new roles and responsibilities. I </w:t>
      </w:r>
      <w:r w:rsidR="00F6281D" w:rsidRPr="00BB0D4C">
        <w:rPr>
          <w:rFonts w:ascii="AriEL" w:hAnsi="AriEL"/>
        </w:rPr>
        <w:lastRenderedPageBreak/>
        <w:t>learned that skills such as communication, problem</w:t>
      </w:r>
      <w:r w:rsidR="00F6281D" w:rsidRPr="00BB0D4C">
        <w:rPr>
          <w:rFonts w:ascii="AriEL" w:hAnsi="AriEL"/>
        </w:rPr>
        <w:noBreakHyphen/>
        <w:t xml:space="preserve">solving, leadership, and reflective practice are highly valued across health and social care settings. </w:t>
      </w:r>
    </w:p>
    <w:p w14:paraId="2F75AD2E" w14:textId="15A84A65" w:rsidR="00B4382C" w:rsidRPr="00BB0D4C" w:rsidRDefault="00F6281D" w:rsidP="00BB0D4C">
      <w:pPr>
        <w:pStyle w:val="NormalWeb"/>
        <w:spacing w:line="360" w:lineRule="auto"/>
        <w:jc w:val="both"/>
        <w:rPr>
          <w:rFonts w:ascii="AriEL" w:hAnsi="AriEL"/>
        </w:rPr>
      </w:pPr>
      <w:r w:rsidRPr="00BB0D4C">
        <w:rPr>
          <w:rFonts w:ascii="AriEL" w:hAnsi="AriEL"/>
        </w:rPr>
        <w:t>Academic sources highlight that recognising transferable skills enables individuals to confidently pursue opportunities beyond their current role. Completing the skills</w:t>
      </w:r>
      <w:r w:rsidRPr="00BB0D4C">
        <w:rPr>
          <w:rFonts w:ascii="AriEL" w:hAnsi="AriEL"/>
        </w:rPr>
        <w:noBreakHyphen/>
        <w:t>mapping exercise helped me identify strengths gained from my experience as a health care assistant, such as teamwork, safeguarding awareness, and resilience.</w:t>
      </w:r>
    </w:p>
    <w:p w14:paraId="6E9FEBFB" w14:textId="3CB3A390" w:rsidR="00216585" w:rsidRPr="00BB0D4C" w:rsidRDefault="00216585" w:rsidP="00BB0D4C">
      <w:pPr>
        <w:pStyle w:val="NormalWeb"/>
        <w:spacing w:line="360" w:lineRule="auto"/>
        <w:jc w:val="both"/>
        <w:rPr>
          <w:rFonts w:ascii="AriEL" w:hAnsi="AriEL"/>
        </w:rPr>
      </w:pPr>
      <w:r w:rsidRPr="00BB0D4C">
        <w:rPr>
          <w:rFonts w:ascii="AriEL" w:hAnsi="AriEL"/>
          <w:noProof/>
        </w:rPr>
        <w:drawing>
          <wp:inline distT="0" distB="0" distL="0" distR="0" wp14:anchorId="5296A1EE" wp14:editId="2E6C187E">
            <wp:extent cx="1581150" cy="856442"/>
            <wp:effectExtent l="0" t="0" r="0" b="1270"/>
            <wp:docPr id="13851572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57273" name="Picture 138515727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94043" cy="863426"/>
                    </a:xfrm>
                    <a:prstGeom prst="rect">
                      <a:avLst/>
                    </a:prstGeom>
                  </pic:spPr>
                </pic:pic>
              </a:graphicData>
            </a:graphic>
          </wp:inline>
        </w:drawing>
      </w:r>
    </w:p>
    <w:p w14:paraId="1D3C4E5C" w14:textId="77777777" w:rsidR="000A4CCD" w:rsidRPr="00BB0D4C" w:rsidRDefault="00F6281D" w:rsidP="00BB0D4C">
      <w:pPr>
        <w:pStyle w:val="NormalWeb"/>
        <w:spacing w:line="360" w:lineRule="auto"/>
        <w:jc w:val="both"/>
        <w:rPr>
          <w:rFonts w:ascii="AriEL" w:hAnsi="AriEL"/>
        </w:rPr>
      </w:pPr>
      <w:r w:rsidRPr="00BB0D4C">
        <w:rPr>
          <w:rFonts w:ascii="AriEL" w:hAnsi="AriEL"/>
        </w:rPr>
        <w:t xml:space="preserve"> These skills directly support my progression toward roles in leadership, quality assurance, and eventually social work. Finally, Unit 3 emphasised the importance of </w:t>
      </w:r>
      <w:r w:rsidRPr="00BB0D4C">
        <w:rPr>
          <w:rStyle w:val="Strong"/>
          <w:rFonts w:ascii="AriEL" w:hAnsi="AriEL"/>
          <w:b w:val="0"/>
          <w:bCs w:val="0"/>
        </w:rPr>
        <w:t>proactive career planning</w:t>
      </w:r>
      <w:r w:rsidRPr="00BB0D4C">
        <w:rPr>
          <w:rFonts w:ascii="AriEL" w:hAnsi="AriEL"/>
        </w:rPr>
        <w:t xml:space="preserve">. I realised that opportunities rarely appear without preparation; instead, they require intentional action such as training, seeking feedback, and setting realistic goals. </w:t>
      </w:r>
    </w:p>
    <w:p w14:paraId="79376E56" w14:textId="0C0E576B" w:rsidR="00F6281D" w:rsidRPr="00BB0D4C" w:rsidRDefault="00F6281D" w:rsidP="00BB0D4C">
      <w:pPr>
        <w:pStyle w:val="NormalWeb"/>
        <w:spacing w:line="360" w:lineRule="auto"/>
        <w:jc w:val="both"/>
        <w:rPr>
          <w:rFonts w:ascii="AriEL" w:hAnsi="AriEL"/>
        </w:rPr>
      </w:pPr>
      <w:r w:rsidRPr="00BB0D4C">
        <w:rPr>
          <w:rFonts w:ascii="AriEL" w:hAnsi="AriEL"/>
        </w:rPr>
        <w:t xml:space="preserve">This reinforced my commitment to completing Level 5 studies and pursuing further qualifications relevant to CQC compliance and social </w:t>
      </w:r>
      <w:proofErr w:type="spellStart"/>
      <w:proofErr w:type="gramStart"/>
      <w:r w:rsidRPr="00BB0D4C">
        <w:rPr>
          <w:rFonts w:ascii="AriEL" w:hAnsi="AriEL"/>
        </w:rPr>
        <w:t>work.Overall</w:t>
      </w:r>
      <w:proofErr w:type="spellEnd"/>
      <w:proofErr w:type="gramEnd"/>
      <w:r w:rsidRPr="00BB0D4C">
        <w:rPr>
          <w:rFonts w:ascii="AriEL" w:hAnsi="AriEL"/>
        </w:rPr>
        <w:t>, Unit 3 strengthened my ability to recognise and act on opportunities that support my professional growth, helping me build a clearer and more strategic career pathway.</w:t>
      </w:r>
    </w:p>
    <w:p w14:paraId="0E228727" w14:textId="77777777" w:rsidR="00E83991" w:rsidRPr="00BB0D4C" w:rsidRDefault="00E83991" w:rsidP="00BB0D4C">
      <w:pPr>
        <w:pStyle w:val="NormalWeb"/>
        <w:spacing w:line="360" w:lineRule="auto"/>
        <w:jc w:val="both"/>
        <w:rPr>
          <w:rFonts w:ascii="AriEL" w:hAnsi="AriEL"/>
        </w:rPr>
      </w:pPr>
    </w:p>
    <w:p w14:paraId="045046D4" w14:textId="3B42E6B0" w:rsidR="00E83991" w:rsidRPr="00BB0D4C" w:rsidRDefault="00E83991" w:rsidP="00BB0D4C">
      <w:pPr>
        <w:pStyle w:val="NormalWeb"/>
        <w:spacing w:line="360" w:lineRule="auto"/>
        <w:jc w:val="both"/>
        <w:rPr>
          <w:rFonts w:ascii="AriEL" w:hAnsi="AriEL"/>
          <w:b/>
          <w:bCs/>
          <w:sz w:val="28"/>
          <w:szCs w:val="28"/>
        </w:rPr>
      </w:pPr>
      <w:r w:rsidRPr="00BB0D4C">
        <w:rPr>
          <w:rFonts w:ascii="AriEL" w:hAnsi="AriEL"/>
          <w:b/>
          <w:bCs/>
          <w:sz w:val="28"/>
          <w:szCs w:val="28"/>
        </w:rPr>
        <w:t xml:space="preserve">Task 4 – Reflection on Unit 4: The Pursuit of Happiness </w:t>
      </w:r>
    </w:p>
    <w:p w14:paraId="4E022C9A" w14:textId="77777777" w:rsidR="003663DD" w:rsidRPr="00BB0D4C" w:rsidRDefault="0048732E" w:rsidP="00BB0D4C">
      <w:pPr>
        <w:pStyle w:val="NormalWeb"/>
        <w:spacing w:line="360" w:lineRule="auto"/>
        <w:jc w:val="both"/>
        <w:rPr>
          <w:rFonts w:ascii="AriEL" w:hAnsi="AriEL"/>
        </w:rPr>
      </w:pPr>
      <w:r w:rsidRPr="00BB0D4C">
        <w:rPr>
          <w:rFonts w:ascii="AriEL" w:hAnsi="AriEL"/>
        </w:rPr>
        <w:t xml:space="preserve">Unit 4, </w:t>
      </w:r>
      <w:r w:rsidRPr="00BB0D4C">
        <w:rPr>
          <w:rStyle w:val="Emphasis"/>
          <w:rFonts w:ascii="AriEL" w:hAnsi="AriEL"/>
        </w:rPr>
        <w:t>The Pursuit of Happiness</w:t>
      </w:r>
      <w:r w:rsidRPr="00BB0D4C">
        <w:rPr>
          <w:rFonts w:ascii="AriEL" w:hAnsi="AriEL"/>
        </w:rPr>
        <w:t>, explored the relationship between wellbeing, emotional resilience, and professional effectiveness in health and social care. The unit encouraged me to reflect on how personal wellbeing influences my ability to support others, manage workplace pressures, and sustain long</w:t>
      </w:r>
      <w:r w:rsidRPr="00BB0D4C">
        <w:rPr>
          <w:rFonts w:ascii="AriEL" w:hAnsi="AriEL"/>
        </w:rPr>
        <w:noBreakHyphen/>
        <w:t>term career development. Through lectures and online activities, I gained a deeper understanding of how happiness is shaped by psychological, social, and environmental factors, and how these insights can be applied within professional practice.</w:t>
      </w:r>
    </w:p>
    <w:p w14:paraId="55434736" w14:textId="5C1C8AB5" w:rsidR="0048732E" w:rsidRPr="00BB0D4C" w:rsidRDefault="0050642B" w:rsidP="00BB0D4C">
      <w:pPr>
        <w:pStyle w:val="NormalWeb"/>
        <w:spacing w:line="360" w:lineRule="auto"/>
        <w:jc w:val="both"/>
        <w:rPr>
          <w:rFonts w:ascii="AriEL" w:hAnsi="AriEL"/>
        </w:rPr>
      </w:pPr>
      <w:r w:rsidRPr="00BB0D4C">
        <w:rPr>
          <w:rFonts w:ascii="AriEL" w:hAnsi="AriEL"/>
        </w:rPr>
        <w:lastRenderedPageBreak/>
        <w:t xml:space="preserve">A key topic in this unit was </w:t>
      </w:r>
      <w:r w:rsidRPr="00BB0D4C">
        <w:rPr>
          <w:rStyle w:val="Strong"/>
          <w:rFonts w:ascii="AriEL" w:hAnsi="AriEL"/>
          <w:b w:val="0"/>
          <w:bCs w:val="0"/>
        </w:rPr>
        <w:t>emotional wellbeing</w:t>
      </w:r>
      <w:r w:rsidRPr="00BB0D4C">
        <w:rPr>
          <w:rFonts w:ascii="AriEL" w:hAnsi="AriEL"/>
        </w:rPr>
        <w:t>, which emphasised the importance of recognising stressors and developing strategies to maintain balance. Contemporary research highlights that wellbeing is closely linked to job satisfaction, motivation, and performance, particularly in demanding sectors such as health and social care. Engaging with the wellbeing self</w:t>
      </w:r>
      <w:r w:rsidRPr="00BB0D4C">
        <w:rPr>
          <w:rFonts w:ascii="AriEL" w:hAnsi="AriEL"/>
        </w:rPr>
        <w:noBreakHyphen/>
        <w:t>assessment activity helped me identify areas where I need to strengthen my coping strategies, such as managing workload, setting boundaries, and practising self</w:t>
      </w:r>
      <w:r w:rsidRPr="00BB0D4C">
        <w:rPr>
          <w:rFonts w:ascii="AriEL" w:hAnsi="AriEL"/>
        </w:rPr>
        <w:noBreakHyphen/>
        <w:t>care.</w:t>
      </w:r>
    </w:p>
    <w:p w14:paraId="0AA6EF71" w14:textId="77777777" w:rsidR="008D46DD" w:rsidRPr="00BB0D4C" w:rsidRDefault="008D46DD" w:rsidP="00BB0D4C">
      <w:pPr>
        <w:pStyle w:val="NormalWeb"/>
        <w:spacing w:line="360" w:lineRule="auto"/>
        <w:jc w:val="both"/>
        <w:rPr>
          <w:rFonts w:ascii="AriEL" w:hAnsi="AriEL"/>
          <w:b/>
          <w:bCs/>
          <w:noProof/>
          <w:sz w:val="28"/>
          <w:szCs w:val="28"/>
        </w:rPr>
      </w:pPr>
    </w:p>
    <w:p w14:paraId="1484C2CC" w14:textId="570C3700" w:rsidR="00A95059" w:rsidRPr="00BB0D4C" w:rsidRDefault="00A95059" w:rsidP="00BB0D4C">
      <w:pPr>
        <w:pStyle w:val="NormalWeb"/>
        <w:spacing w:line="360" w:lineRule="auto"/>
        <w:jc w:val="both"/>
        <w:rPr>
          <w:rFonts w:ascii="AriEL" w:hAnsi="AriEL"/>
          <w:b/>
          <w:bCs/>
          <w:sz w:val="28"/>
          <w:szCs w:val="28"/>
        </w:rPr>
      </w:pPr>
      <w:r w:rsidRPr="00BB0D4C">
        <w:rPr>
          <w:rFonts w:ascii="AriEL" w:hAnsi="AriEL"/>
          <w:b/>
          <w:bCs/>
          <w:noProof/>
          <w:sz w:val="28"/>
          <w:szCs w:val="28"/>
        </w:rPr>
        <w:drawing>
          <wp:inline distT="0" distB="0" distL="0" distR="0" wp14:anchorId="71AB3E89" wp14:editId="271B3BC1">
            <wp:extent cx="2605232" cy="1111250"/>
            <wp:effectExtent l="0" t="0" r="5080" b="0"/>
            <wp:docPr id="17589202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20289" name="Picture 175892028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17020" cy="1116278"/>
                    </a:xfrm>
                    <a:prstGeom prst="rect">
                      <a:avLst/>
                    </a:prstGeom>
                  </pic:spPr>
                </pic:pic>
              </a:graphicData>
            </a:graphic>
          </wp:inline>
        </w:drawing>
      </w:r>
    </w:p>
    <w:p w14:paraId="49023BDE" w14:textId="7D5B6B93" w:rsidR="008D46DD" w:rsidRPr="00BB0D4C" w:rsidRDefault="008D46DD" w:rsidP="00BB0D4C">
      <w:pPr>
        <w:pStyle w:val="NormalWeb"/>
        <w:spacing w:line="360" w:lineRule="auto"/>
        <w:jc w:val="both"/>
        <w:rPr>
          <w:rFonts w:ascii="AriEL" w:hAnsi="AriEL"/>
        </w:rPr>
      </w:pPr>
      <w:r w:rsidRPr="00BB0D4C">
        <w:rPr>
          <w:rFonts w:ascii="AriEL" w:hAnsi="AriEL"/>
        </w:rPr>
        <w:t xml:space="preserve">The unit also explored </w:t>
      </w:r>
      <w:r w:rsidRPr="00BB0D4C">
        <w:rPr>
          <w:rStyle w:val="Strong"/>
          <w:rFonts w:ascii="AriEL" w:hAnsi="AriEL"/>
          <w:b w:val="0"/>
          <w:bCs w:val="0"/>
        </w:rPr>
        <w:t>emotional intelligence</w:t>
      </w:r>
      <w:r w:rsidRPr="00BB0D4C">
        <w:rPr>
          <w:rFonts w:ascii="AriEL" w:hAnsi="AriEL"/>
        </w:rPr>
        <w:t>, which plays a crucial role in effective communication, empathy, and relationship</w:t>
      </w:r>
      <w:r w:rsidRPr="00BB0D4C">
        <w:rPr>
          <w:rFonts w:ascii="AriEL" w:hAnsi="AriEL"/>
        </w:rPr>
        <w:noBreakHyphen/>
        <w:t>building. Emotional intelligence enables practitioners to respond sensitively to service users’ needs while managing their own emotional responses. Reflecting on this topic helped me recognise how emotional awareness supports safer, more compassionate practice. The online activity on emotional triggers demonstrated how understanding my reactions can improve my interactions with colleagues and service users</w:t>
      </w:r>
    </w:p>
    <w:p w14:paraId="1CF411AB" w14:textId="440EB990" w:rsidR="008D46DD" w:rsidRPr="00BB0D4C" w:rsidRDefault="008D46DD" w:rsidP="00BB0D4C">
      <w:pPr>
        <w:pStyle w:val="NormalWeb"/>
        <w:spacing w:line="360" w:lineRule="auto"/>
        <w:jc w:val="both"/>
        <w:rPr>
          <w:rFonts w:ascii="AriEL" w:hAnsi="AriEL"/>
          <w:b/>
          <w:bCs/>
          <w:sz w:val="28"/>
          <w:szCs w:val="28"/>
        </w:rPr>
      </w:pPr>
      <w:r w:rsidRPr="00BB0D4C">
        <w:rPr>
          <w:rFonts w:ascii="AriEL" w:hAnsi="AriEL"/>
          <w:b/>
          <w:bCs/>
          <w:noProof/>
          <w:sz w:val="28"/>
          <w:szCs w:val="28"/>
        </w:rPr>
        <w:drawing>
          <wp:inline distT="0" distB="0" distL="0" distR="0" wp14:anchorId="03F1AD32" wp14:editId="604F879A">
            <wp:extent cx="2327665" cy="1517650"/>
            <wp:effectExtent l="0" t="0" r="0" b="6350"/>
            <wp:docPr id="9599492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49216" name="Picture 9599492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35191" cy="1522557"/>
                    </a:xfrm>
                    <a:prstGeom prst="rect">
                      <a:avLst/>
                    </a:prstGeom>
                  </pic:spPr>
                </pic:pic>
              </a:graphicData>
            </a:graphic>
          </wp:inline>
        </w:drawing>
      </w:r>
    </w:p>
    <w:p w14:paraId="60276054" w14:textId="77777777" w:rsidR="00245093" w:rsidRPr="00BB0D4C" w:rsidRDefault="00245093" w:rsidP="00BB0D4C">
      <w:pPr>
        <w:pStyle w:val="NormalWeb"/>
        <w:spacing w:line="360" w:lineRule="auto"/>
        <w:jc w:val="both"/>
        <w:rPr>
          <w:rFonts w:ascii="AriEL" w:hAnsi="AriEL"/>
          <w:b/>
          <w:bCs/>
          <w:sz w:val="28"/>
          <w:szCs w:val="28"/>
        </w:rPr>
      </w:pPr>
    </w:p>
    <w:p w14:paraId="6EA2381C" w14:textId="51AE1597" w:rsidR="00245093" w:rsidRPr="00BB0D4C" w:rsidRDefault="003668B5" w:rsidP="00BB0D4C">
      <w:pPr>
        <w:pStyle w:val="NormalWeb"/>
        <w:spacing w:line="360" w:lineRule="auto"/>
        <w:jc w:val="both"/>
        <w:rPr>
          <w:rFonts w:ascii="AriEL" w:hAnsi="AriEL"/>
        </w:rPr>
      </w:pPr>
      <w:r w:rsidRPr="00BB0D4C">
        <w:rPr>
          <w:rFonts w:ascii="AriEL" w:hAnsi="AriEL"/>
        </w:rPr>
        <w:t xml:space="preserve">Another important concept was </w:t>
      </w:r>
      <w:r w:rsidRPr="00BB0D4C">
        <w:rPr>
          <w:rStyle w:val="Strong"/>
          <w:rFonts w:ascii="AriEL" w:hAnsi="AriEL"/>
          <w:b w:val="0"/>
          <w:bCs w:val="0"/>
        </w:rPr>
        <w:t>work–life balance</w:t>
      </w:r>
      <w:r w:rsidRPr="00BB0D4C">
        <w:rPr>
          <w:rFonts w:ascii="AriEL" w:hAnsi="AriEL"/>
        </w:rPr>
        <w:t>, which is essential for preventing burnout and sustaining long</w:t>
      </w:r>
      <w:r w:rsidRPr="00BB0D4C">
        <w:rPr>
          <w:rFonts w:ascii="AriEL" w:hAnsi="AriEL"/>
        </w:rPr>
        <w:noBreakHyphen/>
        <w:t xml:space="preserve">term engagement in the sector. Academic literature </w:t>
      </w:r>
      <w:r w:rsidRPr="00BB0D4C">
        <w:rPr>
          <w:rFonts w:ascii="AriEL" w:hAnsi="AriEL"/>
        </w:rPr>
        <w:lastRenderedPageBreak/>
        <w:t>emphasises that professionals who maintain healthy boundaries and engage in restorative activities are more resilient and better equipped to handle workplace challenges. The unit encouraged me to consider how lifestyle choices, support networks, and reflective practice contribute to overall happiness. Completing the activity on wellbeing planning helped me identify practical steps to maintain balance as I progress in my career.</w:t>
      </w:r>
    </w:p>
    <w:p w14:paraId="2D69864D" w14:textId="1965C28D" w:rsidR="00456B08" w:rsidRPr="00BB0D4C" w:rsidRDefault="00456B08" w:rsidP="00BB0D4C">
      <w:pPr>
        <w:pStyle w:val="NormalWeb"/>
        <w:spacing w:line="360" w:lineRule="auto"/>
        <w:jc w:val="both"/>
        <w:rPr>
          <w:rFonts w:ascii="AriEL" w:hAnsi="AriEL"/>
          <w:b/>
          <w:bCs/>
          <w:sz w:val="28"/>
          <w:szCs w:val="28"/>
        </w:rPr>
      </w:pPr>
      <w:r w:rsidRPr="00BB0D4C">
        <w:rPr>
          <w:rFonts w:ascii="AriEL" w:hAnsi="AriEL"/>
          <w:b/>
          <w:bCs/>
          <w:noProof/>
          <w:sz w:val="28"/>
          <w:szCs w:val="28"/>
        </w:rPr>
        <w:drawing>
          <wp:inline distT="0" distB="0" distL="0" distR="0" wp14:anchorId="6FE555BD" wp14:editId="77C34A7E">
            <wp:extent cx="2241550" cy="1228556"/>
            <wp:effectExtent l="0" t="0" r="6350" b="0"/>
            <wp:docPr id="12466947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94790" name="Picture 124669479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69115" cy="1243664"/>
                    </a:xfrm>
                    <a:prstGeom prst="rect">
                      <a:avLst/>
                    </a:prstGeom>
                  </pic:spPr>
                </pic:pic>
              </a:graphicData>
            </a:graphic>
          </wp:inline>
        </w:drawing>
      </w:r>
    </w:p>
    <w:p w14:paraId="21150F39" w14:textId="2BB28521" w:rsidR="00B3313F" w:rsidRPr="00BB0D4C" w:rsidRDefault="00B3313F" w:rsidP="00BB0D4C">
      <w:pPr>
        <w:pStyle w:val="NormalWeb"/>
        <w:spacing w:line="360" w:lineRule="auto"/>
        <w:jc w:val="both"/>
        <w:rPr>
          <w:rFonts w:ascii="AriEL" w:hAnsi="AriEL"/>
          <w:b/>
          <w:bCs/>
          <w:sz w:val="28"/>
          <w:szCs w:val="28"/>
        </w:rPr>
      </w:pPr>
      <w:r w:rsidRPr="00BB0D4C">
        <w:rPr>
          <w:rFonts w:ascii="AriEL" w:hAnsi="AriEL"/>
          <w:b/>
          <w:bCs/>
          <w:sz w:val="28"/>
          <w:szCs w:val="28"/>
        </w:rPr>
        <w:t>Conclusion</w:t>
      </w:r>
    </w:p>
    <w:p w14:paraId="7AB35465" w14:textId="77777777" w:rsidR="003663DD" w:rsidRPr="00BB0D4C" w:rsidRDefault="00B069E4" w:rsidP="00BB0D4C">
      <w:pPr>
        <w:pStyle w:val="NormalWeb"/>
        <w:spacing w:line="360" w:lineRule="auto"/>
        <w:jc w:val="both"/>
        <w:rPr>
          <w:rFonts w:ascii="AriEL" w:hAnsi="AriEL"/>
        </w:rPr>
      </w:pPr>
      <w:r w:rsidRPr="00BB0D4C">
        <w:rPr>
          <w:rFonts w:ascii="AriEL" w:hAnsi="AriEL"/>
        </w:rPr>
        <w:t>Across all four units, this module has significantly strengthened my personal, academic, and professional development. Unit 1 deepened my understanding of personal branding, helping me recognise how self</w:t>
      </w:r>
      <w:r w:rsidRPr="00BB0D4C">
        <w:rPr>
          <w:rFonts w:ascii="AriEL" w:hAnsi="AriEL"/>
        </w:rPr>
        <w:noBreakHyphen/>
        <w:t>awareness, digital identity, and value proposition shape professional visibility.</w:t>
      </w:r>
    </w:p>
    <w:p w14:paraId="08C5F6A2" w14:textId="77777777" w:rsidR="003663DD" w:rsidRPr="00BB0D4C" w:rsidRDefault="00B069E4" w:rsidP="00BB0D4C">
      <w:pPr>
        <w:pStyle w:val="NormalWeb"/>
        <w:spacing w:line="360" w:lineRule="auto"/>
        <w:jc w:val="both"/>
        <w:rPr>
          <w:rFonts w:ascii="AriEL" w:hAnsi="AriEL"/>
        </w:rPr>
      </w:pPr>
      <w:r w:rsidRPr="00BB0D4C">
        <w:rPr>
          <w:rFonts w:ascii="AriEL" w:hAnsi="AriEL"/>
        </w:rPr>
        <w:t xml:space="preserve"> Unit 2 expanded my awareness of global connections within health and social care, highlighting how international workforce mobility, global inequalities, and policy frameworks influence local practice.</w:t>
      </w:r>
    </w:p>
    <w:p w14:paraId="0818070C" w14:textId="77777777" w:rsidR="003663DD" w:rsidRPr="00BB0D4C" w:rsidRDefault="00B069E4" w:rsidP="00BB0D4C">
      <w:pPr>
        <w:pStyle w:val="NormalWeb"/>
        <w:spacing w:line="360" w:lineRule="auto"/>
        <w:jc w:val="both"/>
        <w:rPr>
          <w:rFonts w:ascii="AriEL" w:hAnsi="AriEL"/>
        </w:rPr>
      </w:pPr>
      <w:r w:rsidRPr="00BB0D4C">
        <w:rPr>
          <w:rFonts w:ascii="AriEL" w:hAnsi="AriEL"/>
        </w:rPr>
        <w:t xml:space="preserve"> Unit 3 encouraged me to identify and act on opportunities by developing labour</w:t>
      </w:r>
      <w:r w:rsidRPr="00BB0D4C">
        <w:rPr>
          <w:rFonts w:ascii="AriEL" w:hAnsi="AriEL"/>
        </w:rPr>
        <w:noBreakHyphen/>
        <w:t xml:space="preserve">market awareness, recognising transferable skills, and engaging in meaningful networking. </w:t>
      </w:r>
    </w:p>
    <w:p w14:paraId="657EFA7E" w14:textId="77777777" w:rsidR="003663DD" w:rsidRPr="00BB0D4C" w:rsidRDefault="00B069E4" w:rsidP="00BB0D4C">
      <w:pPr>
        <w:pStyle w:val="NormalWeb"/>
        <w:spacing w:line="360" w:lineRule="auto"/>
        <w:jc w:val="both"/>
        <w:rPr>
          <w:rFonts w:ascii="AriEL" w:hAnsi="AriEL"/>
        </w:rPr>
      </w:pPr>
      <w:r w:rsidRPr="00BB0D4C">
        <w:rPr>
          <w:rFonts w:ascii="AriEL" w:hAnsi="AriEL"/>
        </w:rPr>
        <w:t xml:space="preserve">Finally, Unit 4 emphasised the importance of wellbeing, emotional intelligence, and work–life balance in sustaining effective and compassionate practice. Together, these units provided a coherent foundation for reflective practice, career planning, and professional growth. I gained confidence in articulating my strengths, understanding global influences, recognising opportunities, and prioritising wellbeing. </w:t>
      </w:r>
    </w:p>
    <w:p w14:paraId="52D23177" w14:textId="1CD2FEA0" w:rsidR="00B069E4" w:rsidRPr="00BB0D4C" w:rsidRDefault="00B069E4" w:rsidP="00BB0D4C">
      <w:pPr>
        <w:pStyle w:val="NormalWeb"/>
        <w:spacing w:line="360" w:lineRule="auto"/>
        <w:jc w:val="both"/>
        <w:rPr>
          <w:rFonts w:ascii="AriEL" w:hAnsi="AriEL"/>
        </w:rPr>
      </w:pPr>
      <w:r w:rsidRPr="00BB0D4C">
        <w:rPr>
          <w:rFonts w:ascii="AriEL" w:hAnsi="AriEL"/>
        </w:rPr>
        <w:t xml:space="preserve">These insights will support my progression into leadership roles, quality assurance work, and eventually social work. The module has equipped me with practical tools and </w:t>
      </w:r>
      <w:r w:rsidRPr="00BB0D4C">
        <w:rPr>
          <w:rFonts w:ascii="AriEL" w:hAnsi="AriEL"/>
        </w:rPr>
        <w:lastRenderedPageBreak/>
        <w:t>theoretical understanding that will guide my future decisions, enhance my resilience, and strengthen my ability to deliver safe, person</w:t>
      </w:r>
      <w:r w:rsidRPr="00BB0D4C">
        <w:rPr>
          <w:rFonts w:ascii="AriEL" w:hAnsi="AriEL"/>
        </w:rPr>
        <w:noBreakHyphen/>
        <w:t>centred care within an evolving health and social care landscape.</w:t>
      </w:r>
    </w:p>
    <w:p w14:paraId="65486E10" w14:textId="77777777" w:rsidR="00575191" w:rsidRPr="00BB0D4C" w:rsidRDefault="00575191" w:rsidP="00BB0D4C">
      <w:pPr>
        <w:pStyle w:val="NormalWeb"/>
        <w:spacing w:line="360" w:lineRule="auto"/>
        <w:jc w:val="both"/>
        <w:rPr>
          <w:rFonts w:ascii="AriEL" w:hAnsi="AriEL"/>
        </w:rPr>
      </w:pPr>
    </w:p>
    <w:p w14:paraId="3BAA1798" w14:textId="77777777" w:rsidR="00BB0D4C" w:rsidRDefault="00BB0D4C" w:rsidP="00BB0D4C">
      <w:pPr>
        <w:spacing w:after="0" w:line="360" w:lineRule="auto"/>
        <w:jc w:val="both"/>
        <w:rPr>
          <w:rFonts w:ascii="AriEL" w:eastAsia="Times New Roman" w:hAnsi="AriEL" w:cs="Times New Roman"/>
          <w:b/>
          <w:bCs/>
          <w:sz w:val="28"/>
          <w:szCs w:val="28"/>
          <w:lang w:eastAsia="en-GB"/>
        </w:rPr>
      </w:pPr>
    </w:p>
    <w:p w14:paraId="634ACFFA" w14:textId="010BC5A6" w:rsidR="008C7D17" w:rsidRPr="00BB0D4C" w:rsidRDefault="00E2610D" w:rsidP="00BB0D4C">
      <w:pPr>
        <w:spacing w:after="0" w:line="360" w:lineRule="auto"/>
        <w:jc w:val="both"/>
        <w:rPr>
          <w:rFonts w:ascii="AriEL" w:eastAsia="Times New Roman" w:hAnsi="AriEL" w:cs="Times New Roman"/>
          <w:b/>
          <w:bCs/>
          <w:sz w:val="28"/>
          <w:szCs w:val="28"/>
          <w:lang w:eastAsia="en-GB"/>
        </w:rPr>
      </w:pPr>
      <w:proofErr w:type="gramStart"/>
      <w:r w:rsidRPr="00BB0D4C">
        <w:rPr>
          <w:rFonts w:ascii="AriEL" w:eastAsia="Times New Roman" w:hAnsi="AriEL" w:cs="Times New Roman"/>
          <w:b/>
          <w:bCs/>
          <w:sz w:val="28"/>
          <w:szCs w:val="28"/>
          <w:lang w:eastAsia="en-GB"/>
        </w:rPr>
        <w:t>REFE</w:t>
      </w:r>
      <w:r w:rsidR="00157BA9" w:rsidRPr="00BB0D4C">
        <w:rPr>
          <w:rFonts w:ascii="AriEL" w:eastAsia="Times New Roman" w:hAnsi="AriEL" w:cs="Times New Roman"/>
          <w:b/>
          <w:bCs/>
          <w:sz w:val="28"/>
          <w:szCs w:val="28"/>
          <w:lang w:eastAsia="en-GB"/>
        </w:rPr>
        <w:t xml:space="preserve">RENCE </w:t>
      </w:r>
      <w:r w:rsidRPr="00BB0D4C">
        <w:rPr>
          <w:rFonts w:ascii="AriEL" w:eastAsia="Times New Roman" w:hAnsi="AriEL" w:cs="Times New Roman"/>
          <w:b/>
          <w:bCs/>
          <w:sz w:val="28"/>
          <w:szCs w:val="28"/>
          <w:lang w:eastAsia="en-GB"/>
        </w:rPr>
        <w:t xml:space="preserve"> LIST  :</w:t>
      </w:r>
      <w:proofErr w:type="gramEnd"/>
    </w:p>
    <w:p w14:paraId="5A9D27BA" w14:textId="77777777" w:rsidR="00157BA9" w:rsidRPr="00BB0D4C" w:rsidRDefault="00157BA9" w:rsidP="00BB0D4C">
      <w:pPr>
        <w:spacing w:after="0" w:line="360" w:lineRule="auto"/>
        <w:jc w:val="both"/>
        <w:rPr>
          <w:rFonts w:ascii="AriEL" w:eastAsia="Times New Roman" w:hAnsi="AriEL" w:cs="Times New Roman"/>
          <w:b/>
          <w:bCs/>
          <w:sz w:val="28"/>
          <w:szCs w:val="28"/>
          <w:lang w:eastAsia="en-GB"/>
        </w:rPr>
      </w:pPr>
    </w:p>
    <w:p w14:paraId="58A148DE" w14:textId="77777777" w:rsidR="00157BA9" w:rsidRPr="00BB0D4C" w:rsidRDefault="00157BA9" w:rsidP="00EB190F">
      <w:pPr>
        <w:pStyle w:val="NormalWeb"/>
        <w:numPr>
          <w:ilvl w:val="0"/>
          <w:numId w:val="12"/>
        </w:numPr>
        <w:spacing w:line="360" w:lineRule="auto"/>
        <w:jc w:val="both"/>
        <w:rPr>
          <w:rFonts w:ascii="AriEL" w:hAnsi="AriEL"/>
        </w:rPr>
      </w:pPr>
      <w:r w:rsidRPr="00BB0D4C">
        <w:rPr>
          <w:rFonts w:ascii="AriEL" w:hAnsi="AriEL"/>
        </w:rPr>
        <w:t xml:space="preserve">Gibbs, G. (1988) </w:t>
      </w:r>
      <w:r w:rsidRPr="00BB0D4C">
        <w:rPr>
          <w:rStyle w:val="Emphasis"/>
          <w:rFonts w:ascii="AriEL" w:hAnsi="AriEL"/>
        </w:rPr>
        <w:t>Learning by Doing: A Guide to Teaching and Learning Methods</w:t>
      </w:r>
      <w:r w:rsidRPr="00BB0D4C">
        <w:rPr>
          <w:rFonts w:ascii="AriEL" w:hAnsi="AriEL"/>
        </w:rPr>
        <w:t>. Oxford: Oxford Polytechnic.</w:t>
      </w:r>
    </w:p>
    <w:p w14:paraId="3E755D0B" w14:textId="77777777" w:rsidR="00157BA9" w:rsidRPr="00BB0D4C" w:rsidRDefault="00157BA9" w:rsidP="00EB190F">
      <w:pPr>
        <w:pStyle w:val="NormalWeb"/>
        <w:numPr>
          <w:ilvl w:val="0"/>
          <w:numId w:val="12"/>
        </w:numPr>
        <w:spacing w:line="360" w:lineRule="auto"/>
        <w:jc w:val="both"/>
        <w:rPr>
          <w:rFonts w:ascii="AriEL" w:hAnsi="AriEL"/>
        </w:rPr>
      </w:pPr>
      <w:r w:rsidRPr="00BB0D4C">
        <w:rPr>
          <w:rFonts w:ascii="AriEL" w:hAnsi="AriEL"/>
        </w:rPr>
        <w:t xml:space="preserve">Kickbusch, I. &amp; Gleicher, D. (2022) </w:t>
      </w:r>
      <w:r w:rsidRPr="00BB0D4C">
        <w:rPr>
          <w:rStyle w:val="Emphasis"/>
          <w:rFonts w:ascii="AriEL" w:hAnsi="AriEL"/>
        </w:rPr>
        <w:t>Global health governance and inequalities</w:t>
      </w:r>
      <w:r w:rsidRPr="00BB0D4C">
        <w:rPr>
          <w:rFonts w:ascii="AriEL" w:hAnsi="AriEL"/>
        </w:rPr>
        <w:t xml:space="preserve">. </w:t>
      </w:r>
      <w:r w:rsidRPr="00BB0D4C">
        <w:rPr>
          <w:rStyle w:val="Strong"/>
          <w:rFonts w:ascii="AriEL" w:hAnsi="AriEL"/>
          <w:b w:val="0"/>
          <w:bCs w:val="0"/>
        </w:rPr>
        <w:t>Global Public Health</w:t>
      </w:r>
      <w:r w:rsidRPr="00BB0D4C">
        <w:rPr>
          <w:rFonts w:ascii="AriEL" w:hAnsi="AriEL"/>
          <w:b/>
          <w:bCs/>
        </w:rPr>
        <w:t>,</w:t>
      </w:r>
      <w:r w:rsidRPr="00BB0D4C">
        <w:rPr>
          <w:rFonts w:ascii="AriEL" w:hAnsi="AriEL"/>
        </w:rPr>
        <w:t xml:space="preserve"> 17(4), pp. 512–523.</w:t>
      </w:r>
    </w:p>
    <w:p w14:paraId="377F3428" w14:textId="77777777" w:rsidR="00157BA9" w:rsidRPr="00BB0D4C" w:rsidRDefault="00157BA9" w:rsidP="00EB190F">
      <w:pPr>
        <w:pStyle w:val="NormalWeb"/>
        <w:numPr>
          <w:ilvl w:val="0"/>
          <w:numId w:val="12"/>
        </w:numPr>
        <w:spacing w:line="360" w:lineRule="auto"/>
        <w:jc w:val="both"/>
        <w:rPr>
          <w:rFonts w:ascii="AriEL" w:hAnsi="AriEL"/>
        </w:rPr>
      </w:pPr>
      <w:r w:rsidRPr="00BB0D4C">
        <w:rPr>
          <w:rFonts w:ascii="AriEL" w:hAnsi="AriEL"/>
        </w:rPr>
        <w:t>Lee, K. &amp; Kamradt</w:t>
      </w:r>
      <w:r w:rsidRPr="00BB0D4C">
        <w:rPr>
          <w:rFonts w:ascii="AriEL" w:hAnsi="AriEL"/>
        </w:rPr>
        <w:noBreakHyphen/>
        <w:t xml:space="preserve">Scott, A. (2018) ‘The WHO and global health security’, </w:t>
      </w:r>
      <w:r w:rsidRPr="00BB0D4C">
        <w:rPr>
          <w:rStyle w:val="Strong"/>
          <w:rFonts w:ascii="AriEL" w:hAnsi="AriEL"/>
          <w:b w:val="0"/>
          <w:bCs w:val="0"/>
        </w:rPr>
        <w:t>Health Policy and Planning</w:t>
      </w:r>
      <w:r w:rsidRPr="00BB0D4C">
        <w:rPr>
          <w:rFonts w:ascii="AriEL" w:hAnsi="AriEL"/>
        </w:rPr>
        <w:t>, 33(2), pp. 219–227.</w:t>
      </w:r>
    </w:p>
    <w:p w14:paraId="2600AF1C" w14:textId="77777777" w:rsidR="00157BA9" w:rsidRPr="00BB0D4C" w:rsidRDefault="00157BA9" w:rsidP="00EB190F">
      <w:pPr>
        <w:pStyle w:val="NormalWeb"/>
        <w:numPr>
          <w:ilvl w:val="0"/>
          <w:numId w:val="12"/>
        </w:numPr>
        <w:spacing w:line="360" w:lineRule="auto"/>
        <w:jc w:val="both"/>
        <w:rPr>
          <w:rFonts w:ascii="AriEL" w:hAnsi="AriEL"/>
        </w:rPr>
      </w:pPr>
      <w:r w:rsidRPr="00BB0D4C">
        <w:rPr>
          <w:rFonts w:ascii="AriEL" w:hAnsi="AriEL"/>
        </w:rPr>
        <w:t xml:space="preserve">Peters, T. (2019) ‘The brand called you: Reinventing professional identity’, </w:t>
      </w:r>
      <w:r w:rsidRPr="00BB0D4C">
        <w:rPr>
          <w:rStyle w:val="Strong"/>
          <w:rFonts w:ascii="AriEL" w:hAnsi="AriEL"/>
          <w:b w:val="0"/>
          <w:bCs w:val="0"/>
        </w:rPr>
        <w:t>Management Review</w:t>
      </w:r>
      <w:r w:rsidRPr="00BB0D4C">
        <w:rPr>
          <w:rFonts w:ascii="AriEL" w:hAnsi="AriEL"/>
          <w:b/>
          <w:bCs/>
        </w:rPr>
        <w:t>,</w:t>
      </w:r>
      <w:r w:rsidRPr="00BB0D4C">
        <w:rPr>
          <w:rFonts w:ascii="AriEL" w:hAnsi="AriEL"/>
        </w:rPr>
        <w:t xml:space="preserve"> 61(2), pp. 34–40.</w:t>
      </w:r>
    </w:p>
    <w:p w14:paraId="4E9170AD" w14:textId="77777777" w:rsidR="001378B8" w:rsidRPr="00BB0D4C" w:rsidRDefault="001378B8" w:rsidP="00EB190F">
      <w:pPr>
        <w:pStyle w:val="NormalWeb"/>
        <w:numPr>
          <w:ilvl w:val="0"/>
          <w:numId w:val="12"/>
        </w:numPr>
        <w:spacing w:line="360" w:lineRule="auto"/>
        <w:jc w:val="both"/>
        <w:rPr>
          <w:rFonts w:ascii="AriEL" w:hAnsi="AriEL"/>
        </w:rPr>
      </w:pPr>
      <w:r w:rsidRPr="00BB0D4C">
        <w:rPr>
          <w:rFonts w:ascii="AriEL" w:hAnsi="AriEL"/>
        </w:rPr>
        <w:t xml:space="preserve">Smith, A. &amp; Sanderson, J. (2020) ‘Digital identity and professional credibility in online spaces’, </w:t>
      </w:r>
      <w:r w:rsidRPr="00BB0D4C">
        <w:rPr>
          <w:rStyle w:val="Strong"/>
          <w:rFonts w:ascii="AriEL" w:hAnsi="AriEL"/>
          <w:b w:val="0"/>
          <w:bCs w:val="0"/>
        </w:rPr>
        <w:t>New Media &amp; Society</w:t>
      </w:r>
      <w:r w:rsidRPr="00BB0D4C">
        <w:rPr>
          <w:rFonts w:ascii="AriEL" w:hAnsi="AriEL"/>
        </w:rPr>
        <w:t>, 22(10), pp. 1784–1801.</w:t>
      </w:r>
    </w:p>
    <w:p w14:paraId="3C9C7736" w14:textId="77777777" w:rsidR="001378B8" w:rsidRPr="00BB0D4C" w:rsidRDefault="001378B8" w:rsidP="00EB190F">
      <w:pPr>
        <w:pStyle w:val="NormalWeb"/>
        <w:numPr>
          <w:ilvl w:val="0"/>
          <w:numId w:val="12"/>
        </w:numPr>
        <w:spacing w:line="360" w:lineRule="auto"/>
        <w:jc w:val="both"/>
        <w:rPr>
          <w:rFonts w:ascii="AriEL" w:hAnsi="AriEL"/>
        </w:rPr>
      </w:pPr>
      <w:r w:rsidRPr="00BB0D4C">
        <w:rPr>
          <w:rFonts w:ascii="AriEL" w:hAnsi="AriEL"/>
        </w:rPr>
        <w:t xml:space="preserve">Sutton, A. (2020) ‘Emotional intelligence and professional practice’, </w:t>
      </w:r>
      <w:r w:rsidRPr="00BB0D4C">
        <w:rPr>
          <w:rStyle w:val="Strong"/>
          <w:rFonts w:ascii="AriEL" w:hAnsi="AriEL"/>
          <w:b w:val="0"/>
          <w:bCs w:val="0"/>
        </w:rPr>
        <w:t>British Journal of Social Work</w:t>
      </w:r>
      <w:r w:rsidRPr="00BB0D4C">
        <w:rPr>
          <w:rFonts w:ascii="AriEL" w:hAnsi="AriEL"/>
          <w:b/>
          <w:bCs/>
        </w:rPr>
        <w:t xml:space="preserve">, </w:t>
      </w:r>
      <w:r w:rsidRPr="00BB0D4C">
        <w:rPr>
          <w:rFonts w:ascii="AriEL" w:hAnsi="AriEL"/>
        </w:rPr>
        <w:t>50(4), pp. 1163–1180.</w:t>
      </w:r>
    </w:p>
    <w:p w14:paraId="59962EB4" w14:textId="77777777" w:rsidR="001378B8" w:rsidRPr="00BB0D4C" w:rsidRDefault="001378B8" w:rsidP="00EB190F">
      <w:pPr>
        <w:pStyle w:val="NormalWeb"/>
        <w:numPr>
          <w:ilvl w:val="0"/>
          <w:numId w:val="12"/>
        </w:numPr>
        <w:spacing w:line="360" w:lineRule="auto"/>
        <w:jc w:val="both"/>
        <w:rPr>
          <w:rFonts w:ascii="AriEL" w:hAnsi="AriEL"/>
        </w:rPr>
      </w:pPr>
      <w:r w:rsidRPr="00BB0D4C">
        <w:rPr>
          <w:rFonts w:ascii="AriEL" w:hAnsi="AriEL"/>
        </w:rPr>
        <w:t xml:space="preserve">Thompson, N. (2019) ‘The importance of reflective practice in health and social care’, </w:t>
      </w:r>
      <w:r w:rsidRPr="00BB0D4C">
        <w:rPr>
          <w:rStyle w:val="Strong"/>
          <w:rFonts w:ascii="AriEL" w:hAnsi="AriEL"/>
          <w:b w:val="0"/>
          <w:bCs w:val="0"/>
        </w:rPr>
        <w:t>Practice</w:t>
      </w:r>
      <w:r w:rsidRPr="00BB0D4C">
        <w:rPr>
          <w:rFonts w:ascii="AriEL" w:hAnsi="AriEL"/>
        </w:rPr>
        <w:t>, 31(3), pp. 213–226.</w:t>
      </w:r>
    </w:p>
    <w:p w14:paraId="718A924B" w14:textId="77777777" w:rsidR="001378B8" w:rsidRPr="00BB0D4C" w:rsidRDefault="001378B8" w:rsidP="00EB190F">
      <w:pPr>
        <w:pStyle w:val="NormalWeb"/>
        <w:numPr>
          <w:ilvl w:val="0"/>
          <w:numId w:val="12"/>
        </w:numPr>
        <w:spacing w:line="360" w:lineRule="auto"/>
        <w:jc w:val="both"/>
        <w:rPr>
          <w:rFonts w:ascii="AriEL" w:hAnsi="AriEL"/>
        </w:rPr>
      </w:pPr>
      <w:r w:rsidRPr="00BB0D4C">
        <w:rPr>
          <w:rFonts w:ascii="AriEL" w:hAnsi="AriEL"/>
        </w:rPr>
        <w:t xml:space="preserve">Wong, P. (2017) ‘Positive psychology and wellbeing in care professions’, </w:t>
      </w:r>
      <w:r w:rsidRPr="00BB0D4C">
        <w:rPr>
          <w:rStyle w:val="Strong"/>
          <w:rFonts w:ascii="AriEL" w:hAnsi="AriEL"/>
          <w:b w:val="0"/>
          <w:bCs w:val="0"/>
        </w:rPr>
        <w:t>Journal of Happiness Studies</w:t>
      </w:r>
      <w:r w:rsidRPr="00BB0D4C">
        <w:rPr>
          <w:rFonts w:ascii="AriEL" w:hAnsi="AriEL"/>
          <w:b/>
          <w:bCs/>
        </w:rPr>
        <w:t>, 1</w:t>
      </w:r>
      <w:r w:rsidRPr="00BB0D4C">
        <w:rPr>
          <w:rFonts w:ascii="AriEL" w:hAnsi="AriEL"/>
        </w:rPr>
        <w:t>8(5), pp. 1407–1425.</w:t>
      </w:r>
    </w:p>
    <w:p w14:paraId="4C1E78B1" w14:textId="77777777" w:rsidR="00157BA9" w:rsidRPr="00BB0D4C" w:rsidRDefault="00157BA9" w:rsidP="00BB0D4C">
      <w:pPr>
        <w:spacing w:after="0" w:line="360" w:lineRule="auto"/>
        <w:jc w:val="both"/>
        <w:rPr>
          <w:rFonts w:ascii="AriEL" w:eastAsia="Times New Roman" w:hAnsi="AriEL" w:cs="Times New Roman"/>
          <w:b/>
          <w:bCs/>
          <w:sz w:val="28"/>
          <w:szCs w:val="28"/>
          <w:lang w:eastAsia="en-GB"/>
        </w:rPr>
      </w:pPr>
    </w:p>
    <w:p w14:paraId="05F5CF32" w14:textId="77777777" w:rsidR="006E5DBD" w:rsidRPr="00BB0D4C" w:rsidRDefault="006E5DBD" w:rsidP="00BB0D4C">
      <w:pPr>
        <w:spacing w:after="0" w:line="360" w:lineRule="auto"/>
        <w:jc w:val="both"/>
        <w:rPr>
          <w:rFonts w:ascii="AriEL" w:eastAsia="Times New Roman" w:hAnsi="AriEL" w:cs="Times New Roman"/>
          <w:szCs w:val="24"/>
          <w:lang w:eastAsia="en-GB"/>
        </w:rPr>
      </w:pPr>
    </w:p>
    <w:p w14:paraId="0E2D2DAB" w14:textId="77777777" w:rsidR="006E5DBD" w:rsidRPr="00BB0D4C" w:rsidRDefault="006E5DBD" w:rsidP="00BB0D4C">
      <w:pPr>
        <w:spacing w:after="0" w:line="360" w:lineRule="auto"/>
        <w:jc w:val="both"/>
        <w:rPr>
          <w:rFonts w:ascii="AriEL" w:eastAsia="Times New Roman" w:hAnsi="AriEL" w:cs="Times New Roman"/>
          <w:szCs w:val="24"/>
          <w:lang w:eastAsia="en-GB"/>
        </w:rPr>
      </w:pPr>
    </w:p>
    <w:p w14:paraId="22682E97" w14:textId="4F159FB8" w:rsidR="008C7D17" w:rsidRPr="00BB0D4C" w:rsidRDefault="008C7D17" w:rsidP="00BB0D4C">
      <w:pPr>
        <w:spacing w:after="0" w:line="360" w:lineRule="auto"/>
        <w:jc w:val="both"/>
        <w:rPr>
          <w:rFonts w:ascii="AriEL" w:eastAsia="Times New Roman" w:hAnsi="AriEL" w:cs="Times New Roman"/>
          <w:szCs w:val="24"/>
          <w:lang w:eastAsia="en-GB"/>
        </w:rPr>
      </w:pPr>
    </w:p>
    <w:p w14:paraId="5D29F62E" w14:textId="77777777" w:rsidR="008C7D17" w:rsidRPr="00BB0D4C" w:rsidRDefault="008C7D17" w:rsidP="00BB0D4C">
      <w:pPr>
        <w:spacing w:before="100" w:beforeAutospacing="1" w:after="100" w:afterAutospacing="1" w:line="360" w:lineRule="auto"/>
        <w:jc w:val="both"/>
        <w:rPr>
          <w:rFonts w:ascii="AriEL" w:eastAsia="Times New Roman" w:hAnsi="AriEL" w:cs="Arial"/>
          <w:color w:val="000000"/>
          <w:szCs w:val="24"/>
          <w:lang w:eastAsia="en-GB"/>
        </w:rPr>
      </w:pPr>
    </w:p>
    <w:p w14:paraId="0B3FF152" w14:textId="77777777" w:rsidR="008C7D17" w:rsidRPr="00BB0D4C" w:rsidRDefault="008C7D17" w:rsidP="00BB0D4C">
      <w:pPr>
        <w:spacing w:before="100" w:beforeAutospacing="1" w:after="100" w:afterAutospacing="1" w:line="360" w:lineRule="auto"/>
        <w:jc w:val="both"/>
        <w:rPr>
          <w:rFonts w:ascii="AriEL" w:eastAsia="Times New Roman" w:hAnsi="AriEL" w:cs="Arial"/>
          <w:color w:val="000000"/>
          <w:szCs w:val="24"/>
          <w:lang w:eastAsia="en-GB"/>
        </w:rPr>
      </w:pPr>
    </w:p>
    <w:p w14:paraId="002DD7A6" w14:textId="77777777" w:rsidR="008C7D17" w:rsidRPr="00BB0D4C" w:rsidRDefault="008C7D17" w:rsidP="00BB0D4C">
      <w:pPr>
        <w:spacing w:before="100" w:beforeAutospacing="1" w:after="100" w:afterAutospacing="1" w:line="360" w:lineRule="auto"/>
        <w:jc w:val="both"/>
        <w:rPr>
          <w:rFonts w:ascii="AriEL" w:eastAsia="Times New Roman" w:hAnsi="AriEL" w:cs="Arial"/>
          <w:color w:val="000000"/>
          <w:szCs w:val="24"/>
          <w:lang w:eastAsia="en-GB"/>
        </w:rPr>
      </w:pPr>
    </w:p>
    <w:p w14:paraId="705360B7" w14:textId="77777777" w:rsidR="008C7D17" w:rsidRPr="00BB0D4C" w:rsidRDefault="008C7D17" w:rsidP="00BB0D4C">
      <w:pPr>
        <w:spacing w:before="100" w:beforeAutospacing="1" w:after="100" w:afterAutospacing="1" w:line="360" w:lineRule="auto"/>
        <w:jc w:val="both"/>
        <w:rPr>
          <w:rFonts w:ascii="AriEL" w:eastAsia="Times New Roman" w:hAnsi="AriEL" w:cs="Arial"/>
          <w:color w:val="000000"/>
          <w:szCs w:val="24"/>
          <w:lang w:eastAsia="en-GB"/>
        </w:rPr>
      </w:pPr>
    </w:p>
    <w:p w14:paraId="7FF5B597" w14:textId="4A3AE5BE" w:rsidR="006F04E3" w:rsidRPr="00BB0D4C" w:rsidRDefault="006F04E3" w:rsidP="00BB0D4C">
      <w:pPr>
        <w:spacing w:line="360" w:lineRule="auto"/>
        <w:jc w:val="both"/>
        <w:rPr>
          <w:rFonts w:ascii="AriEL" w:hAnsi="AriEL" w:cs="Arial"/>
          <w:color w:val="000000" w:themeColor="text1"/>
        </w:rPr>
      </w:pPr>
    </w:p>
    <w:sectPr w:rsidR="006F04E3" w:rsidRPr="00BB0D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AB0A0" w14:textId="77777777" w:rsidR="00D058DC" w:rsidRDefault="00D058DC" w:rsidP="00B21FE6">
      <w:pPr>
        <w:spacing w:after="0" w:line="240" w:lineRule="auto"/>
      </w:pPr>
      <w:r>
        <w:separator/>
      </w:r>
    </w:p>
  </w:endnote>
  <w:endnote w:type="continuationSeparator" w:id="0">
    <w:p w14:paraId="6EDB3B67" w14:textId="77777777" w:rsidR="00D058DC" w:rsidRDefault="00D058DC"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EL">
    <w:altName w:val="Cambria"/>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DAA7D" w14:textId="77777777" w:rsidR="00D058DC" w:rsidRDefault="00D058DC" w:rsidP="00B21FE6">
      <w:pPr>
        <w:spacing w:after="0" w:line="240" w:lineRule="auto"/>
      </w:pPr>
      <w:r>
        <w:separator/>
      </w:r>
    </w:p>
  </w:footnote>
  <w:footnote w:type="continuationSeparator" w:id="0">
    <w:p w14:paraId="665F57D6" w14:textId="77777777" w:rsidR="00D058DC" w:rsidRDefault="00D058DC"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00FC8"/>
    <w:multiLevelType w:val="hybridMultilevel"/>
    <w:tmpl w:val="58EA9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8"/>
  </w:num>
  <w:num w:numId="2" w16cid:durableId="201140407">
    <w:abstractNumId w:val="1"/>
  </w:num>
  <w:num w:numId="3" w16cid:durableId="490028398">
    <w:abstractNumId w:val="0"/>
  </w:num>
  <w:num w:numId="4" w16cid:durableId="350911784">
    <w:abstractNumId w:val="2"/>
  </w:num>
  <w:num w:numId="5" w16cid:durableId="1021708163">
    <w:abstractNumId w:val="9"/>
  </w:num>
  <w:num w:numId="6" w16cid:durableId="302197862">
    <w:abstractNumId w:val="3"/>
  </w:num>
  <w:num w:numId="7" w16cid:durableId="941111500">
    <w:abstractNumId w:val="6"/>
  </w:num>
  <w:num w:numId="8" w16cid:durableId="103231191">
    <w:abstractNumId w:val="7"/>
  </w:num>
  <w:num w:numId="9" w16cid:durableId="1691249834">
    <w:abstractNumId w:val="5"/>
  </w:num>
  <w:num w:numId="10" w16cid:durableId="896088536">
    <w:abstractNumId w:val="11"/>
  </w:num>
  <w:num w:numId="11" w16cid:durableId="743141276">
    <w:abstractNumId w:val="10"/>
  </w:num>
  <w:num w:numId="12" w16cid:durableId="15895823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30DD1"/>
    <w:rsid w:val="00041AA9"/>
    <w:rsid w:val="00047A57"/>
    <w:rsid w:val="000A0AEE"/>
    <w:rsid w:val="000A4CCD"/>
    <w:rsid w:val="000C703E"/>
    <w:rsid w:val="001333C2"/>
    <w:rsid w:val="001378B8"/>
    <w:rsid w:val="00157BA9"/>
    <w:rsid w:val="0017608B"/>
    <w:rsid w:val="001A3AD5"/>
    <w:rsid w:val="001B715B"/>
    <w:rsid w:val="001D345E"/>
    <w:rsid w:val="001F0D5F"/>
    <w:rsid w:val="0020701E"/>
    <w:rsid w:val="00216585"/>
    <w:rsid w:val="00216C9D"/>
    <w:rsid w:val="0022058D"/>
    <w:rsid w:val="00220640"/>
    <w:rsid w:val="002212E6"/>
    <w:rsid w:val="002348FB"/>
    <w:rsid w:val="00241F3D"/>
    <w:rsid w:val="00245093"/>
    <w:rsid w:val="002A2710"/>
    <w:rsid w:val="002D39BD"/>
    <w:rsid w:val="002E4A72"/>
    <w:rsid w:val="002F059D"/>
    <w:rsid w:val="00307912"/>
    <w:rsid w:val="00317E3D"/>
    <w:rsid w:val="003304BD"/>
    <w:rsid w:val="00342DF2"/>
    <w:rsid w:val="00350430"/>
    <w:rsid w:val="00355EA9"/>
    <w:rsid w:val="003663DD"/>
    <w:rsid w:val="003668B5"/>
    <w:rsid w:val="00380E06"/>
    <w:rsid w:val="00391AC5"/>
    <w:rsid w:val="0039612E"/>
    <w:rsid w:val="003E4EF8"/>
    <w:rsid w:val="00416395"/>
    <w:rsid w:val="00450ECF"/>
    <w:rsid w:val="00456B08"/>
    <w:rsid w:val="00475E35"/>
    <w:rsid w:val="0048732E"/>
    <w:rsid w:val="004A0214"/>
    <w:rsid w:val="004D54A3"/>
    <w:rsid w:val="004E1B3D"/>
    <w:rsid w:val="004E6CCB"/>
    <w:rsid w:val="004F6AC3"/>
    <w:rsid w:val="0050642B"/>
    <w:rsid w:val="0052652B"/>
    <w:rsid w:val="005270C2"/>
    <w:rsid w:val="00530399"/>
    <w:rsid w:val="00531EB3"/>
    <w:rsid w:val="00551E7F"/>
    <w:rsid w:val="005602CF"/>
    <w:rsid w:val="00575191"/>
    <w:rsid w:val="0058218C"/>
    <w:rsid w:val="005910C2"/>
    <w:rsid w:val="00591EC4"/>
    <w:rsid w:val="00594FAC"/>
    <w:rsid w:val="005A54BF"/>
    <w:rsid w:val="005F5630"/>
    <w:rsid w:val="005F706A"/>
    <w:rsid w:val="00600DEA"/>
    <w:rsid w:val="0064794A"/>
    <w:rsid w:val="006524ED"/>
    <w:rsid w:val="00657FDA"/>
    <w:rsid w:val="00666226"/>
    <w:rsid w:val="00672A8F"/>
    <w:rsid w:val="00681D25"/>
    <w:rsid w:val="006D2F2D"/>
    <w:rsid w:val="006E1FF9"/>
    <w:rsid w:val="006E5DBD"/>
    <w:rsid w:val="006F04E3"/>
    <w:rsid w:val="006F27DC"/>
    <w:rsid w:val="007201AB"/>
    <w:rsid w:val="00727083"/>
    <w:rsid w:val="00785886"/>
    <w:rsid w:val="007A3AFB"/>
    <w:rsid w:val="007F3A6A"/>
    <w:rsid w:val="007F547D"/>
    <w:rsid w:val="00806006"/>
    <w:rsid w:val="00821FD2"/>
    <w:rsid w:val="00823383"/>
    <w:rsid w:val="00823BE5"/>
    <w:rsid w:val="008668DF"/>
    <w:rsid w:val="008C125B"/>
    <w:rsid w:val="008C1B47"/>
    <w:rsid w:val="008C7D17"/>
    <w:rsid w:val="008D46DD"/>
    <w:rsid w:val="008F6D4B"/>
    <w:rsid w:val="009123ED"/>
    <w:rsid w:val="00912A46"/>
    <w:rsid w:val="00915835"/>
    <w:rsid w:val="00921EA7"/>
    <w:rsid w:val="009367B6"/>
    <w:rsid w:val="00971B12"/>
    <w:rsid w:val="00973BA6"/>
    <w:rsid w:val="0097640C"/>
    <w:rsid w:val="00981499"/>
    <w:rsid w:val="00994D2E"/>
    <w:rsid w:val="009A3B21"/>
    <w:rsid w:val="009A467B"/>
    <w:rsid w:val="009A509B"/>
    <w:rsid w:val="009B6819"/>
    <w:rsid w:val="009C4AEA"/>
    <w:rsid w:val="009D026B"/>
    <w:rsid w:val="009D7F37"/>
    <w:rsid w:val="009E1CD1"/>
    <w:rsid w:val="00A33649"/>
    <w:rsid w:val="00A51ED7"/>
    <w:rsid w:val="00A5293D"/>
    <w:rsid w:val="00A95059"/>
    <w:rsid w:val="00AF3981"/>
    <w:rsid w:val="00B00F4E"/>
    <w:rsid w:val="00B00FFC"/>
    <w:rsid w:val="00B069E4"/>
    <w:rsid w:val="00B21FE6"/>
    <w:rsid w:val="00B3313F"/>
    <w:rsid w:val="00B42519"/>
    <w:rsid w:val="00B4382C"/>
    <w:rsid w:val="00BB0D4C"/>
    <w:rsid w:val="00BB499F"/>
    <w:rsid w:val="00BC79FE"/>
    <w:rsid w:val="00C427F6"/>
    <w:rsid w:val="00C558B0"/>
    <w:rsid w:val="00C62606"/>
    <w:rsid w:val="00C910F3"/>
    <w:rsid w:val="00C96593"/>
    <w:rsid w:val="00CB3B61"/>
    <w:rsid w:val="00CD022B"/>
    <w:rsid w:val="00CF2E66"/>
    <w:rsid w:val="00D058DC"/>
    <w:rsid w:val="00D231D2"/>
    <w:rsid w:val="00D545BA"/>
    <w:rsid w:val="00D6052E"/>
    <w:rsid w:val="00D86DCA"/>
    <w:rsid w:val="00DB253E"/>
    <w:rsid w:val="00E2610D"/>
    <w:rsid w:val="00E3676D"/>
    <w:rsid w:val="00E81204"/>
    <w:rsid w:val="00E83991"/>
    <w:rsid w:val="00EB190F"/>
    <w:rsid w:val="00EB3744"/>
    <w:rsid w:val="00ED0630"/>
    <w:rsid w:val="00EE4FDB"/>
    <w:rsid w:val="00EF5CA5"/>
    <w:rsid w:val="00F11B9C"/>
    <w:rsid w:val="00F6281D"/>
    <w:rsid w:val="00F751D8"/>
    <w:rsid w:val="00F81510"/>
    <w:rsid w:val="00F9316D"/>
    <w:rsid w:val="00FA6248"/>
    <w:rsid w:val="00FD78F3"/>
    <w:rsid w:val="00FE06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13</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alexandra barcea</cp:lastModifiedBy>
  <cp:revision>85</cp:revision>
  <dcterms:created xsi:type="dcterms:W3CDTF">2026-07-06T09:56:00Z</dcterms:created>
  <dcterms:modified xsi:type="dcterms:W3CDTF">2026-07-12T12:12:00Z</dcterms:modified>
</cp:coreProperties>
</file>