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1B0D5" w14:textId="6762FDD4" w:rsidR="007A3BF3" w:rsidRDefault="00A84E53" w:rsidP="00A84E53">
      <w:pPr>
        <w:jc w:val="center"/>
        <w:rPr>
          <w:rFonts w:ascii="Arial" w:hAnsi="Arial" w:cs="Arial"/>
          <w:b/>
          <w:bCs/>
          <w:sz w:val="44"/>
          <w:szCs w:val="44"/>
          <w:u w:val="single"/>
        </w:rPr>
      </w:pPr>
      <w:r w:rsidRPr="00A84E53">
        <w:rPr>
          <w:rFonts w:ascii="Arial" w:hAnsi="Arial" w:cs="Arial"/>
          <w:b/>
          <w:bCs/>
          <w:sz w:val="44"/>
          <w:szCs w:val="44"/>
          <w:u w:val="single"/>
        </w:rPr>
        <w:t>Children’s Play Theory and Practice</w:t>
      </w:r>
    </w:p>
    <w:p w14:paraId="237A5321" w14:textId="2BDF8B9A" w:rsidR="00A84E53" w:rsidRDefault="00A84E53" w:rsidP="00A84E53">
      <w:pPr>
        <w:spacing w:line="360" w:lineRule="auto"/>
        <w:rPr>
          <w:rFonts w:ascii="Arial" w:hAnsi="Arial" w:cs="Arial"/>
          <w:sz w:val="24"/>
          <w:szCs w:val="24"/>
        </w:rPr>
      </w:pPr>
    </w:p>
    <w:p w14:paraId="7D836CF2" w14:textId="61A52ADF" w:rsidR="00A84E53" w:rsidRPr="00C73FFE" w:rsidRDefault="00A84E53" w:rsidP="00A84E53">
      <w:pPr>
        <w:spacing w:line="360" w:lineRule="auto"/>
        <w:rPr>
          <w:rFonts w:ascii="Arial" w:hAnsi="Arial" w:cs="Arial"/>
          <w:b/>
          <w:bCs/>
          <w:sz w:val="24"/>
          <w:szCs w:val="24"/>
        </w:rPr>
      </w:pPr>
      <w:r w:rsidRPr="00C73FFE">
        <w:rPr>
          <w:rFonts w:ascii="Arial" w:hAnsi="Arial" w:cs="Arial"/>
          <w:b/>
          <w:bCs/>
          <w:sz w:val="24"/>
          <w:szCs w:val="24"/>
        </w:rPr>
        <w:t>Section 1:</w:t>
      </w:r>
    </w:p>
    <w:p w14:paraId="5EC2A2E5" w14:textId="53C84916" w:rsidR="00A84E53" w:rsidRPr="00C73FFE" w:rsidRDefault="00A84E53" w:rsidP="00A84E53">
      <w:pPr>
        <w:spacing w:line="360" w:lineRule="auto"/>
        <w:rPr>
          <w:rFonts w:ascii="Arial" w:hAnsi="Arial" w:cs="Arial"/>
          <w:b/>
          <w:bCs/>
          <w:sz w:val="24"/>
          <w:szCs w:val="24"/>
          <w:u w:val="single"/>
        </w:rPr>
      </w:pPr>
      <w:r w:rsidRPr="00C73FFE">
        <w:rPr>
          <w:rFonts w:ascii="Arial" w:hAnsi="Arial" w:cs="Arial"/>
          <w:b/>
          <w:bCs/>
          <w:sz w:val="24"/>
          <w:szCs w:val="24"/>
          <w:u w:val="single"/>
        </w:rPr>
        <w:t>Discuss two types of play and how these can be supported in practice.</w:t>
      </w:r>
    </w:p>
    <w:p w14:paraId="22C068DD" w14:textId="787A6350" w:rsidR="005B1F3B" w:rsidRPr="005B1F3B" w:rsidRDefault="005B1F3B" w:rsidP="005B1F3B">
      <w:pPr>
        <w:spacing w:line="360" w:lineRule="auto"/>
        <w:rPr>
          <w:rFonts w:ascii="Arial" w:hAnsi="Arial" w:cs="Arial"/>
          <w:sz w:val="24"/>
          <w:szCs w:val="24"/>
        </w:rPr>
      </w:pPr>
      <w:r w:rsidRPr="005B1F3B">
        <w:rPr>
          <w:rFonts w:ascii="Arial" w:hAnsi="Arial" w:cs="Arial"/>
          <w:sz w:val="24"/>
          <w:szCs w:val="24"/>
        </w:rPr>
        <w:t>Play is a multifaceted and essential aspect of early childhood development, encompassing a range of activities that children engage in voluntarily for enjoyment, exploration, and learning (Ginsburg, 2007). It is a dynamic process that involves active participation, imagination, and the freedom to explore the world around them.</w:t>
      </w:r>
    </w:p>
    <w:p w14:paraId="36F09107" w14:textId="0A40F265" w:rsidR="005B1F3B" w:rsidRPr="005B1F3B" w:rsidRDefault="005B1F3B" w:rsidP="005B1F3B">
      <w:pPr>
        <w:spacing w:line="360" w:lineRule="auto"/>
        <w:rPr>
          <w:rFonts w:ascii="Arial" w:hAnsi="Arial" w:cs="Arial"/>
          <w:sz w:val="24"/>
          <w:szCs w:val="24"/>
        </w:rPr>
      </w:pPr>
      <w:r w:rsidRPr="005B1F3B">
        <w:rPr>
          <w:rFonts w:ascii="Arial" w:hAnsi="Arial" w:cs="Arial"/>
          <w:sz w:val="24"/>
          <w:szCs w:val="24"/>
        </w:rPr>
        <w:t>According to Piaget (1962), play is an integral part of a child's cognitive development. He proposed that play allows children to assimilate new information, practice new skills, and construct knowledge about the world. In the early years, children engage in various forms of play, including sensorimotor play, symbolic play, and cooperative play, each serving different developmental purposes (Piaget, 1962).</w:t>
      </w:r>
    </w:p>
    <w:p w14:paraId="6BFBAB1E" w14:textId="789FC9C1" w:rsidR="005B1F3B" w:rsidRPr="005B1F3B" w:rsidRDefault="005B1F3B" w:rsidP="005B1F3B">
      <w:pPr>
        <w:spacing w:line="360" w:lineRule="auto"/>
        <w:rPr>
          <w:rFonts w:ascii="Arial" w:hAnsi="Arial" w:cs="Arial"/>
          <w:sz w:val="24"/>
          <w:szCs w:val="24"/>
        </w:rPr>
      </w:pPr>
      <w:r w:rsidRPr="005B1F3B">
        <w:rPr>
          <w:rFonts w:ascii="Arial" w:hAnsi="Arial" w:cs="Arial"/>
          <w:sz w:val="24"/>
          <w:szCs w:val="24"/>
        </w:rPr>
        <w:t>Vygotsky (1978) introduced the sociocultural perspective, emphasizing the social and cultural influences on children's cognitive development. He argued that play provides a zone of proximal development (ZPD), where children can interact with more knowledgeable peers or adults, learning and internalizing cultural knowledge and skills. Through play, children engage in activities that are beyond their independent capabilities, fostering cognitive growth.</w:t>
      </w:r>
    </w:p>
    <w:p w14:paraId="3063C821" w14:textId="250BF2BE" w:rsidR="005B1F3B" w:rsidRPr="005B1F3B" w:rsidRDefault="005B1F3B" w:rsidP="005B1F3B">
      <w:pPr>
        <w:spacing w:line="360" w:lineRule="auto"/>
        <w:rPr>
          <w:rFonts w:ascii="Arial" w:hAnsi="Arial" w:cs="Arial"/>
          <w:sz w:val="24"/>
          <w:szCs w:val="24"/>
        </w:rPr>
      </w:pPr>
      <w:r w:rsidRPr="005B1F3B">
        <w:rPr>
          <w:rFonts w:ascii="Arial" w:hAnsi="Arial" w:cs="Arial"/>
          <w:sz w:val="24"/>
          <w:szCs w:val="24"/>
        </w:rPr>
        <w:t>Furthermore, play plays a crucial role in supporting emotional development. Erikson (1950) identified play as a vehicle for children to express and regulate their emotions. Through play, children can experiment with various roles, situations, and emotions in a safe and controlled environment. This exploration contributes to the development of emotional resilience and self-regulation.</w:t>
      </w:r>
    </w:p>
    <w:p w14:paraId="7F016D74" w14:textId="77777777" w:rsidR="005B1F3B" w:rsidRPr="005B1F3B" w:rsidRDefault="005B1F3B" w:rsidP="005B1F3B">
      <w:pPr>
        <w:spacing w:line="360" w:lineRule="auto"/>
        <w:rPr>
          <w:rFonts w:ascii="Arial" w:hAnsi="Arial" w:cs="Arial"/>
          <w:sz w:val="24"/>
          <w:szCs w:val="24"/>
        </w:rPr>
      </w:pPr>
      <w:r w:rsidRPr="005B1F3B">
        <w:rPr>
          <w:rFonts w:ascii="Arial" w:hAnsi="Arial" w:cs="Arial"/>
          <w:sz w:val="24"/>
          <w:szCs w:val="24"/>
        </w:rPr>
        <w:t>In addition to cognitive and emotional aspects, play is instrumental in developing social skills. Parten's (1932) classic stages of play highlight the progression from solitary play to more complex forms of social play, such as parallel play, associative play, and cooperative play. Social play allows children to understand social rules, negotiate with peers, and develop essential interpersonal skills.</w:t>
      </w:r>
    </w:p>
    <w:p w14:paraId="74D108AD" w14:textId="77777777" w:rsidR="005B1F3B" w:rsidRPr="005B1F3B" w:rsidRDefault="005B1F3B" w:rsidP="005B1F3B">
      <w:pPr>
        <w:spacing w:line="360" w:lineRule="auto"/>
        <w:rPr>
          <w:rFonts w:ascii="Arial" w:hAnsi="Arial" w:cs="Arial"/>
          <w:sz w:val="24"/>
          <w:szCs w:val="24"/>
        </w:rPr>
      </w:pPr>
    </w:p>
    <w:p w14:paraId="3A1E99EC" w14:textId="4B46D405" w:rsidR="005B1F3B" w:rsidRPr="00A84E53" w:rsidRDefault="005B1F3B" w:rsidP="005B1F3B">
      <w:pPr>
        <w:spacing w:line="360" w:lineRule="auto"/>
        <w:rPr>
          <w:rFonts w:ascii="Arial" w:hAnsi="Arial" w:cs="Arial"/>
          <w:sz w:val="24"/>
          <w:szCs w:val="24"/>
        </w:rPr>
      </w:pPr>
      <w:r w:rsidRPr="005B1F3B">
        <w:rPr>
          <w:rFonts w:ascii="Arial" w:hAnsi="Arial" w:cs="Arial"/>
          <w:sz w:val="24"/>
          <w:szCs w:val="24"/>
        </w:rPr>
        <w:lastRenderedPageBreak/>
        <w:t xml:space="preserve">Research consistently supports the significance of play in early childhood. The American Academy of </w:t>
      </w:r>
      <w:r w:rsidR="00352E86" w:rsidRPr="005B1F3B">
        <w:rPr>
          <w:rFonts w:ascii="Arial" w:hAnsi="Arial" w:cs="Arial"/>
          <w:sz w:val="24"/>
          <w:szCs w:val="24"/>
        </w:rPr>
        <w:t>Paediatrics</w:t>
      </w:r>
      <w:r w:rsidRPr="005B1F3B">
        <w:rPr>
          <w:rFonts w:ascii="Arial" w:hAnsi="Arial" w:cs="Arial"/>
          <w:sz w:val="24"/>
          <w:szCs w:val="24"/>
        </w:rPr>
        <w:t xml:space="preserve"> (2018) emphasizes the importance of play in promoting healthy brain development, building strong parent-child relationships, and enhancing various developmental domains. Play is recognized as a right of every child by the United Nations High Commission for Human Rights (UNHCR, 1989), underscoring its global importance in early childhood.</w:t>
      </w:r>
    </w:p>
    <w:p w14:paraId="7F24E446" w14:textId="47B05C50" w:rsidR="00A84E53" w:rsidRPr="00A84E53" w:rsidRDefault="00547187" w:rsidP="00A84E53">
      <w:pPr>
        <w:spacing w:line="360" w:lineRule="auto"/>
        <w:rPr>
          <w:rFonts w:ascii="Arial" w:hAnsi="Arial" w:cs="Arial"/>
          <w:sz w:val="24"/>
          <w:szCs w:val="24"/>
        </w:rPr>
      </w:pPr>
      <w:r>
        <w:rPr>
          <w:rFonts w:ascii="Arial" w:hAnsi="Arial" w:cs="Arial"/>
          <w:sz w:val="24"/>
          <w:szCs w:val="24"/>
        </w:rPr>
        <w:t xml:space="preserve">The two types of play we will delve into further are imaginative play and socio-dramatic play.  </w:t>
      </w:r>
    </w:p>
    <w:p w14:paraId="1D74EF5B" w14:textId="19EC46ED" w:rsidR="00A84E53" w:rsidRPr="00A84E53" w:rsidRDefault="00A84E53" w:rsidP="00A84E53">
      <w:pPr>
        <w:spacing w:line="360" w:lineRule="auto"/>
        <w:rPr>
          <w:rFonts w:ascii="Arial" w:hAnsi="Arial" w:cs="Arial"/>
          <w:sz w:val="24"/>
          <w:szCs w:val="24"/>
        </w:rPr>
      </w:pPr>
      <w:r w:rsidRPr="00A84E53">
        <w:rPr>
          <w:rFonts w:ascii="Arial" w:hAnsi="Arial" w:cs="Arial"/>
          <w:sz w:val="24"/>
          <w:szCs w:val="24"/>
        </w:rPr>
        <w:t>Imaginative play, also known as pretend or fantasy play, involves children creating fictional scenarios and using their imagination to explore different roles and situations. This type of play is crucial in developing cognitive, social, and emotional skills (Piaget, 1962). In imaginative play, children engage in symbolic thinking, enhancing their language development, problem-solving abilities, and creativity (Vygotsky, 1978).</w:t>
      </w:r>
    </w:p>
    <w:p w14:paraId="3BAA4B42" w14:textId="1869A101" w:rsidR="00A84E53" w:rsidRPr="00A84E53" w:rsidRDefault="00A84E53" w:rsidP="00A84E53">
      <w:pPr>
        <w:spacing w:line="360" w:lineRule="auto"/>
        <w:rPr>
          <w:rFonts w:ascii="Arial" w:hAnsi="Arial" w:cs="Arial"/>
          <w:sz w:val="24"/>
          <w:szCs w:val="24"/>
        </w:rPr>
      </w:pPr>
      <w:r w:rsidRPr="00A84E53">
        <w:rPr>
          <w:rFonts w:ascii="Arial" w:hAnsi="Arial" w:cs="Arial"/>
          <w:sz w:val="24"/>
          <w:szCs w:val="24"/>
        </w:rPr>
        <w:t>Practitioners can support imaginative play by providing open-ended materials such as dress-up clothes, props, and various play settings. They can create a supportive environment that encourages children to express themselves freely, fostering the development of their imaginations (</w:t>
      </w:r>
      <w:proofErr w:type="spellStart"/>
      <w:r w:rsidRPr="00A84E53">
        <w:rPr>
          <w:rFonts w:ascii="Arial" w:hAnsi="Arial" w:cs="Arial"/>
          <w:sz w:val="24"/>
          <w:szCs w:val="24"/>
        </w:rPr>
        <w:t>Göncü</w:t>
      </w:r>
      <w:proofErr w:type="spellEnd"/>
      <w:r w:rsidRPr="00A84E53">
        <w:rPr>
          <w:rFonts w:ascii="Arial" w:hAnsi="Arial" w:cs="Arial"/>
          <w:sz w:val="24"/>
          <w:szCs w:val="24"/>
        </w:rPr>
        <w:t xml:space="preserve"> &amp; Gauvain, 2012). Adults can actively participate in imaginative play, taking on different roles and extending children's narratives to enhance language and social interaction.</w:t>
      </w:r>
    </w:p>
    <w:p w14:paraId="59D2CC9F" w14:textId="275271F7" w:rsidR="00A84E53" w:rsidRPr="00A84E53" w:rsidRDefault="00A84E53" w:rsidP="00A84E53">
      <w:pPr>
        <w:spacing w:line="360" w:lineRule="auto"/>
        <w:rPr>
          <w:rFonts w:ascii="Arial" w:hAnsi="Arial" w:cs="Arial"/>
          <w:sz w:val="24"/>
          <w:szCs w:val="24"/>
        </w:rPr>
      </w:pPr>
      <w:r w:rsidRPr="00A84E53">
        <w:rPr>
          <w:rFonts w:ascii="Arial" w:hAnsi="Arial" w:cs="Arial"/>
          <w:sz w:val="24"/>
          <w:szCs w:val="24"/>
        </w:rPr>
        <w:t>Socio-dramatic play involves children engaging in role-playing activities with peers, often taking on specific roles and creating narratives within a social context. This type of play is crucial for developing social skills, cooperation, and empathy (Parten, 1932). Through socio-dramatic play, children learn to understand others' perspectives, negotiate, and work collaboratively, promoting positive social development (</w:t>
      </w:r>
      <w:proofErr w:type="spellStart"/>
      <w:r w:rsidRPr="00A84E53">
        <w:rPr>
          <w:rFonts w:ascii="Arial" w:hAnsi="Arial" w:cs="Arial"/>
          <w:sz w:val="24"/>
          <w:szCs w:val="24"/>
        </w:rPr>
        <w:t>Smilansky</w:t>
      </w:r>
      <w:proofErr w:type="spellEnd"/>
      <w:r w:rsidRPr="00A84E53">
        <w:rPr>
          <w:rFonts w:ascii="Arial" w:hAnsi="Arial" w:cs="Arial"/>
          <w:sz w:val="24"/>
          <w:szCs w:val="24"/>
        </w:rPr>
        <w:t xml:space="preserve"> &amp; </w:t>
      </w:r>
      <w:proofErr w:type="spellStart"/>
      <w:r w:rsidRPr="00A84E53">
        <w:rPr>
          <w:rFonts w:ascii="Arial" w:hAnsi="Arial" w:cs="Arial"/>
          <w:sz w:val="24"/>
          <w:szCs w:val="24"/>
        </w:rPr>
        <w:t>Shefatya</w:t>
      </w:r>
      <w:proofErr w:type="spellEnd"/>
      <w:r w:rsidRPr="00A84E53">
        <w:rPr>
          <w:rFonts w:ascii="Arial" w:hAnsi="Arial" w:cs="Arial"/>
          <w:sz w:val="24"/>
          <w:szCs w:val="24"/>
        </w:rPr>
        <w:t>, 1990).</w:t>
      </w:r>
    </w:p>
    <w:p w14:paraId="629E8157" w14:textId="20EAD8F7" w:rsidR="00A84E53" w:rsidRPr="00A84E53" w:rsidRDefault="00A84E53" w:rsidP="00A84E53">
      <w:pPr>
        <w:spacing w:line="360" w:lineRule="auto"/>
        <w:rPr>
          <w:rFonts w:ascii="Arial" w:hAnsi="Arial" w:cs="Arial"/>
          <w:sz w:val="24"/>
          <w:szCs w:val="24"/>
        </w:rPr>
      </w:pPr>
      <w:r w:rsidRPr="00A84E53">
        <w:rPr>
          <w:rFonts w:ascii="Arial" w:hAnsi="Arial" w:cs="Arial"/>
          <w:sz w:val="24"/>
          <w:szCs w:val="24"/>
        </w:rPr>
        <w:t xml:space="preserve">Practitioners can support socio-dramatic play by creating designated role-play areas with props, costumes, and diverse play materials. They can encourage children to collaborate on narratives, solving problems together and sharing ideas. Adults can act as facilitators, guiding and extending children's play while promoting positive social interactions (Christie &amp; Roskos, 2006). Practitioners should also observe and </w:t>
      </w:r>
      <w:r w:rsidRPr="00A84E53">
        <w:rPr>
          <w:rFonts w:ascii="Arial" w:hAnsi="Arial" w:cs="Arial"/>
          <w:sz w:val="24"/>
          <w:szCs w:val="24"/>
        </w:rPr>
        <w:lastRenderedPageBreak/>
        <w:t>document the socio-dramatic play, providing insights into children's social development for future planning.</w:t>
      </w:r>
    </w:p>
    <w:p w14:paraId="7FADD2A6" w14:textId="6C92331A" w:rsidR="00A84E53" w:rsidRPr="00A84E53" w:rsidRDefault="00A84E53" w:rsidP="00A84E53">
      <w:pPr>
        <w:spacing w:line="360" w:lineRule="auto"/>
        <w:rPr>
          <w:rFonts w:ascii="Arial" w:hAnsi="Arial" w:cs="Arial"/>
          <w:sz w:val="24"/>
          <w:szCs w:val="24"/>
        </w:rPr>
      </w:pPr>
      <w:r w:rsidRPr="00A84E53">
        <w:rPr>
          <w:rFonts w:ascii="Arial" w:hAnsi="Arial" w:cs="Arial"/>
          <w:sz w:val="24"/>
          <w:szCs w:val="24"/>
        </w:rPr>
        <w:t>Both imaginative and socio-dramatic play contribute significantly to children's holistic development. In imaginative play, children develop language skills as they create and communicate in fictional scenarios. Their cognitive abilities are enhanced as they engage in problem-solving within these imaginative worlds (Vygotsky, 1978). Additionally, imaginative play supports emotional development by providing a safe space for children to express and understand their emotions (Erikson, 1950).</w:t>
      </w:r>
    </w:p>
    <w:p w14:paraId="0D858BA8" w14:textId="3FBF4F33" w:rsidR="00A84E53" w:rsidRPr="00A84E53" w:rsidRDefault="00A84E53" w:rsidP="00A84E53">
      <w:pPr>
        <w:spacing w:line="360" w:lineRule="auto"/>
        <w:rPr>
          <w:rFonts w:ascii="Arial" w:hAnsi="Arial" w:cs="Arial"/>
          <w:sz w:val="24"/>
          <w:szCs w:val="24"/>
        </w:rPr>
      </w:pPr>
      <w:r w:rsidRPr="00A84E53">
        <w:rPr>
          <w:rFonts w:ascii="Arial" w:hAnsi="Arial" w:cs="Arial"/>
          <w:sz w:val="24"/>
          <w:szCs w:val="24"/>
        </w:rPr>
        <w:t>Socio-dramatic play, on the other hand, supports holistic development by fostering social skills and emotional intelligence. Children learn to navigate social relationships, negotiate, and cooperate with peers, laying the foundation for positive interpersonal skills (Parten, 1932). The emotional development is further supported as children engage in role-playing scenarios that allow them to explore and understand different emotions and perspectives.</w:t>
      </w:r>
    </w:p>
    <w:p w14:paraId="0B5D5616" w14:textId="574B5C0F" w:rsidR="00A84E53" w:rsidRDefault="00A84E53" w:rsidP="00A84E53">
      <w:pPr>
        <w:spacing w:line="360" w:lineRule="auto"/>
        <w:rPr>
          <w:rFonts w:ascii="Arial" w:hAnsi="Arial" w:cs="Arial"/>
          <w:sz w:val="24"/>
          <w:szCs w:val="24"/>
        </w:rPr>
      </w:pPr>
      <w:r w:rsidRPr="00A84E53">
        <w:rPr>
          <w:rFonts w:ascii="Arial" w:hAnsi="Arial" w:cs="Arial"/>
          <w:sz w:val="24"/>
          <w:szCs w:val="24"/>
        </w:rPr>
        <w:t>In conclusion, imaginative play and socio-dramatic play are integral components of early childhood development, offering unique opportunities for cognitive, social, and emotional growth. Practitioners play a crucial role in supporting these types of play by creating environments rich in materials and opportunities, actively participating in play scenarios, and observing and documenting children's interactions. By understanding and facilitating imaginative and socio-dramatic play, practitioners contribute to the holistic development of children in early years settings.</w:t>
      </w:r>
    </w:p>
    <w:p w14:paraId="68A3EE5B" w14:textId="77777777" w:rsidR="00A84E53" w:rsidRDefault="00A84E53" w:rsidP="00A84E53">
      <w:pPr>
        <w:spacing w:line="360" w:lineRule="auto"/>
        <w:rPr>
          <w:rFonts w:ascii="Arial" w:hAnsi="Arial" w:cs="Arial"/>
          <w:sz w:val="24"/>
          <w:szCs w:val="24"/>
        </w:rPr>
      </w:pPr>
    </w:p>
    <w:p w14:paraId="6C3A7A14" w14:textId="77777777" w:rsidR="004C5BD2" w:rsidRPr="00C73FFE" w:rsidRDefault="00A84E53">
      <w:pPr>
        <w:rPr>
          <w:rFonts w:ascii="Arial" w:hAnsi="Arial" w:cs="Arial"/>
          <w:b/>
          <w:bCs/>
          <w:sz w:val="24"/>
          <w:szCs w:val="24"/>
        </w:rPr>
      </w:pPr>
      <w:r>
        <w:rPr>
          <w:rFonts w:ascii="Arial" w:hAnsi="Arial" w:cs="Arial"/>
          <w:sz w:val="24"/>
          <w:szCs w:val="24"/>
        </w:rPr>
        <w:br w:type="page"/>
      </w:r>
      <w:r w:rsidR="004C5BD2" w:rsidRPr="00C73FFE">
        <w:rPr>
          <w:rFonts w:ascii="Arial" w:hAnsi="Arial" w:cs="Arial"/>
          <w:b/>
          <w:bCs/>
          <w:sz w:val="24"/>
          <w:szCs w:val="24"/>
        </w:rPr>
        <w:lastRenderedPageBreak/>
        <w:t>Section 2:</w:t>
      </w:r>
    </w:p>
    <w:p w14:paraId="1DE9C494" w14:textId="1A819471" w:rsidR="001273CA" w:rsidRPr="00C73FFE" w:rsidRDefault="004C5BD2" w:rsidP="00C73FFE">
      <w:pPr>
        <w:spacing w:line="360" w:lineRule="auto"/>
        <w:rPr>
          <w:rFonts w:ascii="Arial" w:hAnsi="Arial" w:cs="Arial"/>
          <w:b/>
          <w:bCs/>
          <w:sz w:val="24"/>
          <w:szCs w:val="24"/>
          <w:u w:val="single"/>
        </w:rPr>
      </w:pPr>
      <w:r w:rsidRPr="00C73FFE">
        <w:rPr>
          <w:rFonts w:ascii="Arial" w:hAnsi="Arial" w:cs="Arial"/>
          <w:b/>
          <w:bCs/>
          <w:sz w:val="24"/>
          <w:szCs w:val="24"/>
          <w:u w:val="single"/>
        </w:rPr>
        <w:t>Evidence of a clear understanding of why it is important for children to choose their own play and the importance of the role of the adult in children’s play.</w:t>
      </w:r>
    </w:p>
    <w:p w14:paraId="0749DEA6" w14:textId="4444E1D5" w:rsidR="001273CA" w:rsidRDefault="001273CA" w:rsidP="00C73FFE">
      <w:pPr>
        <w:spacing w:line="360" w:lineRule="auto"/>
        <w:rPr>
          <w:rFonts w:ascii="Arial" w:hAnsi="Arial" w:cs="Arial"/>
          <w:sz w:val="24"/>
          <w:szCs w:val="24"/>
        </w:rPr>
      </w:pPr>
      <w:r w:rsidRPr="001273CA">
        <w:rPr>
          <w:rFonts w:ascii="Arial" w:hAnsi="Arial" w:cs="Arial"/>
          <w:sz w:val="24"/>
          <w:szCs w:val="24"/>
        </w:rPr>
        <w:t>Child-directed play, where children have the freedom to choose and lead their play activities, is fundamental to their development. Self-directed play involves children choosing their activities, setting the pace, and exploring their interests independently (Sturrock &amp; Perry Else, 1998). Research by Howard and McInnes (2012) underscores the importance of recognizing play from the child's perspective, highlighting its subjective nature. When children perceive activities as play, they are more likely to engage actively and learn meaningfully (Howard &amp; McInnes, 2012).</w:t>
      </w:r>
    </w:p>
    <w:p w14:paraId="60E80157" w14:textId="6D90A168" w:rsidR="008332A5" w:rsidRPr="008332A5" w:rsidRDefault="008332A5" w:rsidP="00C73FFE">
      <w:pPr>
        <w:spacing w:line="360" w:lineRule="auto"/>
        <w:rPr>
          <w:rFonts w:ascii="Arial" w:hAnsi="Arial" w:cs="Arial"/>
          <w:sz w:val="24"/>
          <w:szCs w:val="24"/>
        </w:rPr>
      </w:pPr>
      <w:r w:rsidRPr="008332A5">
        <w:rPr>
          <w:rFonts w:ascii="Arial" w:hAnsi="Arial" w:cs="Arial"/>
          <w:sz w:val="24"/>
          <w:szCs w:val="24"/>
        </w:rPr>
        <w:t>Child-directed play not only contributes to cognitive development but also plays a crucial role in fostering holistic development. Through self-directed exploration and engagement, children enhance their physical, social, emotional, and language skills (Howard &amp; McInnes,</w:t>
      </w:r>
      <w:r w:rsidR="002E5B11">
        <w:rPr>
          <w:rFonts w:ascii="Arial" w:hAnsi="Arial" w:cs="Arial"/>
          <w:sz w:val="24"/>
          <w:szCs w:val="24"/>
        </w:rPr>
        <w:t xml:space="preserve"> </w:t>
      </w:r>
      <w:r w:rsidRPr="008332A5">
        <w:rPr>
          <w:rFonts w:ascii="Arial" w:hAnsi="Arial" w:cs="Arial"/>
          <w:sz w:val="24"/>
          <w:szCs w:val="24"/>
        </w:rPr>
        <w:t>2012). For example, in unstructured play, children may engage in physical activities that develop their motor skills and coordination. The freedom to choose and lead activities empowers children, building a sense of agency that positively influences their self-esteem and emotional well-being (Sturrock &amp; Perry Else,1998).</w:t>
      </w:r>
    </w:p>
    <w:p w14:paraId="5C0DE190" w14:textId="57416BED" w:rsidR="008332A5" w:rsidRPr="001273CA" w:rsidRDefault="008332A5" w:rsidP="00C73FFE">
      <w:pPr>
        <w:spacing w:line="360" w:lineRule="auto"/>
        <w:rPr>
          <w:rFonts w:ascii="Arial" w:hAnsi="Arial" w:cs="Arial"/>
          <w:sz w:val="24"/>
          <w:szCs w:val="24"/>
        </w:rPr>
      </w:pPr>
      <w:r w:rsidRPr="008332A5">
        <w:rPr>
          <w:rFonts w:ascii="Arial" w:hAnsi="Arial" w:cs="Arial"/>
          <w:sz w:val="24"/>
          <w:szCs w:val="24"/>
        </w:rPr>
        <w:t>Moreover, child-led play supports language development as children negotiate roles, create narratives, and communicate with peers (Nicholson,1971). This type of play provides a context for language acquisition, where children naturally learn to express themselves and understand others within the social dynamics of play. The richness of language experiences during child-directed play contributes to the development of vocabulary, communication skills, and the ability to express emotions.</w:t>
      </w:r>
    </w:p>
    <w:p w14:paraId="2368C9EE" w14:textId="62183D92" w:rsidR="001273CA" w:rsidRPr="001273CA" w:rsidRDefault="001273CA" w:rsidP="00C73FFE">
      <w:pPr>
        <w:spacing w:line="360" w:lineRule="auto"/>
        <w:rPr>
          <w:rFonts w:ascii="Arial" w:hAnsi="Arial" w:cs="Arial"/>
          <w:sz w:val="24"/>
          <w:szCs w:val="24"/>
        </w:rPr>
      </w:pPr>
      <w:r w:rsidRPr="001273CA">
        <w:rPr>
          <w:rFonts w:ascii="Arial" w:hAnsi="Arial" w:cs="Arial"/>
          <w:sz w:val="24"/>
          <w:szCs w:val="24"/>
        </w:rPr>
        <w:t>Nicholson (1971) advocates for an environment that allows children to engage in play without adult interference, emphasizing the value of the child's experience. This aligns with the intrinsic motivation theory proposed by Wilson (2002), which suggests that activities initiated by personal interest and enjoyment lead to more sustained engagement and meaningful learning.</w:t>
      </w:r>
    </w:p>
    <w:p w14:paraId="696C797F" w14:textId="7B60445B" w:rsidR="005508C0" w:rsidRPr="001273CA" w:rsidRDefault="001273CA" w:rsidP="00C73FFE">
      <w:pPr>
        <w:spacing w:line="360" w:lineRule="auto"/>
        <w:rPr>
          <w:rFonts w:ascii="Arial" w:hAnsi="Arial" w:cs="Arial"/>
          <w:sz w:val="24"/>
          <w:szCs w:val="24"/>
        </w:rPr>
      </w:pPr>
      <w:r w:rsidRPr="001273CA">
        <w:rPr>
          <w:rFonts w:ascii="Arial" w:hAnsi="Arial" w:cs="Arial"/>
          <w:sz w:val="24"/>
          <w:szCs w:val="24"/>
        </w:rPr>
        <w:t xml:space="preserve">Child-led play, where children take the lead in their activities, promotes intrinsic motivation, defined as engaging in an activity for the sheer joy and satisfaction it brings (Wilson, 2002). Intrinsic motivation is crucial for fostering a love for learning </w:t>
      </w:r>
      <w:r w:rsidRPr="001273CA">
        <w:rPr>
          <w:rFonts w:ascii="Arial" w:hAnsi="Arial" w:cs="Arial"/>
          <w:sz w:val="24"/>
          <w:szCs w:val="24"/>
        </w:rPr>
        <w:lastRenderedPageBreak/>
        <w:t>and promoting lifelong curiosity. Sturrock and Perry Else's (1998) Colorado Paper highlights the importance of intrinsic motivation in play, emphasizing that children are more likely to learn and retain information when motivated by their personal interests and curiosity.</w:t>
      </w:r>
    </w:p>
    <w:p w14:paraId="79EB8FBF" w14:textId="546889C9" w:rsidR="001273CA" w:rsidRPr="001273CA" w:rsidRDefault="001273CA" w:rsidP="00C73FFE">
      <w:pPr>
        <w:spacing w:line="360" w:lineRule="auto"/>
        <w:rPr>
          <w:rFonts w:ascii="Arial" w:hAnsi="Arial" w:cs="Arial"/>
          <w:sz w:val="24"/>
          <w:szCs w:val="24"/>
        </w:rPr>
      </w:pPr>
      <w:r w:rsidRPr="001273CA">
        <w:rPr>
          <w:rFonts w:ascii="Arial" w:hAnsi="Arial" w:cs="Arial"/>
          <w:sz w:val="24"/>
          <w:szCs w:val="24"/>
        </w:rPr>
        <w:t>While child-directed play is crucial, the role of adults in supporting and facilitating this type of play is equally important. Wilson (2002) emphasizes the need for adults to create an environment that encourages autonomy, choice, and exploration. Adults can act as facilitators, providing resources, time, and space for children to engage in self-directed play.</w:t>
      </w:r>
    </w:p>
    <w:p w14:paraId="6C563306" w14:textId="5D350EED" w:rsidR="001273CA" w:rsidRDefault="001273CA" w:rsidP="00C73FFE">
      <w:pPr>
        <w:spacing w:line="360" w:lineRule="auto"/>
        <w:rPr>
          <w:rFonts w:ascii="Arial" w:hAnsi="Arial" w:cs="Arial"/>
          <w:sz w:val="24"/>
          <w:szCs w:val="24"/>
        </w:rPr>
      </w:pPr>
      <w:r w:rsidRPr="001273CA">
        <w:rPr>
          <w:rFonts w:ascii="Arial" w:hAnsi="Arial" w:cs="Arial"/>
          <w:sz w:val="24"/>
          <w:szCs w:val="24"/>
        </w:rPr>
        <w:t>Research by Howard and McInnes (2012) stresses the significance of recognizing and respecting children's perceptions of play. When adults validate and acknowledge a child's play, it enhances the child's sense of agency and autonomy, contributing to a positive play experience (Howard &amp; McInnes, 2012). Nicholson (1971) suggests that adults refrain from interfering in children's play, allowing them to explore, create, and learn independently.</w:t>
      </w:r>
    </w:p>
    <w:p w14:paraId="2F8089C6" w14:textId="40F12AB3" w:rsidR="00FD5909" w:rsidRPr="00FD5909" w:rsidRDefault="00FD5909" w:rsidP="00C73FFE">
      <w:pPr>
        <w:spacing w:line="360" w:lineRule="auto"/>
        <w:rPr>
          <w:rFonts w:ascii="Arial" w:hAnsi="Arial" w:cs="Arial"/>
          <w:sz w:val="24"/>
          <w:szCs w:val="24"/>
        </w:rPr>
      </w:pPr>
      <w:r w:rsidRPr="00FD5909">
        <w:rPr>
          <w:rFonts w:ascii="Arial" w:hAnsi="Arial" w:cs="Arial"/>
          <w:sz w:val="24"/>
          <w:szCs w:val="24"/>
        </w:rPr>
        <w:t>While child-directed play is driven by the child's interests and choices, adults play a vital role in scaffolding learning during these activities (Vygotsky, 1978). Scaffolding involves providing support and guidance to help children accomplish tasks beyond their current capabilities. By observing children's play, adults can identify opportunities to extend and enhance learning through thoughtful interventions.</w:t>
      </w:r>
    </w:p>
    <w:p w14:paraId="7B644DC2" w14:textId="71323F74" w:rsidR="00FD5909" w:rsidRPr="001273CA" w:rsidRDefault="00FD5909" w:rsidP="00C73FFE">
      <w:pPr>
        <w:spacing w:line="360" w:lineRule="auto"/>
        <w:rPr>
          <w:rFonts w:ascii="Arial" w:hAnsi="Arial" w:cs="Arial"/>
          <w:sz w:val="24"/>
          <w:szCs w:val="24"/>
        </w:rPr>
      </w:pPr>
      <w:r w:rsidRPr="00FD5909">
        <w:rPr>
          <w:rFonts w:ascii="Arial" w:hAnsi="Arial" w:cs="Arial"/>
          <w:sz w:val="24"/>
          <w:szCs w:val="24"/>
        </w:rPr>
        <w:t>Adults can introduce new materials, ask open-ended questions, and engage in joint activities that expand on the child's interests (Howard &amp; McInnes, 2012). This collaborative approach aligns with Vygotsky's Zone of Proximal Development (ZPD), where learning is most effective when it occurs within the range of what a child can achieve independently and what can be achieved with assistance.</w:t>
      </w:r>
    </w:p>
    <w:p w14:paraId="0AC45B50" w14:textId="71B0E60C" w:rsidR="001273CA" w:rsidRDefault="001273CA" w:rsidP="00C73FFE">
      <w:pPr>
        <w:spacing w:line="360" w:lineRule="auto"/>
        <w:rPr>
          <w:rFonts w:ascii="Arial" w:hAnsi="Arial" w:cs="Arial"/>
          <w:sz w:val="24"/>
          <w:szCs w:val="24"/>
        </w:rPr>
      </w:pPr>
      <w:r w:rsidRPr="001273CA">
        <w:rPr>
          <w:rFonts w:ascii="Arial" w:hAnsi="Arial" w:cs="Arial"/>
          <w:sz w:val="24"/>
          <w:szCs w:val="24"/>
        </w:rPr>
        <w:t>The ability to choose and lead play activities significantly impacts a child's level of engagement. In a study by Sturrock and Perry Else (1998), children demonstrated higher levels of engagement and creativity when given the freedom to choose and control their play. This autonomy not only enhances learning but also contributes to the development of problem-solving skills, decision-making abilities, and a sense of ownership over their activities.</w:t>
      </w:r>
    </w:p>
    <w:p w14:paraId="3BCCA43C" w14:textId="70207D31" w:rsidR="00686D55" w:rsidRPr="00686D55" w:rsidRDefault="00686D55" w:rsidP="00C73FFE">
      <w:pPr>
        <w:spacing w:line="360" w:lineRule="auto"/>
        <w:rPr>
          <w:rFonts w:ascii="Arial" w:hAnsi="Arial" w:cs="Arial"/>
          <w:sz w:val="24"/>
          <w:szCs w:val="24"/>
        </w:rPr>
      </w:pPr>
      <w:r w:rsidRPr="00686D55">
        <w:rPr>
          <w:rFonts w:ascii="Arial" w:hAnsi="Arial" w:cs="Arial"/>
          <w:sz w:val="24"/>
          <w:szCs w:val="24"/>
        </w:rPr>
        <w:lastRenderedPageBreak/>
        <w:t>Intrinsic motivation, as emphasized by Wilson (2002), is a key component of child-directed play. Adults can support intrinsic motivation by creating an environment that values the process of learning rather than focusing solely on outcomes. Praising effort, acknowledging creativity, and celebrating the child's autonomy in decision-making all contribute to fostering a sense of intrinsic motivation (Wilson, 2002).</w:t>
      </w:r>
    </w:p>
    <w:p w14:paraId="18CAE015" w14:textId="34C57155" w:rsidR="00686D55" w:rsidRPr="001273CA" w:rsidRDefault="00686D55" w:rsidP="00C73FFE">
      <w:pPr>
        <w:spacing w:line="360" w:lineRule="auto"/>
        <w:rPr>
          <w:rFonts w:ascii="Arial" w:hAnsi="Arial" w:cs="Arial"/>
          <w:sz w:val="24"/>
          <w:szCs w:val="24"/>
        </w:rPr>
      </w:pPr>
      <w:r w:rsidRPr="00686D55">
        <w:rPr>
          <w:rFonts w:ascii="Arial" w:hAnsi="Arial" w:cs="Arial"/>
          <w:sz w:val="24"/>
          <w:szCs w:val="24"/>
        </w:rPr>
        <w:t>Additionally, adults can provide a variety of materials and opportunities for children to explore, encouraging curiosity and creativity (Sturrock &amp; Perry Else, 1998). Offering choices within structured environments allows children to feel a sense of ownership over their play, promoting sustained engagement and a deeper level of learning.</w:t>
      </w:r>
    </w:p>
    <w:p w14:paraId="254352F6" w14:textId="29EFC0D0" w:rsidR="00904925" w:rsidRDefault="001273CA" w:rsidP="00C73FFE">
      <w:pPr>
        <w:spacing w:line="360" w:lineRule="auto"/>
        <w:rPr>
          <w:rFonts w:ascii="Arial" w:hAnsi="Arial" w:cs="Arial"/>
          <w:sz w:val="24"/>
          <w:szCs w:val="24"/>
        </w:rPr>
      </w:pPr>
      <w:r w:rsidRPr="001273CA">
        <w:rPr>
          <w:rFonts w:ascii="Arial" w:hAnsi="Arial" w:cs="Arial"/>
          <w:sz w:val="24"/>
          <w:szCs w:val="24"/>
        </w:rPr>
        <w:t>Child-directed play is an integral part of childhood, providing a platform for meaningful learning, intrinsic motivation, and holistic development. Understanding play from the child's perspective, as emphasized by Howard and McInnes (2012), is crucial for creating an environment that nurtures autonomy and choice. Adults play a pivotal role in supporting child-directed play by facilitating an environment that encourages exploration, creativity, and self-discovery. Recognizing the importance of child-led activities, as advocated by Nicholson (1971) and Sturrock and Perry Else (1998), contributes to fostering a love for learning that extends beyond the early years.</w:t>
      </w:r>
    </w:p>
    <w:p w14:paraId="7AF9D18A" w14:textId="77777777" w:rsidR="00D246AB" w:rsidRDefault="00D246AB">
      <w:pPr>
        <w:rPr>
          <w:rFonts w:ascii="Arial" w:hAnsi="Arial" w:cs="Arial"/>
          <w:sz w:val="24"/>
          <w:szCs w:val="24"/>
        </w:rPr>
      </w:pPr>
    </w:p>
    <w:p w14:paraId="6484AE00" w14:textId="77777777" w:rsidR="00D246AB" w:rsidRDefault="00D246AB">
      <w:pPr>
        <w:rPr>
          <w:rFonts w:ascii="Arial" w:hAnsi="Arial" w:cs="Arial"/>
          <w:sz w:val="24"/>
          <w:szCs w:val="24"/>
        </w:rPr>
      </w:pPr>
      <w:r>
        <w:rPr>
          <w:rFonts w:ascii="Arial" w:hAnsi="Arial" w:cs="Arial"/>
          <w:sz w:val="24"/>
          <w:szCs w:val="24"/>
        </w:rPr>
        <w:br w:type="page"/>
      </w:r>
    </w:p>
    <w:p w14:paraId="7FE6DA8A" w14:textId="77777777" w:rsidR="00D246AB" w:rsidRPr="00123291" w:rsidRDefault="00D246AB">
      <w:pPr>
        <w:rPr>
          <w:rFonts w:ascii="Arial" w:hAnsi="Arial" w:cs="Arial"/>
          <w:b/>
          <w:bCs/>
          <w:sz w:val="24"/>
          <w:szCs w:val="24"/>
        </w:rPr>
      </w:pPr>
      <w:r w:rsidRPr="00123291">
        <w:rPr>
          <w:rFonts w:ascii="Arial" w:hAnsi="Arial" w:cs="Arial"/>
          <w:b/>
          <w:bCs/>
          <w:sz w:val="24"/>
          <w:szCs w:val="24"/>
        </w:rPr>
        <w:lastRenderedPageBreak/>
        <w:t>Section 3</w:t>
      </w:r>
    </w:p>
    <w:p w14:paraId="240C63DC" w14:textId="77777777" w:rsidR="00435F8D" w:rsidRPr="00123291" w:rsidRDefault="006C01A3" w:rsidP="004F01F0">
      <w:pPr>
        <w:spacing w:line="360" w:lineRule="auto"/>
        <w:rPr>
          <w:rFonts w:ascii="Arial" w:hAnsi="Arial" w:cs="Arial"/>
          <w:b/>
          <w:bCs/>
          <w:sz w:val="24"/>
          <w:szCs w:val="24"/>
          <w:u w:val="single"/>
        </w:rPr>
      </w:pPr>
      <w:r w:rsidRPr="00123291">
        <w:rPr>
          <w:rFonts w:ascii="Arial" w:hAnsi="Arial" w:cs="Arial"/>
          <w:b/>
          <w:bCs/>
          <w:sz w:val="24"/>
          <w:szCs w:val="24"/>
          <w:u w:val="single"/>
        </w:rPr>
        <w:t>In depth discussion and unders</w:t>
      </w:r>
      <w:r w:rsidR="00435F8D" w:rsidRPr="00123291">
        <w:rPr>
          <w:rFonts w:ascii="Arial" w:hAnsi="Arial" w:cs="Arial"/>
          <w:b/>
          <w:bCs/>
          <w:sz w:val="24"/>
          <w:szCs w:val="24"/>
          <w:u w:val="single"/>
        </w:rPr>
        <w:t>tanding of an observation method for young children.</w:t>
      </w:r>
    </w:p>
    <w:p w14:paraId="53FA3C75" w14:textId="2CA21262" w:rsidR="005D7E86" w:rsidRDefault="005D7E86" w:rsidP="004F01F0">
      <w:pPr>
        <w:spacing w:line="360" w:lineRule="auto"/>
        <w:rPr>
          <w:rFonts w:ascii="Arial" w:hAnsi="Arial" w:cs="Arial"/>
          <w:sz w:val="24"/>
          <w:szCs w:val="24"/>
        </w:rPr>
      </w:pPr>
      <w:r w:rsidRPr="005D7E86">
        <w:rPr>
          <w:rFonts w:ascii="Arial" w:hAnsi="Arial" w:cs="Arial"/>
          <w:sz w:val="24"/>
          <w:szCs w:val="24"/>
        </w:rPr>
        <w:t xml:space="preserve">Observation methods play a pivotal role in understanding and supporting the learning and development of young children. </w:t>
      </w:r>
      <w:r w:rsidR="002C4C1C">
        <w:rPr>
          <w:rFonts w:ascii="Arial" w:hAnsi="Arial" w:cs="Arial"/>
          <w:sz w:val="24"/>
          <w:szCs w:val="24"/>
        </w:rPr>
        <w:t xml:space="preserve">An </w:t>
      </w:r>
      <w:r w:rsidR="007F7C25">
        <w:rPr>
          <w:rFonts w:ascii="Arial" w:hAnsi="Arial" w:cs="Arial"/>
          <w:sz w:val="24"/>
          <w:szCs w:val="24"/>
        </w:rPr>
        <w:t>in-depth</w:t>
      </w:r>
      <w:r w:rsidR="002C4C1C">
        <w:rPr>
          <w:rFonts w:ascii="Arial" w:hAnsi="Arial" w:cs="Arial"/>
          <w:sz w:val="24"/>
          <w:szCs w:val="24"/>
        </w:rPr>
        <w:t xml:space="preserve"> discussion </w:t>
      </w:r>
      <w:r w:rsidR="0083560A">
        <w:rPr>
          <w:rFonts w:ascii="Arial" w:hAnsi="Arial" w:cs="Arial"/>
          <w:sz w:val="24"/>
          <w:szCs w:val="24"/>
        </w:rPr>
        <w:t>will be</w:t>
      </w:r>
      <w:r w:rsidRPr="005D7E86">
        <w:rPr>
          <w:rFonts w:ascii="Arial" w:hAnsi="Arial" w:cs="Arial"/>
          <w:sz w:val="24"/>
          <w:szCs w:val="24"/>
        </w:rPr>
        <w:t xml:space="preserve"> on the Anecdotal Record observation method, exploring its key features, benefits, limitations, and its impact on practitioners' ability to support learning and development</w:t>
      </w:r>
      <w:r w:rsidR="0083560A">
        <w:rPr>
          <w:rFonts w:ascii="Arial" w:hAnsi="Arial" w:cs="Arial"/>
          <w:sz w:val="24"/>
          <w:szCs w:val="24"/>
        </w:rPr>
        <w:t>.</w:t>
      </w:r>
    </w:p>
    <w:p w14:paraId="7CA76251" w14:textId="2ADAA98C" w:rsidR="00122E9D" w:rsidRDefault="00122E9D" w:rsidP="004F01F0">
      <w:pPr>
        <w:spacing w:line="360" w:lineRule="auto"/>
        <w:rPr>
          <w:rFonts w:ascii="Arial" w:hAnsi="Arial" w:cs="Arial"/>
          <w:sz w:val="24"/>
          <w:szCs w:val="24"/>
        </w:rPr>
      </w:pPr>
      <w:r w:rsidRPr="00122E9D">
        <w:rPr>
          <w:rFonts w:ascii="Arial" w:hAnsi="Arial" w:cs="Arial"/>
          <w:sz w:val="24"/>
          <w:szCs w:val="24"/>
        </w:rPr>
        <w:t xml:space="preserve">The Anecdotal Record method, as defined by Drummond (2003), involves crafting detailed, narrative descriptions of specific incidents or </w:t>
      </w:r>
      <w:r w:rsidR="005C49DB" w:rsidRPr="00122E9D">
        <w:rPr>
          <w:rFonts w:ascii="Arial" w:hAnsi="Arial" w:cs="Arial"/>
          <w:sz w:val="24"/>
          <w:szCs w:val="24"/>
        </w:rPr>
        <w:t>behaviours</w:t>
      </w:r>
      <w:r w:rsidRPr="00122E9D">
        <w:rPr>
          <w:rFonts w:ascii="Arial" w:hAnsi="Arial" w:cs="Arial"/>
          <w:sz w:val="24"/>
          <w:szCs w:val="24"/>
        </w:rPr>
        <w:t xml:space="preserve"> observed in a child. This approach captures contextual nuances, actions, and reactions, providing practitioners with a rich account of a child's </w:t>
      </w:r>
      <w:r w:rsidR="005C49DB" w:rsidRPr="00122E9D">
        <w:rPr>
          <w:rFonts w:ascii="Arial" w:hAnsi="Arial" w:cs="Arial"/>
          <w:sz w:val="24"/>
          <w:szCs w:val="24"/>
        </w:rPr>
        <w:t>behaviour</w:t>
      </w:r>
      <w:r w:rsidRPr="00122E9D">
        <w:rPr>
          <w:rFonts w:ascii="Arial" w:hAnsi="Arial" w:cs="Arial"/>
          <w:sz w:val="24"/>
          <w:szCs w:val="24"/>
        </w:rPr>
        <w:t xml:space="preserve"> in a particular situation. The method's brevity, objectivity, and focus on specific, observable </w:t>
      </w:r>
      <w:r w:rsidR="00761A9E" w:rsidRPr="00122E9D">
        <w:rPr>
          <w:rFonts w:ascii="Arial" w:hAnsi="Arial" w:cs="Arial"/>
          <w:sz w:val="24"/>
          <w:szCs w:val="24"/>
        </w:rPr>
        <w:t>behaviours</w:t>
      </w:r>
      <w:r w:rsidRPr="00122E9D">
        <w:rPr>
          <w:rFonts w:ascii="Arial" w:hAnsi="Arial" w:cs="Arial"/>
          <w:sz w:val="24"/>
          <w:szCs w:val="24"/>
        </w:rPr>
        <w:t xml:space="preserve"> make it a valuable tool for capturing genuine moments (Puckett &amp; Black, 2012).</w:t>
      </w:r>
    </w:p>
    <w:p w14:paraId="6D813251" w14:textId="28FA1BD4" w:rsidR="000C3995" w:rsidRDefault="000C3995" w:rsidP="004F01F0">
      <w:pPr>
        <w:spacing w:line="360" w:lineRule="auto"/>
        <w:rPr>
          <w:rFonts w:ascii="Arial" w:hAnsi="Arial" w:cs="Arial"/>
          <w:sz w:val="24"/>
          <w:szCs w:val="24"/>
        </w:rPr>
      </w:pPr>
      <w:r w:rsidRPr="000C3995">
        <w:rPr>
          <w:rFonts w:ascii="Arial" w:hAnsi="Arial" w:cs="Arial"/>
          <w:sz w:val="24"/>
          <w:szCs w:val="24"/>
        </w:rPr>
        <w:t>One of the significant advantages of the Anecdotal Record method lies in its ability to offer a profound understanding of individual children's behaviours, preferences, and responses across various situations (Drummond, 2003). Insights into a child's social, emotional, cognitive, and physical development emerge from the detailed narratives, providing practitioners with a holistic view.</w:t>
      </w:r>
    </w:p>
    <w:p w14:paraId="12F2271F" w14:textId="59DFA069" w:rsidR="00810B47" w:rsidRDefault="00CC14C4" w:rsidP="004F01F0">
      <w:pPr>
        <w:spacing w:line="360" w:lineRule="auto"/>
        <w:rPr>
          <w:rFonts w:ascii="Arial" w:hAnsi="Arial" w:cs="Arial"/>
          <w:sz w:val="24"/>
          <w:szCs w:val="24"/>
        </w:rPr>
      </w:pPr>
      <w:r w:rsidRPr="00CC14C4">
        <w:rPr>
          <w:rFonts w:ascii="Arial" w:hAnsi="Arial" w:cs="Arial"/>
          <w:sz w:val="24"/>
          <w:szCs w:val="24"/>
        </w:rPr>
        <w:t>In Smidt's work (2015), she emphasizes the importance of understanding children's play within the context of observation. The Anecdotal Record method aligns with Smidt's perspective, allowing practitioners to delve into the intricacies of play-based behaviours, unveiling the cognitive and social aspects intertwined with play experiences.</w:t>
      </w:r>
    </w:p>
    <w:p w14:paraId="2180649E" w14:textId="37D9C01E" w:rsidR="00860621" w:rsidRPr="005D7E86" w:rsidRDefault="00860621" w:rsidP="004F01F0">
      <w:pPr>
        <w:spacing w:line="360" w:lineRule="auto"/>
        <w:rPr>
          <w:rFonts w:ascii="Arial" w:hAnsi="Arial" w:cs="Arial"/>
          <w:sz w:val="24"/>
          <w:szCs w:val="24"/>
        </w:rPr>
      </w:pPr>
      <w:r w:rsidRPr="00860621">
        <w:rPr>
          <w:rFonts w:ascii="Arial" w:hAnsi="Arial" w:cs="Arial"/>
          <w:sz w:val="24"/>
          <w:szCs w:val="24"/>
        </w:rPr>
        <w:t>The narrative nature of the Anecdotal Record method, as discussed by Puckett and Black (2012), allows for a contextual understanding of the observed behaviour. It captures the surrounding circumstances, interactions with peers or adults, and the child's response to the environment. This context is crucial for meaningful interpretation, providing a more comprehensive understanding of the child's development.</w:t>
      </w:r>
    </w:p>
    <w:p w14:paraId="0F1E3DDC" w14:textId="7957DD55" w:rsidR="00877314" w:rsidRPr="00877314" w:rsidRDefault="00877314" w:rsidP="00877314">
      <w:pPr>
        <w:spacing w:line="360" w:lineRule="auto"/>
        <w:rPr>
          <w:rFonts w:ascii="Arial" w:hAnsi="Arial" w:cs="Arial"/>
          <w:sz w:val="24"/>
          <w:szCs w:val="24"/>
        </w:rPr>
      </w:pPr>
      <w:r w:rsidRPr="00877314">
        <w:rPr>
          <w:rFonts w:ascii="Arial" w:hAnsi="Arial" w:cs="Arial"/>
          <w:sz w:val="24"/>
          <w:szCs w:val="24"/>
        </w:rPr>
        <w:lastRenderedPageBreak/>
        <w:t xml:space="preserve">Accumulated anecdotal records over time enable practitioners to identify patterns, trends, and developmental milestones in a child's growth (Meggitt, Bruce, &amp; Grenier, 2015). Recognizing consistent </w:t>
      </w:r>
      <w:r w:rsidR="00784923" w:rsidRPr="00877314">
        <w:rPr>
          <w:rFonts w:ascii="Arial" w:hAnsi="Arial" w:cs="Arial"/>
          <w:sz w:val="24"/>
          <w:szCs w:val="24"/>
        </w:rPr>
        <w:t>behaviours</w:t>
      </w:r>
      <w:r w:rsidRPr="00877314">
        <w:rPr>
          <w:rFonts w:ascii="Arial" w:hAnsi="Arial" w:cs="Arial"/>
          <w:sz w:val="24"/>
          <w:szCs w:val="24"/>
        </w:rPr>
        <w:t xml:space="preserve"> becomes a foundation for tailoring educational strategies and interventions to meet individual needs effectively.</w:t>
      </w:r>
    </w:p>
    <w:p w14:paraId="39AAD769" w14:textId="5076B4CF" w:rsidR="00877314" w:rsidRPr="005D7E86" w:rsidRDefault="00877314" w:rsidP="00877314">
      <w:pPr>
        <w:spacing w:line="360" w:lineRule="auto"/>
        <w:rPr>
          <w:rFonts w:ascii="Arial" w:hAnsi="Arial" w:cs="Arial"/>
          <w:sz w:val="24"/>
          <w:szCs w:val="24"/>
        </w:rPr>
      </w:pPr>
      <w:r w:rsidRPr="00877314">
        <w:rPr>
          <w:rFonts w:ascii="Arial" w:hAnsi="Arial" w:cs="Arial"/>
          <w:sz w:val="24"/>
          <w:szCs w:val="24"/>
        </w:rPr>
        <w:t xml:space="preserve">However, subjectivity is an inherent challenge in anecdotal records, relying on the observer's interpretation of observed </w:t>
      </w:r>
      <w:r w:rsidR="00784923" w:rsidRPr="00877314">
        <w:rPr>
          <w:rFonts w:ascii="Arial" w:hAnsi="Arial" w:cs="Arial"/>
          <w:sz w:val="24"/>
          <w:szCs w:val="24"/>
        </w:rPr>
        <w:t>behaviour</w:t>
      </w:r>
      <w:r w:rsidRPr="00877314">
        <w:rPr>
          <w:rFonts w:ascii="Arial" w:hAnsi="Arial" w:cs="Arial"/>
          <w:sz w:val="24"/>
          <w:szCs w:val="24"/>
        </w:rPr>
        <w:t xml:space="preserve"> (Meggitt, Bruce, &amp; Grenier, 2015). This introduces the potential for bias, requiring practitioners to approach their observations with mindfulness and self-awareness.</w:t>
      </w:r>
    </w:p>
    <w:p w14:paraId="4C46E941" w14:textId="6D9C6553" w:rsidR="00F62662" w:rsidRDefault="00F62662" w:rsidP="004F01F0">
      <w:pPr>
        <w:spacing w:line="360" w:lineRule="auto"/>
        <w:rPr>
          <w:rFonts w:ascii="Arial" w:hAnsi="Arial" w:cs="Arial"/>
          <w:sz w:val="24"/>
          <w:szCs w:val="24"/>
        </w:rPr>
      </w:pPr>
      <w:r w:rsidRPr="005D7E86">
        <w:rPr>
          <w:rFonts w:ascii="Arial" w:hAnsi="Arial" w:cs="Arial"/>
          <w:sz w:val="24"/>
          <w:szCs w:val="24"/>
        </w:rPr>
        <w:t>Due to their focus on specific incidents, anecdotal records might not capture a comprehensive view of a child's abilities or behaviours. Practitioners must be cautious not to generalize based on isolated incidents</w:t>
      </w:r>
      <w:r w:rsidR="006C5A7D">
        <w:rPr>
          <w:rFonts w:ascii="Arial" w:hAnsi="Arial" w:cs="Arial"/>
          <w:sz w:val="24"/>
          <w:szCs w:val="24"/>
        </w:rPr>
        <w:t>, acknowledging the limitations of this method</w:t>
      </w:r>
      <w:r w:rsidR="0031598D">
        <w:rPr>
          <w:rFonts w:ascii="Arial" w:hAnsi="Arial" w:cs="Arial"/>
          <w:sz w:val="24"/>
          <w:szCs w:val="24"/>
        </w:rPr>
        <w:t xml:space="preserve"> </w:t>
      </w:r>
      <w:r w:rsidRPr="005D7E86">
        <w:rPr>
          <w:rFonts w:ascii="Arial" w:hAnsi="Arial" w:cs="Arial"/>
          <w:sz w:val="24"/>
          <w:szCs w:val="24"/>
        </w:rPr>
        <w:t>(Drummond, 200</w:t>
      </w:r>
      <w:r>
        <w:rPr>
          <w:rFonts w:ascii="Arial" w:hAnsi="Arial" w:cs="Arial"/>
          <w:sz w:val="24"/>
          <w:szCs w:val="24"/>
        </w:rPr>
        <w:t>3</w:t>
      </w:r>
      <w:r w:rsidRPr="005D7E86">
        <w:rPr>
          <w:rFonts w:ascii="Arial" w:hAnsi="Arial" w:cs="Arial"/>
          <w:sz w:val="24"/>
          <w:szCs w:val="24"/>
        </w:rPr>
        <w:t>).</w:t>
      </w:r>
    </w:p>
    <w:p w14:paraId="54B34091" w14:textId="4DFE7F2B" w:rsidR="005D7E86" w:rsidRDefault="005D7E86" w:rsidP="004F01F0">
      <w:pPr>
        <w:spacing w:line="360" w:lineRule="auto"/>
        <w:rPr>
          <w:rFonts w:ascii="Arial" w:hAnsi="Arial" w:cs="Arial"/>
          <w:sz w:val="24"/>
          <w:szCs w:val="24"/>
        </w:rPr>
      </w:pPr>
      <w:r w:rsidRPr="005D7E86">
        <w:rPr>
          <w:rFonts w:ascii="Arial" w:hAnsi="Arial" w:cs="Arial"/>
          <w:sz w:val="24"/>
          <w:szCs w:val="24"/>
        </w:rPr>
        <w:t>The detailed nature of anecdotal records can be time-consuming for practitioners, especially in busy early childhood settings where they have multiple responsibilities. This may affect the frequency and consistency of observations (Puckett &amp; Black, 2012).</w:t>
      </w:r>
      <w:r w:rsidR="006942D6">
        <w:rPr>
          <w:rFonts w:ascii="Arial" w:hAnsi="Arial" w:cs="Arial"/>
          <w:sz w:val="24"/>
          <w:szCs w:val="24"/>
        </w:rPr>
        <w:t xml:space="preserve"> </w:t>
      </w:r>
    </w:p>
    <w:p w14:paraId="4D3EFB1A" w14:textId="3AB355D7" w:rsidR="00807FA3" w:rsidRPr="005D7E86" w:rsidRDefault="00807FA3" w:rsidP="004F01F0">
      <w:pPr>
        <w:spacing w:line="360" w:lineRule="auto"/>
        <w:rPr>
          <w:rFonts w:ascii="Arial" w:hAnsi="Arial" w:cs="Arial"/>
          <w:sz w:val="24"/>
          <w:szCs w:val="24"/>
        </w:rPr>
      </w:pPr>
      <w:r w:rsidRPr="00807FA3">
        <w:rPr>
          <w:rFonts w:ascii="Arial" w:hAnsi="Arial" w:cs="Arial"/>
          <w:sz w:val="24"/>
          <w:szCs w:val="24"/>
        </w:rPr>
        <w:t>Anecdotal records, as described by Puckett and Black (2012), provide a foundation for individualized planning by offering insights into a child's unique strengths, interests, and areas for development. This resonates with the idea of child-</w:t>
      </w:r>
      <w:proofErr w:type="spellStart"/>
      <w:r w:rsidRPr="00807FA3">
        <w:rPr>
          <w:rFonts w:ascii="Arial" w:hAnsi="Arial" w:cs="Arial"/>
          <w:sz w:val="24"/>
          <w:szCs w:val="24"/>
        </w:rPr>
        <w:t>centered</w:t>
      </w:r>
      <w:proofErr w:type="spellEnd"/>
      <w:r w:rsidRPr="00807FA3">
        <w:rPr>
          <w:rFonts w:ascii="Arial" w:hAnsi="Arial" w:cs="Arial"/>
          <w:sz w:val="24"/>
          <w:szCs w:val="24"/>
        </w:rPr>
        <w:t xml:space="preserve"> practices advocated by Bottrill (2018) and supports the notion that tailoring learning experiences based on individual needs enhances the effectiveness of educational strategies.</w:t>
      </w:r>
    </w:p>
    <w:p w14:paraId="38697AC9" w14:textId="1777ED97" w:rsidR="00843331" w:rsidRDefault="005D7E86" w:rsidP="004F01F0">
      <w:pPr>
        <w:spacing w:line="360" w:lineRule="auto"/>
        <w:rPr>
          <w:rFonts w:ascii="Arial" w:hAnsi="Arial" w:cs="Arial"/>
          <w:sz w:val="24"/>
          <w:szCs w:val="24"/>
        </w:rPr>
      </w:pPr>
      <w:r w:rsidRPr="005D7E86">
        <w:rPr>
          <w:rFonts w:ascii="Arial" w:hAnsi="Arial" w:cs="Arial"/>
          <w:sz w:val="24"/>
          <w:szCs w:val="24"/>
        </w:rPr>
        <w:t>The detailed narratives generated through the Anecdotal Record method facilitate effective communication with parents</w:t>
      </w:r>
      <w:r w:rsidR="00510339">
        <w:rPr>
          <w:rFonts w:ascii="Arial" w:hAnsi="Arial" w:cs="Arial"/>
          <w:sz w:val="24"/>
          <w:szCs w:val="24"/>
        </w:rPr>
        <w:t xml:space="preserve"> (Drummond, 2003). Sharing</w:t>
      </w:r>
      <w:r w:rsidRPr="005D7E86">
        <w:rPr>
          <w:rFonts w:ascii="Arial" w:hAnsi="Arial" w:cs="Arial"/>
          <w:sz w:val="24"/>
          <w:szCs w:val="24"/>
        </w:rPr>
        <w:t xml:space="preserve"> specific incidents, milestones, and areas of concern, fostering collaborative partnerships in a child's learning journey</w:t>
      </w:r>
      <w:r w:rsidR="00445486">
        <w:rPr>
          <w:rFonts w:ascii="Arial" w:hAnsi="Arial" w:cs="Arial"/>
          <w:sz w:val="24"/>
          <w:szCs w:val="24"/>
        </w:rPr>
        <w:t>, a concept echoed in Bottrill’s work (2018).</w:t>
      </w:r>
      <w:r w:rsidRPr="005D7E86">
        <w:rPr>
          <w:rFonts w:ascii="Arial" w:hAnsi="Arial" w:cs="Arial"/>
          <w:sz w:val="24"/>
          <w:szCs w:val="24"/>
        </w:rPr>
        <w:t xml:space="preserve"> </w:t>
      </w:r>
    </w:p>
    <w:p w14:paraId="6DCD2BC6" w14:textId="350CD1EA" w:rsidR="005D7E86" w:rsidRPr="005D7E86" w:rsidRDefault="005D7E86" w:rsidP="004F01F0">
      <w:pPr>
        <w:spacing w:line="360" w:lineRule="auto"/>
        <w:rPr>
          <w:rFonts w:ascii="Arial" w:hAnsi="Arial" w:cs="Arial"/>
          <w:sz w:val="24"/>
          <w:szCs w:val="24"/>
        </w:rPr>
      </w:pPr>
      <w:r w:rsidRPr="005D7E86">
        <w:rPr>
          <w:rFonts w:ascii="Arial" w:hAnsi="Arial" w:cs="Arial"/>
          <w:sz w:val="24"/>
          <w:szCs w:val="24"/>
        </w:rPr>
        <w:t>Identification of patterns and trends in anecdotal records guides practitioners in developing targeted intervention strategies. Whether addressing challenges or building on strengths, this method assists in creating meaningful and developmentally appropriate activities (Puckett &amp; Black, 2012).</w:t>
      </w:r>
    </w:p>
    <w:p w14:paraId="751D5EEA" w14:textId="77777777" w:rsidR="00D60E73" w:rsidRDefault="005D7E86" w:rsidP="004F01F0">
      <w:pPr>
        <w:spacing w:line="360" w:lineRule="auto"/>
        <w:rPr>
          <w:rFonts w:ascii="Arial" w:hAnsi="Arial" w:cs="Arial"/>
          <w:sz w:val="24"/>
          <w:szCs w:val="24"/>
        </w:rPr>
      </w:pPr>
      <w:r w:rsidRPr="005D7E86">
        <w:rPr>
          <w:rFonts w:ascii="Arial" w:hAnsi="Arial" w:cs="Arial"/>
          <w:sz w:val="24"/>
          <w:szCs w:val="24"/>
        </w:rPr>
        <w:lastRenderedPageBreak/>
        <w:t xml:space="preserve">The Anecdotal Record observation method provides a detailed and contextual understanding of individual children's </w:t>
      </w:r>
      <w:r w:rsidR="00843331" w:rsidRPr="005D7E86">
        <w:rPr>
          <w:rFonts w:ascii="Arial" w:hAnsi="Arial" w:cs="Arial"/>
          <w:sz w:val="24"/>
          <w:szCs w:val="24"/>
        </w:rPr>
        <w:t>behaviours</w:t>
      </w:r>
      <w:r w:rsidRPr="005D7E86">
        <w:rPr>
          <w:rFonts w:ascii="Arial" w:hAnsi="Arial" w:cs="Arial"/>
          <w:sz w:val="24"/>
          <w:szCs w:val="24"/>
        </w:rPr>
        <w:t xml:space="preserve">, supporting practitioners in tailoring learning experiences and interventions. While it offers rich insights, practitioners must be mindful of its limitations, such as subjectivity and time constraints. By leveraging the strengths of the Anecdotal Record method and complementing it with other observation techniques, educators can create a holistic approach to understanding and promoting the learning and development of young children. </w:t>
      </w:r>
    </w:p>
    <w:p w14:paraId="5E4D14FD" w14:textId="77777777" w:rsidR="00D60E73" w:rsidRDefault="00D60E73">
      <w:pPr>
        <w:rPr>
          <w:rFonts w:ascii="Arial" w:hAnsi="Arial" w:cs="Arial"/>
          <w:sz w:val="24"/>
          <w:szCs w:val="24"/>
        </w:rPr>
      </w:pPr>
      <w:r>
        <w:rPr>
          <w:rFonts w:ascii="Arial" w:hAnsi="Arial" w:cs="Arial"/>
          <w:sz w:val="24"/>
          <w:szCs w:val="24"/>
        </w:rPr>
        <w:br w:type="page"/>
      </w:r>
    </w:p>
    <w:p w14:paraId="151DC73F" w14:textId="77777777" w:rsidR="00D60E73" w:rsidRPr="00D422D0" w:rsidRDefault="00D60E73" w:rsidP="004F01F0">
      <w:pPr>
        <w:spacing w:line="360" w:lineRule="auto"/>
        <w:rPr>
          <w:rFonts w:ascii="Arial" w:hAnsi="Arial" w:cs="Arial"/>
          <w:b/>
          <w:bCs/>
          <w:sz w:val="24"/>
          <w:szCs w:val="24"/>
        </w:rPr>
      </w:pPr>
      <w:r w:rsidRPr="00D422D0">
        <w:rPr>
          <w:rFonts w:ascii="Arial" w:hAnsi="Arial" w:cs="Arial"/>
          <w:b/>
          <w:bCs/>
          <w:sz w:val="24"/>
          <w:szCs w:val="24"/>
        </w:rPr>
        <w:lastRenderedPageBreak/>
        <w:t>Section 4</w:t>
      </w:r>
    </w:p>
    <w:p w14:paraId="0A8F2B58" w14:textId="77777777" w:rsidR="009D588F" w:rsidRPr="00D422D0" w:rsidRDefault="006A633B" w:rsidP="004F01F0">
      <w:pPr>
        <w:spacing w:line="360" w:lineRule="auto"/>
        <w:rPr>
          <w:rFonts w:ascii="Arial" w:hAnsi="Arial" w:cs="Arial"/>
          <w:b/>
          <w:bCs/>
          <w:sz w:val="24"/>
          <w:szCs w:val="24"/>
          <w:u w:val="single"/>
        </w:rPr>
      </w:pPr>
      <w:r w:rsidRPr="00D422D0">
        <w:rPr>
          <w:rFonts w:ascii="Arial" w:hAnsi="Arial" w:cs="Arial"/>
          <w:b/>
          <w:bCs/>
          <w:sz w:val="24"/>
          <w:szCs w:val="24"/>
          <w:u w:val="single"/>
        </w:rPr>
        <w:t xml:space="preserve">Demonstrate an understanding of the role </w:t>
      </w:r>
      <w:r w:rsidR="00D22DF6" w:rsidRPr="00D422D0">
        <w:rPr>
          <w:rFonts w:ascii="Arial" w:hAnsi="Arial" w:cs="Arial"/>
          <w:b/>
          <w:bCs/>
          <w:sz w:val="24"/>
          <w:szCs w:val="24"/>
          <w:u w:val="single"/>
        </w:rPr>
        <w:t>of play when undertaking observations and assessments of children and consider how this affects the child’s engagement and the ac</w:t>
      </w:r>
      <w:r w:rsidR="009D588F" w:rsidRPr="00D422D0">
        <w:rPr>
          <w:rFonts w:ascii="Arial" w:hAnsi="Arial" w:cs="Arial"/>
          <w:b/>
          <w:bCs/>
          <w:sz w:val="24"/>
          <w:szCs w:val="24"/>
          <w:u w:val="single"/>
        </w:rPr>
        <w:t xml:space="preserve">curacy of the observation.  </w:t>
      </w:r>
    </w:p>
    <w:p w14:paraId="0174F140" w14:textId="55072121"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Play is a dynamic and essential aspect of childhood that significantly influences observations and assessments of children.</w:t>
      </w:r>
      <w:r w:rsidR="00A93EB2">
        <w:rPr>
          <w:rFonts w:ascii="Arial" w:hAnsi="Arial" w:cs="Arial"/>
          <w:sz w:val="24"/>
          <w:szCs w:val="24"/>
        </w:rPr>
        <w:t xml:space="preserve">  </w:t>
      </w:r>
      <w:r w:rsidRPr="00D422D0">
        <w:rPr>
          <w:rFonts w:ascii="Arial" w:hAnsi="Arial" w:cs="Arial"/>
          <w:sz w:val="24"/>
          <w:szCs w:val="24"/>
        </w:rPr>
        <w:t>Observing children during play provides a unique and authentic glimpse into their world, allowing practitioners to gather valuable insights into their cognitive, social, emotional, and physical development. Play is a natural context where children express themselves, make choices, and interact with their environment and peers (Pellegrini &amp; Smith, 1998).</w:t>
      </w:r>
    </w:p>
    <w:p w14:paraId="53BB7562" w14:textId="77777777"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Howard and McInnes (2012) highlight the importance of recognizing play from the child's perspective. When children engage in activities of their choosing, driven by intrinsic motivation, their involvement is more sustained and meaningful. Observing children during play captures their natural curiosity, creativity, and intrinsic desire to explore, providing a genuine representation of their abilities (Howard &amp; McInnes, 2012; Gray, 2011).</w:t>
      </w:r>
    </w:p>
    <w:p w14:paraId="4BECA6C5" w14:textId="77777777"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Telling a child to perform a specific activity for assessment purposes may yield different results compared to observing them during self-initiated play. In play, children are more likely to demonstrate their true capabilities and preferences, contributing to a more accurate assessment of their developmental stage (Pellegrini &amp; Smith, 1998). The child's engagement in activities they choose reflects their genuine interests and motivations.</w:t>
      </w:r>
    </w:p>
    <w:p w14:paraId="6799622D" w14:textId="7FFFEC30"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Peter Gray's theory on how children learn emphasizes the significance of intrinsic motivation. Play, being an inherently enjoyable and self-driven activity, aligns with Gray's proposition that children learn best when pursuing activities for their own sake (Gray, 2011). Observing children at play provides insights into the internal motivation that fuels their exploration and learning.</w:t>
      </w:r>
    </w:p>
    <w:p w14:paraId="0CE628F9" w14:textId="77777777"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 xml:space="preserve">McInnes et al. (2013) stress the role of adults in supporting children's learning through play. Adult interaction during play can enhance the child's experience by providing scaffolding, introducing new materials, and extending their thinking </w:t>
      </w:r>
      <w:r w:rsidRPr="00D422D0">
        <w:rPr>
          <w:rFonts w:ascii="Arial" w:hAnsi="Arial" w:cs="Arial"/>
          <w:sz w:val="24"/>
          <w:szCs w:val="24"/>
        </w:rPr>
        <w:lastRenderedPageBreak/>
        <w:t>(McInnes et al., 2013). Observing these interactions is crucial for understanding the adult's role in shaping the learning environment.</w:t>
      </w:r>
    </w:p>
    <w:p w14:paraId="10BC9660" w14:textId="3EC7F4C3"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In play-based observations, practitioners can witness the impact of adult support on a child's problem-solving skills, language development, and social interactions. The nature of adult-child interactions during play offers insights into the effectiveness of support strategies and the child's response to guidance (McInnes et al., 2013).</w:t>
      </w:r>
    </w:p>
    <w:p w14:paraId="4044A68B" w14:textId="77777777"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Play serves as a developmental indicator, allowing practitioners to assess a child's cognitive, social, and emotional milestones. Howard and McInnes (2012) argue that play, when observed thoughtfully, provides a nuanced understanding of a child's emerging skills, such as problem-solving, language acquisition, and emotional regulation.</w:t>
      </w:r>
    </w:p>
    <w:p w14:paraId="766B649C" w14:textId="77777777"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Gray's (2011) emphasis on intrinsic motivation aligns with the idea that children are most engaged and learn most effectively when they pursue activities that inherently interest them. Observing play reveals the child's self-driven learning, showing practitioners what captures the child's attention and fuels their curiosity.</w:t>
      </w:r>
    </w:p>
    <w:p w14:paraId="01F5088D" w14:textId="77777777"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Play is dynamic and adaptive, allowing for a more comprehensive assessment of a child's abilities. Unlike structured assessments, which might limit a child to specific tasks, play-based observations reveal the child's versatility, creativity, and ability to adapt to different scenarios (Pellegrini &amp; Smith, 1998).</w:t>
      </w:r>
    </w:p>
    <w:p w14:paraId="54882875" w14:textId="1FFCFE85" w:rsidR="00171E13" w:rsidRPr="00171E13" w:rsidRDefault="00D422D0" w:rsidP="00171E13">
      <w:pPr>
        <w:spacing w:line="360" w:lineRule="auto"/>
        <w:rPr>
          <w:rFonts w:ascii="Arial" w:hAnsi="Arial" w:cs="Arial"/>
          <w:sz w:val="24"/>
          <w:szCs w:val="24"/>
        </w:rPr>
      </w:pPr>
      <w:r w:rsidRPr="00D422D0">
        <w:rPr>
          <w:rFonts w:ascii="Arial" w:hAnsi="Arial" w:cs="Arial"/>
          <w:sz w:val="24"/>
          <w:szCs w:val="24"/>
        </w:rPr>
        <w:t>Play provides a window into a child's social development. Observing interactions with peers during play enables practitioners to evaluate social skills, communication styles, and the ability to collaborate. This is particularly valuable as social development is a critical aspect of early childhood (McInnes et al., 2013).</w:t>
      </w:r>
    </w:p>
    <w:p w14:paraId="6C37AFAD" w14:textId="0B6B1549" w:rsidR="000B0CA4" w:rsidRPr="00D422D0" w:rsidRDefault="00171E13" w:rsidP="00171E13">
      <w:pPr>
        <w:spacing w:line="360" w:lineRule="auto"/>
        <w:rPr>
          <w:rFonts w:ascii="Arial" w:hAnsi="Arial" w:cs="Arial"/>
          <w:sz w:val="24"/>
          <w:szCs w:val="24"/>
        </w:rPr>
      </w:pPr>
      <w:r w:rsidRPr="00171E13">
        <w:rPr>
          <w:rFonts w:ascii="Arial" w:hAnsi="Arial" w:cs="Arial"/>
          <w:sz w:val="24"/>
          <w:szCs w:val="24"/>
        </w:rPr>
        <w:t xml:space="preserve">In addition to providing insights into children's individual development, play-based observations also shed light on cultural influences and familial dynamics that shape a child's experiences (Gonzalez-Mena &amp; Eyer, 2015). For instance, observing how a child incorporates cultural elements into their play or how they interact with siblings can offer valuable context for understanding their </w:t>
      </w:r>
      <w:r w:rsidRPr="00171E13">
        <w:rPr>
          <w:rFonts w:ascii="Arial" w:hAnsi="Arial" w:cs="Arial"/>
          <w:sz w:val="24"/>
          <w:szCs w:val="24"/>
        </w:rPr>
        <w:t>behaviours</w:t>
      </w:r>
      <w:r w:rsidRPr="00171E13">
        <w:rPr>
          <w:rFonts w:ascii="Arial" w:hAnsi="Arial" w:cs="Arial"/>
          <w:sz w:val="24"/>
          <w:szCs w:val="24"/>
        </w:rPr>
        <w:t xml:space="preserve"> and preferences. Recognizing and understanding these contextual factors enriches the observation process, ensuring assessments are not only accurate but also culturally sensitive and inclusive. Moreover, it underscores the interconnectedness between a child's </w:t>
      </w:r>
      <w:r w:rsidRPr="00171E13">
        <w:rPr>
          <w:rFonts w:ascii="Arial" w:hAnsi="Arial" w:cs="Arial"/>
          <w:sz w:val="24"/>
          <w:szCs w:val="24"/>
        </w:rPr>
        <w:lastRenderedPageBreak/>
        <w:t>play experiences and the broader socio-cultural environment in which they grow and learn (Brooker &amp; Woodhead, 2008).</w:t>
      </w:r>
    </w:p>
    <w:p w14:paraId="245E7ACC" w14:textId="40889750" w:rsidR="004C5BD2" w:rsidRDefault="00D422D0" w:rsidP="00D422D0">
      <w:pPr>
        <w:spacing w:line="360" w:lineRule="auto"/>
        <w:rPr>
          <w:rFonts w:ascii="Arial" w:hAnsi="Arial" w:cs="Arial"/>
          <w:sz w:val="24"/>
          <w:szCs w:val="24"/>
        </w:rPr>
      </w:pPr>
      <w:r w:rsidRPr="00D422D0">
        <w:rPr>
          <w:rFonts w:ascii="Arial" w:hAnsi="Arial" w:cs="Arial"/>
          <w:sz w:val="24"/>
          <w:szCs w:val="24"/>
        </w:rPr>
        <w:t>Observing children during play extends beyond a superficial examination of their activities. It offers a holistic understanding of their development, capturing the essence of intrinsic motivation, social interactions, and the adaptive nature of learning. Recognizing play as a developmental indicator enhances the accuracy of assessments, allowing practitioners to tailor interventions that align with a child's genuine interests and capabilities.</w:t>
      </w:r>
      <w:r w:rsidR="004C5BD2">
        <w:rPr>
          <w:rFonts w:ascii="Arial" w:hAnsi="Arial" w:cs="Arial"/>
          <w:sz w:val="24"/>
          <w:szCs w:val="24"/>
        </w:rPr>
        <w:br w:type="page"/>
      </w:r>
    </w:p>
    <w:p w14:paraId="4390B3B9" w14:textId="77777777" w:rsidR="00A84E53" w:rsidRDefault="00A84E53">
      <w:pPr>
        <w:rPr>
          <w:rFonts w:ascii="Arial" w:hAnsi="Arial" w:cs="Arial"/>
          <w:sz w:val="24"/>
          <w:szCs w:val="24"/>
        </w:rPr>
      </w:pPr>
    </w:p>
    <w:p w14:paraId="6795BCBF" w14:textId="1C671F31" w:rsidR="00B71CDF" w:rsidRPr="00B71CDF" w:rsidRDefault="00A84E53" w:rsidP="00F7165F">
      <w:pPr>
        <w:spacing w:line="360" w:lineRule="auto"/>
        <w:rPr>
          <w:rFonts w:ascii="Arial" w:hAnsi="Arial" w:cs="Arial"/>
          <w:sz w:val="44"/>
          <w:szCs w:val="44"/>
        </w:rPr>
      </w:pPr>
      <w:r w:rsidRPr="004C5BD2">
        <w:rPr>
          <w:rFonts w:ascii="Arial" w:hAnsi="Arial" w:cs="Arial"/>
          <w:sz w:val="44"/>
          <w:szCs w:val="44"/>
        </w:rPr>
        <w:t>Reference List</w:t>
      </w:r>
    </w:p>
    <w:p w14:paraId="3446BFA1" w14:textId="77777777" w:rsidR="00C07422" w:rsidRDefault="00C07422" w:rsidP="00547187">
      <w:pPr>
        <w:spacing w:line="240" w:lineRule="auto"/>
        <w:rPr>
          <w:rFonts w:ascii="Arial" w:hAnsi="Arial" w:cs="Arial"/>
          <w:sz w:val="24"/>
          <w:szCs w:val="24"/>
        </w:rPr>
      </w:pPr>
      <w:r w:rsidRPr="00547187">
        <w:rPr>
          <w:rFonts w:ascii="Arial" w:hAnsi="Arial" w:cs="Arial"/>
          <w:sz w:val="24"/>
          <w:szCs w:val="24"/>
        </w:rPr>
        <w:t>American Academy of Paediatrics (2018)</w:t>
      </w:r>
      <w:r>
        <w:rPr>
          <w:rFonts w:ascii="Arial" w:hAnsi="Arial" w:cs="Arial"/>
          <w:sz w:val="24"/>
          <w:szCs w:val="24"/>
        </w:rPr>
        <w:t xml:space="preserve"> ‘</w:t>
      </w:r>
      <w:r w:rsidRPr="00547187">
        <w:rPr>
          <w:rFonts w:ascii="Arial" w:hAnsi="Arial" w:cs="Arial"/>
          <w:sz w:val="24"/>
          <w:szCs w:val="24"/>
        </w:rPr>
        <w:t>The Power of Play</w:t>
      </w:r>
      <w:r>
        <w:rPr>
          <w:rFonts w:ascii="Arial" w:hAnsi="Arial" w:cs="Arial"/>
          <w:sz w:val="24"/>
          <w:szCs w:val="24"/>
        </w:rPr>
        <w:t>.’</w:t>
      </w:r>
      <w:r w:rsidRPr="00547187">
        <w:rPr>
          <w:rFonts w:ascii="Arial" w:hAnsi="Arial" w:cs="Arial"/>
          <w:sz w:val="24"/>
          <w:szCs w:val="24"/>
        </w:rPr>
        <w:t xml:space="preserve"> </w:t>
      </w:r>
      <w:r w:rsidRPr="009C3BB2">
        <w:rPr>
          <w:rFonts w:ascii="Arial" w:hAnsi="Arial" w:cs="Arial"/>
          <w:i/>
          <w:iCs/>
          <w:sz w:val="24"/>
          <w:szCs w:val="24"/>
        </w:rPr>
        <w:t>A Paediatric Role in Enhancing Development in Young Children</w:t>
      </w:r>
      <w:r w:rsidRPr="00547187">
        <w:rPr>
          <w:rFonts w:ascii="Arial" w:hAnsi="Arial" w:cs="Arial"/>
          <w:sz w:val="24"/>
          <w:szCs w:val="24"/>
        </w:rPr>
        <w:t>, 142(3)</w:t>
      </w:r>
      <w:r>
        <w:rPr>
          <w:rFonts w:ascii="Arial" w:hAnsi="Arial" w:cs="Arial"/>
          <w:sz w:val="24"/>
          <w:szCs w:val="24"/>
        </w:rPr>
        <w:t xml:space="preserve">.  Available at: </w:t>
      </w:r>
      <w:r w:rsidRPr="009C3BB2">
        <w:rPr>
          <w:rFonts w:ascii="Arial" w:hAnsi="Arial" w:cs="Arial"/>
          <w:sz w:val="24"/>
          <w:szCs w:val="24"/>
        </w:rPr>
        <w:t>https://doi.org/10.1542/peds.2018-2058</w:t>
      </w:r>
      <w:r>
        <w:rPr>
          <w:rFonts w:ascii="Arial" w:hAnsi="Arial" w:cs="Arial"/>
          <w:sz w:val="24"/>
          <w:szCs w:val="24"/>
        </w:rPr>
        <w:t xml:space="preserve"> (Accessed on: 5</w:t>
      </w:r>
      <w:r w:rsidRPr="009C3BB2">
        <w:rPr>
          <w:rFonts w:ascii="Arial" w:hAnsi="Arial" w:cs="Arial"/>
          <w:sz w:val="24"/>
          <w:szCs w:val="24"/>
          <w:vertAlign w:val="superscript"/>
        </w:rPr>
        <w:t>th</w:t>
      </w:r>
      <w:r>
        <w:rPr>
          <w:rFonts w:ascii="Arial" w:hAnsi="Arial" w:cs="Arial"/>
          <w:sz w:val="24"/>
          <w:szCs w:val="24"/>
        </w:rPr>
        <w:t xml:space="preserve"> February 2024).</w:t>
      </w:r>
    </w:p>
    <w:p w14:paraId="4B33E483" w14:textId="456B0EC8" w:rsidR="007B5667" w:rsidRPr="00547187" w:rsidRDefault="007B5667" w:rsidP="00547187">
      <w:pPr>
        <w:spacing w:line="240" w:lineRule="auto"/>
        <w:rPr>
          <w:rFonts w:ascii="Arial" w:hAnsi="Arial" w:cs="Arial"/>
          <w:sz w:val="24"/>
          <w:szCs w:val="24"/>
        </w:rPr>
      </w:pPr>
      <w:r>
        <w:rPr>
          <w:rFonts w:ascii="Arial" w:hAnsi="Arial" w:cs="Arial"/>
          <w:sz w:val="24"/>
          <w:szCs w:val="24"/>
        </w:rPr>
        <w:t>B</w:t>
      </w:r>
      <w:r w:rsidRPr="007B5667">
        <w:rPr>
          <w:rFonts w:ascii="Arial" w:hAnsi="Arial" w:cs="Arial"/>
          <w:sz w:val="24"/>
          <w:szCs w:val="24"/>
        </w:rPr>
        <w:t xml:space="preserve">ottrill, G. (2018) </w:t>
      </w:r>
      <w:r w:rsidRPr="001272AC">
        <w:rPr>
          <w:rFonts w:ascii="Arial" w:hAnsi="Arial" w:cs="Arial"/>
          <w:i/>
          <w:iCs/>
          <w:sz w:val="24"/>
          <w:szCs w:val="24"/>
        </w:rPr>
        <w:t xml:space="preserve">Can I go &amp; play </w:t>
      </w:r>
      <w:r w:rsidR="00CF434D" w:rsidRPr="001272AC">
        <w:rPr>
          <w:rFonts w:ascii="Arial" w:hAnsi="Arial" w:cs="Arial"/>
          <w:i/>
          <w:iCs/>
          <w:sz w:val="24"/>
          <w:szCs w:val="24"/>
        </w:rPr>
        <w:t>now?</w:t>
      </w:r>
      <w:r w:rsidRPr="001272AC">
        <w:rPr>
          <w:rFonts w:ascii="Arial" w:hAnsi="Arial" w:cs="Arial"/>
          <w:i/>
          <w:iCs/>
          <w:sz w:val="24"/>
          <w:szCs w:val="24"/>
        </w:rPr>
        <w:t xml:space="preserve"> Rethinking the early years</w:t>
      </w:r>
      <w:r w:rsidRPr="007B5667">
        <w:rPr>
          <w:rFonts w:ascii="Arial" w:hAnsi="Arial" w:cs="Arial"/>
          <w:sz w:val="24"/>
          <w:szCs w:val="24"/>
        </w:rPr>
        <w:t>. Los Angeles: Sage.</w:t>
      </w:r>
    </w:p>
    <w:p w14:paraId="19324B1F" w14:textId="77777777" w:rsidR="00C07422" w:rsidRDefault="00C07422" w:rsidP="00547187">
      <w:pPr>
        <w:spacing w:line="240" w:lineRule="auto"/>
        <w:rPr>
          <w:rFonts w:ascii="Arial" w:hAnsi="Arial" w:cs="Arial"/>
          <w:sz w:val="24"/>
          <w:szCs w:val="24"/>
        </w:rPr>
      </w:pPr>
      <w:r w:rsidRPr="00A84E53">
        <w:rPr>
          <w:rFonts w:ascii="Arial" w:hAnsi="Arial" w:cs="Arial"/>
          <w:sz w:val="24"/>
          <w:szCs w:val="24"/>
        </w:rPr>
        <w:t>Christie, J. F.</w:t>
      </w:r>
      <w:r>
        <w:rPr>
          <w:rFonts w:ascii="Arial" w:hAnsi="Arial" w:cs="Arial"/>
          <w:sz w:val="24"/>
          <w:szCs w:val="24"/>
        </w:rPr>
        <w:t xml:space="preserve"> and</w:t>
      </w:r>
      <w:r w:rsidRPr="00A84E53">
        <w:rPr>
          <w:rFonts w:ascii="Arial" w:hAnsi="Arial" w:cs="Arial"/>
          <w:sz w:val="24"/>
          <w:szCs w:val="24"/>
        </w:rPr>
        <w:t xml:space="preserve"> Roskos, K. A. (2006) </w:t>
      </w:r>
      <w:r w:rsidRPr="009C3BB2">
        <w:rPr>
          <w:rFonts w:ascii="Arial" w:hAnsi="Arial" w:cs="Arial"/>
          <w:i/>
          <w:iCs/>
          <w:sz w:val="24"/>
          <w:szCs w:val="24"/>
        </w:rPr>
        <w:t>Play's Potential in Early Literacy Development.</w:t>
      </w:r>
      <w:r w:rsidRPr="00A84E53">
        <w:rPr>
          <w:rFonts w:ascii="Arial" w:hAnsi="Arial" w:cs="Arial"/>
          <w:sz w:val="24"/>
          <w:szCs w:val="24"/>
        </w:rPr>
        <w:t xml:space="preserve"> In D. K. Dickinson &amp; S. B. Neuman (Eds.), Handbook of Early Literacy Research (Vol. 2, pp. 239-256). </w:t>
      </w:r>
      <w:r>
        <w:rPr>
          <w:rFonts w:ascii="Arial" w:hAnsi="Arial" w:cs="Arial"/>
          <w:sz w:val="24"/>
          <w:szCs w:val="24"/>
        </w:rPr>
        <w:t xml:space="preserve">London: </w:t>
      </w:r>
      <w:r w:rsidRPr="00A84E53">
        <w:rPr>
          <w:rFonts w:ascii="Arial" w:hAnsi="Arial" w:cs="Arial"/>
          <w:sz w:val="24"/>
          <w:szCs w:val="24"/>
        </w:rPr>
        <w:t>Guilford Press.</w:t>
      </w:r>
    </w:p>
    <w:p w14:paraId="3978B09D" w14:textId="77777777" w:rsidR="00C07422" w:rsidRPr="00373692" w:rsidRDefault="00C07422" w:rsidP="00040912">
      <w:pPr>
        <w:spacing w:line="240" w:lineRule="auto"/>
        <w:rPr>
          <w:rFonts w:ascii="Arial" w:hAnsi="Arial" w:cs="Arial"/>
          <w:sz w:val="24"/>
          <w:szCs w:val="24"/>
        </w:rPr>
      </w:pPr>
      <w:r w:rsidRPr="005004AC">
        <w:rPr>
          <w:rFonts w:ascii="Arial" w:hAnsi="Arial" w:cs="Arial"/>
          <w:sz w:val="24"/>
          <w:szCs w:val="24"/>
        </w:rPr>
        <w:t xml:space="preserve">Drummond, M.J. (2003) </w:t>
      </w:r>
      <w:r w:rsidRPr="005004AC">
        <w:rPr>
          <w:rFonts w:ascii="Arial" w:hAnsi="Arial" w:cs="Arial"/>
          <w:i/>
          <w:iCs/>
          <w:sz w:val="24"/>
          <w:szCs w:val="24"/>
        </w:rPr>
        <w:t xml:space="preserve">Assessing children’s learning </w:t>
      </w:r>
      <w:r w:rsidRPr="005004AC">
        <w:rPr>
          <w:rFonts w:ascii="Arial" w:hAnsi="Arial" w:cs="Arial"/>
          <w:sz w:val="24"/>
          <w:szCs w:val="24"/>
        </w:rPr>
        <w:t>(2nd ed). Abingdon: Routledge.</w:t>
      </w:r>
    </w:p>
    <w:p w14:paraId="661C5465" w14:textId="77777777" w:rsidR="00C07422" w:rsidRPr="00A84E53" w:rsidRDefault="00C07422" w:rsidP="00547187">
      <w:pPr>
        <w:spacing w:line="240" w:lineRule="auto"/>
        <w:rPr>
          <w:rFonts w:ascii="Arial" w:hAnsi="Arial" w:cs="Arial"/>
          <w:sz w:val="24"/>
          <w:szCs w:val="24"/>
        </w:rPr>
      </w:pPr>
      <w:r w:rsidRPr="00A84E53">
        <w:rPr>
          <w:rFonts w:ascii="Arial" w:hAnsi="Arial" w:cs="Arial"/>
          <w:sz w:val="24"/>
          <w:szCs w:val="24"/>
        </w:rPr>
        <w:t xml:space="preserve">Erikson, E. H. (1950) </w:t>
      </w:r>
      <w:r w:rsidRPr="009C3BB2">
        <w:rPr>
          <w:rFonts w:ascii="Arial" w:hAnsi="Arial" w:cs="Arial"/>
          <w:i/>
          <w:iCs/>
          <w:sz w:val="24"/>
          <w:szCs w:val="24"/>
        </w:rPr>
        <w:t>Childhood and Society</w:t>
      </w:r>
      <w:r w:rsidRPr="00A84E53">
        <w:rPr>
          <w:rFonts w:ascii="Arial" w:hAnsi="Arial" w:cs="Arial"/>
          <w:sz w:val="24"/>
          <w:szCs w:val="24"/>
        </w:rPr>
        <w:t xml:space="preserve">. </w:t>
      </w:r>
      <w:r>
        <w:rPr>
          <w:rFonts w:ascii="Arial" w:hAnsi="Arial" w:cs="Arial"/>
          <w:sz w:val="24"/>
          <w:szCs w:val="24"/>
        </w:rPr>
        <w:t xml:space="preserve">Washington: </w:t>
      </w:r>
      <w:r w:rsidRPr="00A84E53">
        <w:rPr>
          <w:rFonts w:ascii="Arial" w:hAnsi="Arial" w:cs="Arial"/>
          <w:sz w:val="24"/>
          <w:szCs w:val="24"/>
        </w:rPr>
        <w:t>Norton &amp; Company.</w:t>
      </w:r>
    </w:p>
    <w:p w14:paraId="67DE8CF7" w14:textId="77777777" w:rsidR="00C07422" w:rsidRPr="00547187" w:rsidRDefault="00C07422" w:rsidP="00547187">
      <w:pPr>
        <w:spacing w:line="240" w:lineRule="auto"/>
        <w:rPr>
          <w:rFonts w:ascii="Arial" w:hAnsi="Arial" w:cs="Arial"/>
          <w:sz w:val="24"/>
          <w:szCs w:val="24"/>
        </w:rPr>
      </w:pPr>
      <w:r w:rsidRPr="00547187">
        <w:rPr>
          <w:rFonts w:ascii="Arial" w:hAnsi="Arial" w:cs="Arial"/>
          <w:sz w:val="24"/>
          <w:szCs w:val="24"/>
        </w:rPr>
        <w:t>Ginsburg, K. R. (2007)</w:t>
      </w:r>
      <w:r>
        <w:rPr>
          <w:rFonts w:ascii="Arial" w:hAnsi="Arial" w:cs="Arial"/>
          <w:sz w:val="24"/>
          <w:szCs w:val="24"/>
        </w:rPr>
        <w:t xml:space="preserve"> ‘</w:t>
      </w:r>
      <w:r w:rsidRPr="00547187">
        <w:rPr>
          <w:rFonts w:ascii="Arial" w:hAnsi="Arial" w:cs="Arial"/>
          <w:sz w:val="24"/>
          <w:szCs w:val="24"/>
        </w:rPr>
        <w:t>The Importance of Play</w:t>
      </w:r>
      <w:r>
        <w:rPr>
          <w:rFonts w:ascii="Arial" w:hAnsi="Arial" w:cs="Arial"/>
          <w:sz w:val="24"/>
          <w:szCs w:val="24"/>
        </w:rPr>
        <w:t xml:space="preserve">’ </w:t>
      </w:r>
      <w:r w:rsidRPr="00A94506">
        <w:rPr>
          <w:rFonts w:ascii="Arial" w:hAnsi="Arial" w:cs="Arial"/>
          <w:i/>
          <w:iCs/>
          <w:sz w:val="24"/>
          <w:szCs w:val="24"/>
        </w:rPr>
        <w:t>Promoting Healthy Child Development and Maintaining Strong Parent-Child Bonds</w:t>
      </w:r>
      <w:r w:rsidRPr="00547187">
        <w:rPr>
          <w:rFonts w:ascii="Arial" w:hAnsi="Arial" w:cs="Arial"/>
          <w:sz w:val="24"/>
          <w:szCs w:val="24"/>
        </w:rPr>
        <w:t xml:space="preserve">, 119(1), </w:t>
      </w:r>
      <w:r>
        <w:rPr>
          <w:rFonts w:ascii="Arial" w:hAnsi="Arial" w:cs="Arial"/>
          <w:sz w:val="24"/>
          <w:szCs w:val="24"/>
        </w:rPr>
        <w:t>pp.</w:t>
      </w:r>
      <w:r w:rsidRPr="00547187">
        <w:rPr>
          <w:rFonts w:ascii="Arial" w:hAnsi="Arial" w:cs="Arial"/>
          <w:sz w:val="24"/>
          <w:szCs w:val="24"/>
        </w:rPr>
        <w:t>182–191.</w:t>
      </w:r>
      <w:r>
        <w:rPr>
          <w:rFonts w:ascii="Arial" w:hAnsi="Arial" w:cs="Arial"/>
          <w:sz w:val="24"/>
          <w:szCs w:val="24"/>
        </w:rPr>
        <w:t xml:space="preserve"> </w:t>
      </w:r>
    </w:p>
    <w:p w14:paraId="5FD2DD9C" w14:textId="77777777" w:rsidR="00C07422" w:rsidRPr="00A84E53" w:rsidRDefault="00C07422" w:rsidP="00547187">
      <w:pPr>
        <w:spacing w:line="240" w:lineRule="auto"/>
        <w:rPr>
          <w:rFonts w:ascii="Arial" w:hAnsi="Arial" w:cs="Arial"/>
          <w:sz w:val="24"/>
          <w:szCs w:val="24"/>
        </w:rPr>
      </w:pPr>
      <w:proofErr w:type="spellStart"/>
      <w:r w:rsidRPr="00A84E53">
        <w:rPr>
          <w:rFonts w:ascii="Arial" w:hAnsi="Arial" w:cs="Arial"/>
          <w:sz w:val="24"/>
          <w:szCs w:val="24"/>
        </w:rPr>
        <w:t>Göncü</w:t>
      </w:r>
      <w:proofErr w:type="spellEnd"/>
      <w:r w:rsidRPr="00A84E53">
        <w:rPr>
          <w:rFonts w:ascii="Arial" w:hAnsi="Arial" w:cs="Arial"/>
          <w:sz w:val="24"/>
          <w:szCs w:val="24"/>
        </w:rPr>
        <w:t>, A., &amp; Gauvain, M. (2012)</w:t>
      </w:r>
      <w:r>
        <w:rPr>
          <w:rFonts w:ascii="Arial" w:hAnsi="Arial" w:cs="Arial"/>
          <w:sz w:val="24"/>
          <w:szCs w:val="24"/>
        </w:rPr>
        <w:t xml:space="preserve"> </w:t>
      </w:r>
      <w:r w:rsidRPr="00A94506">
        <w:rPr>
          <w:rFonts w:ascii="Arial" w:hAnsi="Arial" w:cs="Arial"/>
          <w:i/>
          <w:iCs/>
          <w:sz w:val="24"/>
          <w:szCs w:val="24"/>
        </w:rPr>
        <w:t>Sociocultural Approaches to Educational Psychology: Theory, Research, and Application</w:t>
      </w:r>
      <w:r w:rsidRPr="00A84E53">
        <w:rPr>
          <w:rFonts w:ascii="Arial" w:hAnsi="Arial" w:cs="Arial"/>
          <w:sz w:val="24"/>
          <w:szCs w:val="24"/>
        </w:rPr>
        <w:t xml:space="preserve">. </w:t>
      </w:r>
      <w:r>
        <w:rPr>
          <w:rFonts w:ascii="Arial" w:hAnsi="Arial" w:cs="Arial"/>
          <w:sz w:val="24"/>
          <w:szCs w:val="24"/>
        </w:rPr>
        <w:t xml:space="preserve">In K.R. Harris, </w:t>
      </w:r>
      <w:proofErr w:type="spellStart"/>
      <w:proofErr w:type="gramStart"/>
      <w:r>
        <w:rPr>
          <w:rFonts w:ascii="Arial" w:hAnsi="Arial" w:cs="Arial"/>
          <w:sz w:val="24"/>
          <w:szCs w:val="24"/>
        </w:rPr>
        <w:t>S.Graham</w:t>
      </w:r>
      <w:proofErr w:type="spellEnd"/>
      <w:proofErr w:type="gramEnd"/>
      <w:r>
        <w:rPr>
          <w:rFonts w:ascii="Arial" w:hAnsi="Arial" w:cs="Arial"/>
          <w:sz w:val="24"/>
          <w:szCs w:val="24"/>
        </w:rPr>
        <w:t xml:space="preserve">, T. </w:t>
      </w:r>
      <w:proofErr w:type="spellStart"/>
      <w:r>
        <w:rPr>
          <w:rFonts w:ascii="Arial" w:hAnsi="Arial" w:cs="Arial"/>
          <w:sz w:val="24"/>
          <w:szCs w:val="24"/>
        </w:rPr>
        <w:t>Urdan</w:t>
      </w:r>
      <w:proofErr w:type="spellEnd"/>
      <w:r>
        <w:rPr>
          <w:rFonts w:ascii="Arial" w:hAnsi="Arial" w:cs="Arial"/>
          <w:sz w:val="24"/>
          <w:szCs w:val="24"/>
        </w:rPr>
        <w:t xml:space="preserve">, C.B. McCormick, G. M. Sinatra and J. </w:t>
      </w:r>
      <w:proofErr w:type="spellStart"/>
      <w:r>
        <w:rPr>
          <w:rFonts w:ascii="Arial" w:hAnsi="Arial" w:cs="Arial"/>
          <w:sz w:val="24"/>
          <w:szCs w:val="24"/>
        </w:rPr>
        <w:t>Sweller</w:t>
      </w:r>
      <w:proofErr w:type="spellEnd"/>
      <w:r>
        <w:rPr>
          <w:rFonts w:ascii="Arial" w:hAnsi="Arial" w:cs="Arial"/>
          <w:sz w:val="24"/>
          <w:szCs w:val="24"/>
        </w:rPr>
        <w:t xml:space="preserve"> (Eds.), </w:t>
      </w:r>
      <w:r w:rsidRPr="00A94506">
        <w:rPr>
          <w:rFonts w:ascii="Arial" w:hAnsi="Arial" w:cs="Arial"/>
          <w:sz w:val="24"/>
          <w:szCs w:val="24"/>
        </w:rPr>
        <w:t>APA educational Psychology Handbook,</w:t>
      </w:r>
      <w:r>
        <w:rPr>
          <w:rFonts w:ascii="Arial" w:hAnsi="Arial" w:cs="Arial"/>
          <w:sz w:val="24"/>
          <w:szCs w:val="24"/>
        </w:rPr>
        <w:t xml:space="preserve"> Vol. 1. </w:t>
      </w:r>
      <w:r w:rsidRPr="00A94506">
        <w:rPr>
          <w:rFonts w:ascii="Arial" w:hAnsi="Arial" w:cs="Arial"/>
          <w:i/>
          <w:iCs/>
          <w:sz w:val="24"/>
          <w:szCs w:val="24"/>
        </w:rPr>
        <w:t>Theories, constructs, and critical issues</w:t>
      </w:r>
      <w:r>
        <w:rPr>
          <w:rFonts w:ascii="Arial" w:hAnsi="Arial" w:cs="Arial"/>
          <w:sz w:val="24"/>
          <w:szCs w:val="24"/>
        </w:rPr>
        <w:t xml:space="preserve"> (pp. 125-154). APA. Available at: </w:t>
      </w:r>
      <w:r w:rsidRPr="00A94506">
        <w:rPr>
          <w:rFonts w:ascii="Arial" w:hAnsi="Arial" w:cs="Arial"/>
          <w:sz w:val="24"/>
          <w:szCs w:val="24"/>
        </w:rPr>
        <w:t>https://doi.org/10.1037/13273-006</w:t>
      </w:r>
      <w:r>
        <w:rPr>
          <w:rFonts w:ascii="Arial" w:hAnsi="Arial" w:cs="Arial"/>
          <w:sz w:val="24"/>
          <w:szCs w:val="24"/>
        </w:rPr>
        <w:t xml:space="preserve"> (Accessed on: 19</w:t>
      </w:r>
      <w:r w:rsidRPr="00A94506">
        <w:rPr>
          <w:rFonts w:ascii="Arial" w:hAnsi="Arial" w:cs="Arial"/>
          <w:sz w:val="24"/>
          <w:szCs w:val="24"/>
          <w:vertAlign w:val="superscript"/>
        </w:rPr>
        <w:t>th</w:t>
      </w:r>
      <w:r>
        <w:rPr>
          <w:rFonts w:ascii="Arial" w:hAnsi="Arial" w:cs="Arial"/>
          <w:sz w:val="24"/>
          <w:szCs w:val="24"/>
        </w:rPr>
        <w:t xml:space="preserve"> February 2024).</w:t>
      </w:r>
    </w:p>
    <w:p w14:paraId="378C8982" w14:textId="77777777" w:rsidR="00C07422" w:rsidRPr="00C07422" w:rsidRDefault="00C07422" w:rsidP="00C07422">
      <w:pPr>
        <w:spacing w:line="240" w:lineRule="auto"/>
        <w:rPr>
          <w:rFonts w:ascii="Arial" w:hAnsi="Arial" w:cs="Arial"/>
          <w:sz w:val="24"/>
          <w:szCs w:val="24"/>
        </w:rPr>
      </w:pPr>
      <w:r w:rsidRPr="00C07422">
        <w:rPr>
          <w:rFonts w:ascii="Arial" w:hAnsi="Arial" w:cs="Arial"/>
          <w:sz w:val="24"/>
          <w:szCs w:val="24"/>
        </w:rPr>
        <w:t>Gray, P. (2011)</w:t>
      </w:r>
      <w:r>
        <w:rPr>
          <w:rFonts w:ascii="Arial" w:hAnsi="Arial" w:cs="Arial"/>
          <w:sz w:val="24"/>
          <w:szCs w:val="24"/>
        </w:rPr>
        <w:t xml:space="preserve"> ‘</w:t>
      </w:r>
      <w:r w:rsidRPr="00C07422">
        <w:rPr>
          <w:rFonts w:ascii="Arial" w:hAnsi="Arial" w:cs="Arial"/>
          <w:sz w:val="24"/>
          <w:szCs w:val="24"/>
        </w:rPr>
        <w:t>The Decline of Play and the Rise of Psychopathology in Children and Adolescents</w:t>
      </w:r>
      <w:r>
        <w:rPr>
          <w:rFonts w:ascii="Arial" w:hAnsi="Arial" w:cs="Arial"/>
          <w:sz w:val="24"/>
          <w:szCs w:val="24"/>
        </w:rPr>
        <w:t>’</w:t>
      </w:r>
      <w:r w:rsidRPr="00C07422">
        <w:rPr>
          <w:rFonts w:ascii="Arial" w:hAnsi="Arial" w:cs="Arial"/>
          <w:i/>
          <w:iCs/>
          <w:sz w:val="24"/>
          <w:szCs w:val="24"/>
        </w:rPr>
        <w:t>. American Journal of Play</w:t>
      </w:r>
      <w:r w:rsidRPr="00C07422">
        <w:rPr>
          <w:rFonts w:ascii="Arial" w:hAnsi="Arial" w:cs="Arial"/>
          <w:sz w:val="24"/>
          <w:szCs w:val="24"/>
        </w:rPr>
        <w:t xml:space="preserve">, 3(4), </w:t>
      </w:r>
      <w:r>
        <w:rPr>
          <w:rFonts w:ascii="Arial" w:hAnsi="Arial" w:cs="Arial"/>
          <w:sz w:val="24"/>
          <w:szCs w:val="24"/>
        </w:rPr>
        <w:t xml:space="preserve">pp. </w:t>
      </w:r>
      <w:r w:rsidRPr="00C07422">
        <w:rPr>
          <w:rFonts w:ascii="Arial" w:hAnsi="Arial" w:cs="Arial"/>
          <w:sz w:val="24"/>
          <w:szCs w:val="24"/>
        </w:rPr>
        <w:t>443–463.</w:t>
      </w:r>
    </w:p>
    <w:p w14:paraId="2583FFEB" w14:textId="77777777" w:rsidR="00C07422" w:rsidRPr="00F7165F" w:rsidRDefault="00C07422" w:rsidP="00EA664D">
      <w:pPr>
        <w:spacing w:line="240" w:lineRule="auto"/>
        <w:rPr>
          <w:rFonts w:ascii="Arial" w:hAnsi="Arial" w:cs="Arial"/>
          <w:sz w:val="24"/>
          <w:szCs w:val="24"/>
        </w:rPr>
      </w:pPr>
      <w:r w:rsidRPr="00F7165F">
        <w:rPr>
          <w:rFonts w:ascii="Arial" w:hAnsi="Arial" w:cs="Arial"/>
          <w:sz w:val="24"/>
          <w:szCs w:val="24"/>
        </w:rPr>
        <w:t>Howard, J.</w:t>
      </w:r>
      <w:r>
        <w:rPr>
          <w:rFonts w:ascii="Arial" w:hAnsi="Arial" w:cs="Arial"/>
          <w:sz w:val="24"/>
          <w:szCs w:val="24"/>
        </w:rPr>
        <w:t xml:space="preserve"> and</w:t>
      </w:r>
      <w:r w:rsidRPr="00F7165F">
        <w:rPr>
          <w:rFonts w:ascii="Arial" w:hAnsi="Arial" w:cs="Arial"/>
          <w:sz w:val="24"/>
          <w:szCs w:val="24"/>
        </w:rPr>
        <w:t xml:space="preserve"> McInnes, K. (2012)</w:t>
      </w:r>
      <w:r>
        <w:rPr>
          <w:rFonts w:ascii="Arial" w:hAnsi="Arial" w:cs="Arial"/>
          <w:sz w:val="24"/>
          <w:szCs w:val="24"/>
        </w:rPr>
        <w:t xml:space="preserve"> ‘</w:t>
      </w:r>
      <w:r w:rsidRPr="00F7165F">
        <w:rPr>
          <w:rFonts w:ascii="Arial" w:hAnsi="Arial" w:cs="Arial"/>
          <w:sz w:val="24"/>
          <w:szCs w:val="24"/>
        </w:rPr>
        <w:t>The Essence of Play: A Focus Group Study of Children's Perceptions of Play</w:t>
      </w:r>
      <w:r>
        <w:rPr>
          <w:rFonts w:ascii="Arial" w:hAnsi="Arial" w:cs="Arial"/>
          <w:sz w:val="24"/>
          <w:szCs w:val="24"/>
        </w:rPr>
        <w:t>’</w:t>
      </w:r>
      <w:r w:rsidRPr="00AF729E">
        <w:rPr>
          <w:rFonts w:ascii="Arial" w:hAnsi="Arial" w:cs="Arial"/>
          <w:i/>
          <w:iCs/>
          <w:sz w:val="24"/>
          <w:szCs w:val="24"/>
        </w:rPr>
        <w:t>. Contemporary Issues in Early Childhood</w:t>
      </w:r>
      <w:r w:rsidRPr="00F7165F">
        <w:rPr>
          <w:rFonts w:ascii="Arial" w:hAnsi="Arial" w:cs="Arial"/>
          <w:sz w:val="24"/>
          <w:szCs w:val="24"/>
        </w:rPr>
        <w:t xml:space="preserve">, 13(3), </w:t>
      </w:r>
      <w:r>
        <w:rPr>
          <w:rFonts w:ascii="Arial" w:hAnsi="Arial" w:cs="Arial"/>
          <w:sz w:val="24"/>
          <w:szCs w:val="24"/>
        </w:rPr>
        <w:t xml:space="preserve">pp. </w:t>
      </w:r>
      <w:r w:rsidRPr="00F7165F">
        <w:rPr>
          <w:rFonts w:ascii="Arial" w:hAnsi="Arial" w:cs="Arial"/>
          <w:sz w:val="24"/>
          <w:szCs w:val="24"/>
        </w:rPr>
        <w:t>221–234.</w:t>
      </w:r>
    </w:p>
    <w:p w14:paraId="437C3561" w14:textId="77777777" w:rsidR="00C07422" w:rsidRPr="00C07422" w:rsidRDefault="00C07422" w:rsidP="00C07422">
      <w:pPr>
        <w:spacing w:line="240" w:lineRule="auto"/>
        <w:rPr>
          <w:rFonts w:ascii="Arial" w:hAnsi="Arial" w:cs="Arial"/>
          <w:sz w:val="24"/>
          <w:szCs w:val="24"/>
        </w:rPr>
      </w:pPr>
      <w:r w:rsidRPr="00C07422">
        <w:rPr>
          <w:rFonts w:ascii="Arial" w:hAnsi="Arial" w:cs="Arial"/>
          <w:sz w:val="24"/>
          <w:szCs w:val="24"/>
        </w:rPr>
        <w:t xml:space="preserve">McInnes, K., Howard, J., Miles, A., &amp; Crowley, K. (2013) </w:t>
      </w:r>
      <w:r>
        <w:rPr>
          <w:rFonts w:ascii="Arial" w:hAnsi="Arial" w:cs="Arial"/>
          <w:sz w:val="24"/>
          <w:szCs w:val="24"/>
        </w:rPr>
        <w:t>‘</w:t>
      </w:r>
      <w:r w:rsidRPr="00C07422">
        <w:rPr>
          <w:rFonts w:ascii="Arial" w:hAnsi="Arial" w:cs="Arial"/>
          <w:sz w:val="24"/>
          <w:szCs w:val="24"/>
        </w:rPr>
        <w:t>Adult Interaction in Early Years Settings: Creating a Research-Informed Pedagogy for Supporting Children's Well-Being and Development</w:t>
      </w:r>
      <w:r>
        <w:rPr>
          <w:rFonts w:ascii="Arial" w:hAnsi="Arial" w:cs="Arial"/>
          <w:sz w:val="24"/>
          <w:szCs w:val="24"/>
        </w:rPr>
        <w:t>’</w:t>
      </w:r>
      <w:r w:rsidRPr="00C07422">
        <w:rPr>
          <w:rFonts w:ascii="Arial" w:hAnsi="Arial" w:cs="Arial"/>
          <w:sz w:val="24"/>
          <w:szCs w:val="24"/>
        </w:rPr>
        <w:t xml:space="preserve">. </w:t>
      </w:r>
      <w:r w:rsidRPr="00C07422">
        <w:rPr>
          <w:rFonts w:ascii="Arial" w:hAnsi="Arial" w:cs="Arial"/>
          <w:i/>
          <w:iCs/>
          <w:sz w:val="24"/>
          <w:szCs w:val="24"/>
        </w:rPr>
        <w:t>Australasian Journal of Early Childhood</w:t>
      </w:r>
      <w:r w:rsidRPr="00C07422">
        <w:rPr>
          <w:rFonts w:ascii="Arial" w:hAnsi="Arial" w:cs="Arial"/>
          <w:sz w:val="24"/>
          <w:szCs w:val="24"/>
        </w:rPr>
        <w:t xml:space="preserve">, 38(4), </w:t>
      </w:r>
      <w:r>
        <w:rPr>
          <w:rFonts w:ascii="Arial" w:hAnsi="Arial" w:cs="Arial"/>
          <w:sz w:val="24"/>
          <w:szCs w:val="24"/>
        </w:rPr>
        <w:t xml:space="preserve">pp. </w:t>
      </w:r>
      <w:r w:rsidRPr="00C07422">
        <w:rPr>
          <w:rFonts w:ascii="Arial" w:hAnsi="Arial" w:cs="Arial"/>
          <w:sz w:val="24"/>
          <w:szCs w:val="24"/>
        </w:rPr>
        <w:t>20–28.</w:t>
      </w:r>
    </w:p>
    <w:p w14:paraId="0F18AF2C" w14:textId="77777777" w:rsidR="00C07422" w:rsidRPr="00373692" w:rsidRDefault="00C07422" w:rsidP="00040912">
      <w:pPr>
        <w:spacing w:line="240" w:lineRule="auto"/>
        <w:rPr>
          <w:rFonts w:ascii="Arial" w:hAnsi="Arial" w:cs="Arial"/>
          <w:sz w:val="24"/>
          <w:szCs w:val="24"/>
        </w:rPr>
      </w:pPr>
      <w:r w:rsidRPr="00373692">
        <w:rPr>
          <w:rFonts w:ascii="Arial" w:hAnsi="Arial" w:cs="Arial"/>
          <w:sz w:val="24"/>
          <w:szCs w:val="24"/>
        </w:rPr>
        <w:t>Meggitt, C., Bruce, T.</w:t>
      </w:r>
      <w:r>
        <w:rPr>
          <w:rFonts w:ascii="Arial" w:hAnsi="Arial" w:cs="Arial"/>
          <w:sz w:val="24"/>
          <w:szCs w:val="24"/>
        </w:rPr>
        <w:t xml:space="preserve"> and</w:t>
      </w:r>
      <w:r w:rsidRPr="00373692">
        <w:rPr>
          <w:rFonts w:ascii="Arial" w:hAnsi="Arial" w:cs="Arial"/>
          <w:sz w:val="24"/>
          <w:szCs w:val="24"/>
        </w:rPr>
        <w:t xml:space="preserve"> Grenier, J. (2015) </w:t>
      </w:r>
      <w:r w:rsidRPr="00D13991">
        <w:rPr>
          <w:rFonts w:ascii="Arial" w:hAnsi="Arial" w:cs="Arial"/>
          <w:i/>
          <w:iCs/>
          <w:sz w:val="24"/>
          <w:szCs w:val="24"/>
        </w:rPr>
        <w:t xml:space="preserve">CACHE Level 3 Childcare and Education (Early Years Educator) </w:t>
      </w:r>
      <w:r w:rsidRPr="00373692">
        <w:rPr>
          <w:rFonts w:ascii="Arial" w:hAnsi="Arial" w:cs="Arial"/>
          <w:sz w:val="24"/>
          <w:szCs w:val="24"/>
        </w:rPr>
        <w:t>2nd ed.</w:t>
      </w:r>
      <w:r>
        <w:rPr>
          <w:rFonts w:ascii="Arial" w:hAnsi="Arial" w:cs="Arial"/>
          <w:sz w:val="24"/>
          <w:szCs w:val="24"/>
        </w:rPr>
        <w:t xml:space="preserve">  London: </w:t>
      </w:r>
      <w:r w:rsidRPr="00373692">
        <w:rPr>
          <w:rFonts w:ascii="Arial" w:hAnsi="Arial" w:cs="Arial"/>
          <w:sz w:val="24"/>
          <w:szCs w:val="24"/>
        </w:rPr>
        <w:t>Hodder Education.</w:t>
      </w:r>
    </w:p>
    <w:p w14:paraId="4104D1CC" w14:textId="77777777" w:rsidR="00C07422" w:rsidRPr="00F7165F" w:rsidRDefault="00C07422" w:rsidP="00EA664D">
      <w:pPr>
        <w:spacing w:line="240" w:lineRule="auto"/>
        <w:rPr>
          <w:rFonts w:ascii="Arial" w:hAnsi="Arial" w:cs="Arial"/>
          <w:sz w:val="24"/>
          <w:szCs w:val="24"/>
        </w:rPr>
      </w:pPr>
      <w:r w:rsidRPr="00F7165F">
        <w:rPr>
          <w:rFonts w:ascii="Arial" w:hAnsi="Arial" w:cs="Arial"/>
          <w:sz w:val="24"/>
          <w:szCs w:val="24"/>
        </w:rPr>
        <w:t xml:space="preserve">Nicholson, S. (1971) </w:t>
      </w:r>
      <w:r>
        <w:rPr>
          <w:rFonts w:ascii="Arial" w:hAnsi="Arial" w:cs="Arial"/>
          <w:sz w:val="24"/>
          <w:szCs w:val="24"/>
        </w:rPr>
        <w:t>‘</w:t>
      </w:r>
      <w:r w:rsidRPr="00F7165F">
        <w:rPr>
          <w:rFonts w:ascii="Arial" w:hAnsi="Arial" w:cs="Arial"/>
          <w:sz w:val="24"/>
          <w:szCs w:val="24"/>
        </w:rPr>
        <w:t>How Not to Cheat Children</w:t>
      </w:r>
      <w:r>
        <w:rPr>
          <w:rFonts w:ascii="Arial" w:hAnsi="Arial" w:cs="Arial"/>
          <w:sz w:val="24"/>
          <w:szCs w:val="24"/>
        </w:rPr>
        <w:t>’.</w:t>
      </w:r>
      <w:r w:rsidRPr="00F7165F">
        <w:rPr>
          <w:rFonts w:ascii="Arial" w:hAnsi="Arial" w:cs="Arial"/>
          <w:sz w:val="24"/>
          <w:szCs w:val="24"/>
        </w:rPr>
        <w:t xml:space="preserve"> </w:t>
      </w:r>
      <w:r w:rsidRPr="00AB3525">
        <w:rPr>
          <w:rFonts w:ascii="Arial" w:hAnsi="Arial" w:cs="Arial"/>
          <w:i/>
          <w:iCs/>
          <w:sz w:val="24"/>
          <w:szCs w:val="24"/>
        </w:rPr>
        <w:t>The Theory of Loose Parts</w:t>
      </w:r>
      <w:r w:rsidRPr="00F7165F">
        <w:rPr>
          <w:rFonts w:ascii="Arial" w:hAnsi="Arial" w:cs="Arial"/>
          <w:sz w:val="24"/>
          <w:szCs w:val="24"/>
        </w:rPr>
        <w:t xml:space="preserve">. Landscape Architecture, 62(1), </w:t>
      </w:r>
      <w:r>
        <w:rPr>
          <w:rFonts w:ascii="Arial" w:hAnsi="Arial" w:cs="Arial"/>
          <w:sz w:val="24"/>
          <w:szCs w:val="24"/>
        </w:rPr>
        <w:t>pp.</w:t>
      </w:r>
      <w:r w:rsidRPr="00F7165F">
        <w:rPr>
          <w:rFonts w:ascii="Arial" w:hAnsi="Arial" w:cs="Arial"/>
          <w:sz w:val="24"/>
          <w:szCs w:val="24"/>
        </w:rPr>
        <w:t>30–34.</w:t>
      </w:r>
    </w:p>
    <w:p w14:paraId="70F15C64" w14:textId="77777777" w:rsidR="00C07422" w:rsidRPr="00A84E53" w:rsidRDefault="00C07422" w:rsidP="00547187">
      <w:pPr>
        <w:spacing w:line="240" w:lineRule="auto"/>
        <w:rPr>
          <w:rFonts w:ascii="Arial" w:hAnsi="Arial" w:cs="Arial"/>
          <w:sz w:val="24"/>
          <w:szCs w:val="24"/>
        </w:rPr>
      </w:pPr>
      <w:r w:rsidRPr="00A84E53">
        <w:rPr>
          <w:rFonts w:ascii="Arial" w:hAnsi="Arial" w:cs="Arial"/>
          <w:sz w:val="24"/>
          <w:szCs w:val="24"/>
        </w:rPr>
        <w:t xml:space="preserve">Parten, M. B. (1932) </w:t>
      </w:r>
      <w:r>
        <w:rPr>
          <w:rFonts w:ascii="Arial" w:hAnsi="Arial" w:cs="Arial"/>
          <w:sz w:val="24"/>
          <w:szCs w:val="24"/>
        </w:rPr>
        <w:t>‘</w:t>
      </w:r>
      <w:r w:rsidRPr="00A84E53">
        <w:rPr>
          <w:rFonts w:ascii="Arial" w:hAnsi="Arial" w:cs="Arial"/>
          <w:sz w:val="24"/>
          <w:szCs w:val="24"/>
        </w:rPr>
        <w:t>Social participation among preschool children</w:t>
      </w:r>
      <w:r>
        <w:rPr>
          <w:rFonts w:ascii="Arial" w:hAnsi="Arial" w:cs="Arial"/>
          <w:sz w:val="24"/>
          <w:szCs w:val="24"/>
        </w:rPr>
        <w:t>’</w:t>
      </w:r>
      <w:r w:rsidRPr="00A84E53">
        <w:rPr>
          <w:rFonts w:ascii="Arial" w:hAnsi="Arial" w:cs="Arial"/>
          <w:sz w:val="24"/>
          <w:szCs w:val="24"/>
        </w:rPr>
        <w:t xml:space="preserve">. </w:t>
      </w:r>
      <w:r w:rsidRPr="00A94506">
        <w:rPr>
          <w:rFonts w:ascii="Arial" w:hAnsi="Arial" w:cs="Arial"/>
          <w:i/>
          <w:iCs/>
          <w:sz w:val="24"/>
          <w:szCs w:val="24"/>
        </w:rPr>
        <w:t>Journal of Abnormal and Social Psychology</w:t>
      </w:r>
      <w:r w:rsidRPr="00A84E53">
        <w:rPr>
          <w:rFonts w:ascii="Arial" w:hAnsi="Arial" w:cs="Arial"/>
          <w:sz w:val="24"/>
          <w:szCs w:val="24"/>
        </w:rPr>
        <w:t xml:space="preserve">, 27(3), </w:t>
      </w:r>
      <w:r>
        <w:rPr>
          <w:rFonts w:ascii="Arial" w:hAnsi="Arial" w:cs="Arial"/>
          <w:sz w:val="24"/>
          <w:szCs w:val="24"/>
        </w:rPr>
        <w:t>pp.</w:t>
      </w:r>
      <w:r w:rsidRPr="00A84E53">
        <w:rPr>
          <w:rFonts w:ascii="Arial" w:hAnsi="Arial" w:cs="Arial"/>
          <w:sz w:val="24"/>
          <w:szCs w:val="24"/>
        </w:rPr>
        <w:t>243-269.</w:t>
      </w:r>
    </w:p>
    <w:p w14:paraId="76726DFF" w14:textId="77777777" w:rsidR="00C07422" w:rsidRPr="00A84E53" w:rsidRDefault="00C07422" w:rsidP="00C07422">
      <w:pPr>
        <w:spacing w:line="240" w:lineRule="auto"/>
        <w:rPr>
          <w:rFonts w:ascii="Arial" w:hAnsi="Arial" w:cs="Arial"/>
          <w:sz w:val="24"/>
          <w:szCs w:val="24"/>
        </w:rPr>
      </w:pPr>
      <w:r w:rsidRPr="00C07422">
        <w:rPr>
          <w:rFonts w:ascii="Arial" w:hAnsi="Arial" w:cs="Arial"/>
          <w:sz w:val="24"/>
          <w:szCs w:val="24"/>
        </w:rPr>
        <w:t xml:space="preserve">Pellegrini, A. D., &amp; Smith, P. K. (1998) </w:t>
      </w:r>
      <w:r>
        <w:rPr>
          <w:rFonts w:ascii="Arial" w:hAnsi="Arial" w:cs="Arial"/>
          <w:sz w:val="24"/>
          <w:szCs w:val="24"/>
        </w:rPr>
        <w:t>‘</w:t>
      </w:r>
      <w:r w:rsidRPr="00C07422">
        <w:rPr>
          <w:rFonts w:ascii="Arial" w:hAnsi="Arial" w:cs="Arial"/>
          <w:sz w:val="24"/>
          <w:szCs w:val="24"/>
        </w:rPr>
        <w:t>Physical Activity Play: The Nature and Function of a Neglected Aspect of Play</w:t>
      </w:r>
      <w:r>
        <w:rPr>
          <w:rFonts w:ascii="Arial" w:hAnsi="Arial" w:cs="Arial"/>
          <w:sz w:val="24"/>
          <w:szCs w:val="24"/>
        </w:rPr>
        <w:t>’</w:t>
      </w:r>
      <w:r w:rsidRPr="00C07422">
        <w:rPr>
          <w:rFonts w:ascii="Arial" w:hAnsi="Arial" w:cs="Arial"/>
          <w:sz w:val="24"/>
          <w:szCs w:val="24"/>
        </w:rPr>
        <w:t xml:space="preserve">. </w:t>
      </w:r>
      <w:r w:rsidRPr="00C07422">
        <w:rPr>
          <w:rFonts w:ascii="Arial" w:hAnsi="Arial" w:cs="Arial"/>
          <w:i/>
          <w:iCs/>
          <w:sz w:val="24"/>
          <w:szCs w:val="24"/>
        </w:rPr>
        <w:t>Child Development</w:t>
      </w:r>
      <w:r w:rsidRPr="00C07422">
        <w:rPr>
          <w:rFonts w:ascii="Arial" w:hAnsi="Arial" w:cs="Arial"/>
          <w:sz w:val="24"/>
          <w:szCs w:val="24"/>
        </w:rPr>
        <w:t xml:space="preserve">, 69(3), </w:t>
      </w:r>
      <w:r>
        <w:rPr>
          <w:rFonts w:ascii="Arial" w:hAnsi="Arial" w:cs="Arial"/>
          <w:sz w:val="24"/>
          <w:szCs w:val="24"/>
        </w:rPr>
        <w:t xml:space="preserve">pp. </w:t>
      </w:r>
      <w:r w:rsidRPr="00C07422">
        <w:rPr>
          <w:rFonts w:ascii="Arial" w:hAnsi="Arial" w:cs="Arial"/>
          <w:sz w:val="24"/>
          <w:szCs w:val="24"/>
        </w:rPr>
        <w:t>577–598.</w:t>
      </w:r>
    </w:p>
    <w:p w14:paraId="1EF2D1A4" w14:textId="77777777" w:rsidR="00C07422" w:rsidRPr="00A84E53" w:rsidRDefault="00C07422" w:rsidP="00547187">
      <w:pPr>
        <w:spacing w:line="240" w:lineRule="auto"/>
        <w:rPr>
          <w:rFonts w:ascii="Arial" w:hAnsi="Arial" w:cs="Arial"/>
          <w:sz w:val="24"/>
          <w:szCs w:val="24"/>
        </w:rPr>
      </w:pPr>
      <w:r w:rsidRPr="00A84E53">
        <w:rPr>
          <w:rFonts w:ascii="Arial" w:hAnsi="Arial" w:cs="Arial"/>
          <w:sz w:val="24"/>
          <w:szCs w:val="24"/>
        </w:rPr>
        <w:t>Piaget, J. (1962</w:t>
      </w:r>
      <w:r w:rsidRPr="00A94506">
        <w:rPr>
          <w:rFonts w:ascii="Arial" w:hAnsi="Arial" w:cs="Arial"/>
          <w:sz w:val="24"/>
          <w:szCs w:val="24"/>
        </w:rPr>
        <w:t>)</w:t>
      </w:r>
      <w:r w:rsidRPr="00A94506">
        <w:rPr>
          <w:rFonts w:ascii="Arial" w:hAnsi="Arial" w:cs="Arial"/>
          <w:i/>
          <w:iCs/>
          <w:sz w:val="24"/>
          <w:szCs w:val="24"/>
        </w:rPr>
        <w:t xml:space="preserve"> Play, Dreams, and Imitation in Childhood</w:t>
      </w:r>
      <w:r w:rsidRPr="00A84E53">
        <w:rPr>
          <w:rFonts w:ascii="Arial" w:hAnsi="Arial" w:cs="Arial"/>
          <w:sz w:val="24"/>
          <w:szCs w:val="24"/>
        </w:rPr>
        <w:t xml:space="preserve">. </w:t>
      </w:r>
      <w:r>
        <w:rPr>
          <w:rFonts w:ascii="Arial" w:hAnsi="Arial" w:cs="Arial"/>
          <w:sz w:val="24"/>
          <w:szCs w:val="24"/>
        </w:rPr>
        <w:t xml:space="preserve">London: </w:t>
      </w:r>
      <w:r w:rsidRPr="00A84E53">
        <w:rPr>
          <w:rFonts w:ascii="Arial" w:hAnsi="Arial" w:cs="Arial"/>
          <w:sz w:val="24"/>
          <w:szCs w:val="24"/>
        </w:rPr>
        <w:t>W. W. Norton &amp; Company.</w:t>
      </w:r>
    </w:p>
    <w:p w14:paraId="646139BF" w14:textId="77777777" w:rsidR="00C07422" w:rsidRPr="00F7165F" w:rsidRDefault="00C07422" w:rsidP="00040912">
      <w:pPr>
        <w:spacing w:line="240" w:lineRule="auto"/>
        <w:rPr>
          <w:rFonts w:ascii="Arial" w:hAnsi="Arial" w:cs="Arial"/>
          <w:sz w:val="24"/>
          <w:szCs w:val="24"/>
        </w:rPr>
      </w:pPr>
      <w:r w:rsidRPr="00373692">
        <w:rPr>
          <w:rFonts w:ascii="Arial" w:hAnsi="Arial" w:cs="Arial"/>
          <w:sz w:val="24"/>
          <w:szCs w:val="24"/>
        </w:rPr>
        <w:lastRenderedPageBreak/>
        <w:t>Puckett, M.</w:t>
      </w:r>
      <w:r>
        <w:rPr>
          <w:rFonts w:ascii="Arial" w:hAnsi="Arial" w:cs="Arial"/>
          <w:sz w:val="24"/>
          <w:szCs w:val="24"/>
        </w:rPr>
        <w:t xml:space="preserve"> and</w:t>
      </w:r>
      <w:r w:rsidRPr="00373692">
        <w:rPr>
          <w:rFonts w:ascii="Arial" w:hAnsi="Arial" w:cs="Arial"/>
          <w:sz w:val="24"/>
          <w:szCs w:val="24"/>
        </w:rPr>
        <w:t xml:space="preserve"> Black, H. (2012) </w:t>
      </w:r>
      <w:r w:rsidRPr="00472A4F">
        <w:rPr>
          <w:rFonts w:ascii="Arial" w:hAnsi="Arial" w:cs="Arial"/>
          <w:i/>
          <w:iCs/>
          <w:sz w:val="24"/>
          <w:szCs w:val="24"/>
        </w:rPr>
        <w:t>Guiding Children's Social Development and Learning</w:t>
      </w:r>
      <w:r>
        <w:rPr>
          <w:rFonts w:ascii="Arial" w:hAnsi="Arial" w:cs="Arial"/>
          <w:i/>
          <w:iCs/>
          <w:sz w:val="24"/>
          <w:szCs w:val="24"/>
        </w:rPr>
        <w:t>.</w:t>
      </w:r>
      <w:r w:rsidRPr="00373692">
        <w:rPr>
          <w:rFonts w:ascii="Arial" w:hAnsi="Arial" w:cs="Arial"/>
          <w:sz w:val="24"/>
          <w:szCs w:val="24"/>
        </w:rPr>
        <w:t xml:space="preserve"> 8th ed. </w:t>
      </w:r>
      <w:r>
        <w:rPr>
          <w:rFonts w:ascii="Arial" w:hAnsi="Arial" w:cs="Arial"/>
          <w:sz w:val="24"/>
          <w:szCs w:val="24"/>
        </w:rPr>
        <w:t xml:space="preserve">Beaverton: </w:t>
      </w:r>
      <w:r w:rsidRPr="00373692">
        <w:rPr>
          <w:rFonts w:ascii="Arial" w:hAnsi="Arial" w:cs="Arial"/>
          <w:sz w:val="24"/>
          <w:szCs w:val="24"/>
        </w:rPr>
        <w:t>Cengage Learning.</w:t>
      </w:r>
    </w:p>
    <w:p w14:paraId="00F144EF" w14:textId="77777777" w:rsidR="00C07422" w:rsidRPr="00A84E53" w:rsidRDefault="00C07422" w:rsidP="00547187">
      <w:pPr>
        <w:spacing w:line="240" w:lineRule="auto"/>
        <w:rPr>
          <w:rFonts w:ascii="Arial" w:hAnsi="Arial" w:cs="Arial"/>
          <w:sz w:val="24"/>
          <w:szCs w:val="24"/>
        </w:rPr>
      </w:pPr>
      <w:proofErr w:type="spellStart"/>
      <w:r w:rsidRPr="00A84E53">
        <w:rPr>
          <w:rFonts w:ascii="Arial" w:hAnsi="Arial" w:cs="Arial"/>
          <w:sz w:val="24"/>
          <w:szCs w:val="24"/>
        </w:rPr>
        <w:t>Smilansky</w:t>
      </w:r>
      <w:proofErr w:type="spellEnd"/>
      <w:r w:rsidRPr="00A84E53">
        <w:rPr>
          <w:rFonts w:ascii="Arial" w:hAnsi="Arial" w:cs="Arial"/>
          <w:sz w:val="24"/>
          <w:szCs w:val="24"/>
        </w:rPr>
        <w:t>, S.</w:t>
      </w:r>
      <w:r>
        <w:rPr>
          <w:rFonts w:ascii="Arial" w:hAnsi="Arial" w:cs="Arial"/>
          <w:sz w:val="24"/>
          <w:szCs w:val="24"/>
        </w:rPr>
        <w:t xml:space="preserve"> and</w:t>
      </w:r>
      <w:r w:rsidRPr="00A84E53">
        <w:rPr>
          <w:rFonts w:ascii="Arial" w:hAnsi="Arial" w:cs="Arial"/>
          <w:sz w:val="24"/>
          <w:szCs w:val="24"/>
        </w:rPr>
        <w:t xml:space="preserve"> </w:t>
      </w:r>
      <w:proofErr w:type="spellStart"/>
      <w:r w:rsidRPr="00A84E53">
        <w:rPr>
          <w:rFonts w:ascii="Arial" w:hAnsi="Arial" w:cs="Arial"/>
          <w:sz w:val="24"/>
          <w:szCs w:val="24"/>
        </w:rPr>
        <w:t>Shefatya</w:t>
      </w:r>
      <w:proofErr w:type="spellEnd"/>
      <w:r w:rsidRPr="00A84E53">
        <w:rPr>
          <w:rFonts w:ascii="Arial" w:hAnsi="Arial" w:cs="Arial"/>
          <w:sz w:val="24"/>
          <w:szCs w:val="24"/>
        </w:rPr>
        <w:t>, L. (1990</w:t>
      </w:r>
      <w:r w:rsidRPr="004C5BD2">
        <w:rPr>
          <w:rFonts w:ascii="Arial" w:hAnsi="Arial" w:cs="Arial"/>
          <w:i/>
          <w:iCs/>
          <w:sz w:val="24"/>
          <w:szCs w:val="24"/>
        </w:rPr>
        <w:t>) Facilitating Play: A Medium for Promoting Cognitive, Socio-emotional, and Academic Development in Young Children</w:t>
      </w:r>
      <w:r w:rsidRPr="00A84E53">
        <w:rPr>
          <w:rFonts w:ascii="Arial" w:hAnsi="Arial" w:cs="Arial"/>
          <w:sz w:val="24"/>
          <w:szCs w:val="24"/>
        </w:rPr>
        <w:t xml:space="preserve">. </w:t>
      </w:r>
      <w:r>
        <w:rPr>
          <w:rFonts w:ascii="Arial" w:hAnsi="Arial" w:cs="Arial"/>
          <w:sz w:val="24"/>
          <w:szCs w:val="24"/>
        </w:rPr>
        <w:t xml:space="preserve">Denver: </w:t>
      </w:r>
      <w:r w:rsidRPr="004C5BD2">
        <w:rPr>
          <w:rFonts w:ascii="Arial" w:hAnsi="Arial" w:cs="Arial"/>
          <w:sz w:val="24"/>
          <w:szCs w:val="24"/>
        </w:rPr>
        <w:t>Psychosocial n Educational</w:t>
      </w:r>
      <w:r>
        <w:rPr>
          <w:rFonts w:ascii="Arial" w:hAnsi="Arial" w:cs="Arial"/>
          <w:sz w:val="24"/>
          <w:szCs w:val="24"/>
        </w:rPr>
        <w:t>.</w:t>
      </w:r>
    </w:p>
    <w:p w14:paraId="42EE318E" w14:textId="77777777" w:rsidR="00C07422" w:rsidRPr="00F7165F" w:rsidRDefault="00C07422" w:rsidP="00EA664D">
      <w:pPr>
        <w:spacing w:line="240" w:lineRule="auto"/>
        <w:rPr>
          <w:rFonts w:ascii="Arial" w:hAnsi="Arial" w:cs="Arial"/>
          <w:sz w:val="24"/>
          <w:szCs w:val="24"/>
        </w:rPr>
      </w:pPr>
      <w:r w:rsidRPr="00F7165F">
        <w:rPr>
          <w:rFonts w:ascii="Arial" w:hAnsi="Arial" w:cs="Arial"/>
          <w:sz w:val="24"/>
          <w:szCs w:val="24"/>
        </w:rPr>
        <w:t>Sturrock, G.</w:t>
      </w:r>
      <w:r>
        <w:rPr>
          <w:rFonts w:ascii="Arial" w:hAnsi="Arial" w:cs="Arial"/>
          <w:sz w:val="24"/>
          <w:szCs w:val="24"/>
        </w:rPr>
        <w:t xml:space="preserve"> and</w:t>
      </w:r>
      <w:r w:rsidRPr="00F7165F">
        <w:rPr>
          <w:rFonts w:ascii="Arial" w:hAnsi="Arial" w:cs="Arial"/>
          <w:sz w:val="24"/>
          <w:szCs w:val="24"/>
        </w:rPr>
        <w:t xml:space="preserve"> Perry Else, J. (1998) The Colorado Paper: A Comprehensive Approach to Play work. The University of Colorado.</w:t>
      </w:r>
      <w:r>
        <w:rPr>
          <w:rFonts w:ascii="Arial" w:hAnsi="Arial" w:cs="Arial"/>
          <w:sz w:val="24"/>
          <w:szCs w:val="24"/>
        </w:rPr>
        <w:t xml:space="preserve"> Available at: </w:t>
      </w:r>
      <w:r w:rsidRPr="0047706F">
        <w:rPr>
          <w:rFonts w:ascii="Arial" w:hAnsi="Arial" w:cs="Arial"/>
          <w:sz w:val="24"/>
          <w:szCs w:val="24"/>
        </w:rPr>
        <w:t>https://ipaewni.files.wordpress.com/2016/05/colorado-paper.pdf</w:t>
      </w:r>
      <w:r>
        <w:rPr>
          <w:rFonts w:ascii="Arial" w:hAnsi="Arial" w:cs="Arial"/>
          <w:sz w:val="24"/>
          <w:szCs w:val="24"/>
        </w:rPr>
        <w:t xml:space="preserve"> (Accessed on 12th February 2024).</w:t>
      </w:r>
    </w:p>
    <w:p w14:paraId="46EFFF49" w14:textId="77777777" w:rsidR="00C07422" w:rsidRPr="004C5BD2" w:rsidRDefault="00C07422" w:rsidP="00547187">
      <w:pPr>
        <w:spacing w:line="240" w:lineRule="auto"/>
        <w:rPr>
          <w:rFonts w:ascii="Arial" w:hAnsi="Arial" w:cs="Arial"/>
          <w:sz w:val="24"/>
          <w:szCs w:val="24"/>
        </w:rPr>
      </w:pPr>
      <w:r w:rsidRPr="00547187">
        <w:rPr>
          <w:rFonts w:ascii="Arial" w:hAnsi="Arial" w:cs="Arial"/>
          <w:sz w:val="24"/>
          <w:szCs w:val="24"/>
        </w:rPr>
        <w:t>United Nations High Commission for Human Rights (UNHCR</w:t>
      </w:r>
      <w:proofErr w:type="gramStart"/>
      <w:r w:rsidRPr="00547187">
        <w:rPr>
          <w:rFonts w:ascii="Arial" w:hAnsi="Arial" w:cs="Arial"/>
          <w:sz w:val="24"/>
          <w:szCs w:val="24"/>
        </w:rPr>
        <w:t>)(</w:t>
      </w:r>
      <w:proofErr w:type="gramEnd"/>
      <w:r w:rsidRPr="00547187">
        <w:rPr>
          <w:rFonts w:ascii="Arial" w:hAnsi="Arial" w:cs="Arial"/>
          <w:sz w:val="24"/>
          <w:szCs w:val="24"/>
        </w:rPr>
        <w:t>1989)</w:t>
      </w:r>
      <w:r>
        <w:rPr>
          <w:rFonts w:ascii="Arial" w:hAnsi="Arial" w:cs="Arial"/>
          <w:sz w:val="24"/>
          <w:szCs w:val="24"/>
        </w:rPr>
        <w:t xml:space="preserve"> </w:t>
      </w:r>
      <w:r w:rsidRPr="004C5BD2">
        <w:rPr>
          <w:rFonts w:ascii="Arial" w:hAnsi="Arial" w:cs="Arial"/>
          <w:i/>
          <w:iCs/>
          <w:sz w:val="24"/>
          <w:szCs w:val="24"/>
        </w:rPr>
        <w:t>Convention on the Rights of the Child.</w:t>
      </w:r>
      <w:r>
        <w:rPr>
          <w:rFonts w:ascii="Arial" w:hAnsi="Arial" w:cs="Arial"/>
          <w:i/>
          <w:iCs/>
          <w:sz w:val="24"/>
          <w:szCs w:val="24"/>
        </w:rPr>
        <w:t xml:space="preserve"> </w:t>
      </w:r>
      <w:r>
        <w:rPr>
          <w:rFonts w:ascii="Arial" w:hAnsi="Arial" w:cs="Arial"/>
          <w:sz w:val="24"/>
          <w:szCs w:val="24"/>
        </w:rPr>
        <w:t xml:space="preserve">Available at: </w:t>
      </w:r>
      <w:r w:rsidRPr="004C5BD2">
        <w:rPr>
          <w:rFonts w:ascii="Arial" w:hAnsi="Arial" w:cs="Arial"/>
          <w:sz w:val="24"/>
          <w:szCs w:val="24"/>
        </w:rPr>
        <w:t>https://www.ohchr.org/en/instruments-mechanisms/instruments/convention-rights-child</w:t>
      </w:r>
      <w:r>
        <w:rPr>
          <w:rFonts w:ascii="Arial" w:hAnsi="Arial" w:cs="Arial"/>
          <w:sz w:val="24"/>
          <w:szCs w:val="24"/>
        </w:rPr>
        <w:t xml:space="preserve"> (Accessed on: 22</w:t>
      </w:r>
      <w:r w:rsidRPr="004C5BD2">
        <w:rPr>
          <w:rFonts w:ascii="Arial" w:hAnsi="Arial" w:cs="Arial"/>
          <w:sz w:val="24"/>
          <w:szCs w:val="24"/>
          <w:vertAlign w:val="superscript"/>
        </w:rPr>
        <w:t>nd</w:t>
      </w:r>
      <w:r>
        <w:rPr>
          <w:rFonts w:ascii="Arial" w:hAnsi="Arial" w:cs="Arial"/>
          <w:sz w:val="24"/>
          <w:szCs w:val="24"/>
        </w:rPr>
        <w:t xml:space="preserve"> February 2024).</w:t>
      </w:r>
    </w:p>
    <w:p w14:paraId="00216BA4" w14:textId="575381EE" w:rsidR="00C07422" w:rsidRDefault="00C07422" w:rsidP="00EA664D">
      <w:pPr>
        <w:spacing w:line="240" w:lineRule="auto"/>
        <w:rPr>
          <w:rFonts w:ascii="Arial" w:hAnsi="Arial" w:cs="Arial"/>
          <w:sz w:val="24"/>
          <w:szCs w:val="24"/>
        </w:rPr>
      </w:pPr>
      <w:r w:rsidRPr="00A84E53">
        <w:rPr>
          <w:rFonts w:ascii="Arial" w:hAnsi="Arial" w:cs="Arial"/>
          <w:sz w:val="24"/>
          <w:szCs w:val="24"/>
        </w:rPr>
        <w:t xml:space="preserve">Vygotsky, L. S. (1978) </w:t>
      </w:r>
      <w:r w:rsidRPr="004C5BD2">
        <w:rPr>
          <w:rFonts w:ascii="Arial" w:hAnsi="Arial" w:cs="Arial"/>
          <w:i/>
          <w:iCs/>
          <w:sz w:val="24"/>
          <w:szCs w:val="24"/>
        </w:rPr>
        <w:t>Mind in Society: The Development of Higher Psychological Processes.</w:t>
      </w:r>
      <w:r w:rsidRPr="00A84E53">
        <w:rPr>
          <w:rFonts w:ascii="Arial" w:hAnsi="Arial" w:cs="Arial"/>
          <w:sz w:val="24"/>
          <w:szCs w:val="24"/>
        </w:rPr>
        <w:t xml:space="preserve"> </w:t>
      </w:r>
      <w:r w:rsidR="009811D3">
        <w:rPr>
          <w:rFonts w:ascii="Arial" w:hAnsi="Arial" w:cs="Arial"/>
          <w:sz w:val="24"/>
          <w:szCs w:val="24"/>
        </w:rPr>
        <w:t>Cambridge, Mass</w:t>
      </w:r>
      <w:r>
        <w:rPr>
          <w:rFonts w:ascii="Arial" w:hAnsi="Arial" w:cs="Arial"/>
          <w:sz w:val="24"/>
          <w:szCs w:val="24"/>
        </w:rPr>
        <w:t xml:space="preserve">: </w:t>
      </w:r>
      <w:r w:rsidRPr="00A84E53">
        <w:rPr>
          <w:rFonts w:ascii="Arial" w:hAnsi="Arial" w:cs="Arial"/>
          <w:sz w:val="24"/>
          <w:szCs w:val="24"/>
        </w:rPr>
        <w:t>Harvard University Press.</w:t>
      </w:r>
    </w:p>
    <w:p w14:paraId="1D2B1712" w14:textId="77777777" w:rsidR="00C07422" w:rsidRDefault="00C07422" w:rsidP="00C07422">
      <w:pPr>
        <w:spacing w:line="240" w:lineRule="auto"/>
        <w:rPr>
          <w:rFonts w:ascii="Arial" w:hAnsi="Arial" w:cs="Arial"/>
          <w:sz w:val="24"/>
          <w:szCs w:val="24"/>
        </w:rPr>
      </w:pPr>
      <w:r w:rsidRPr="00F7165F">
        <w:rPr>
          <w:rFonts w:ascii="Arial" w:hAnsi="Arial" w:cs="Arial"/>
          <w:sz w:val="24"/>
          <w:szCs w:val="24"/>
        </w:rPr>
        <w:t>Wilson, C. (2002). Intrinsic Motivation and the Five-Paragraph Essay: Lessons Learned on Practitioner Research, the Role of Academic Research in the Classroom, and Assessing Changes in Student Motivation. In J. G. Perry, D. Allen, C. Lewis, R. Hilton, &amp; B. Lingard (Eds.), The Role of Academic Research in Primary and Secondary Education: A Practical Guide (pp. 137–150). ERIC Clearinghouse on Educational Management.</w:t>
      </w:r>
    </w:p>
    <w:sectPr w:rsidR="00C074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7D2BE3"/>
    <w:multiLevelType w:val="multilevel"/>
    <w:tmpl w:val="A334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3825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53"/>
    <w:rsid w:val="00040912"/>
    <w:rsid w:val="000A00A9"/>
    <w:rsid w:val="000B0CA4"/>
    <w:rsid w:val="000B6F47"/>
    <w:rsid w:val="000C3995"/>
    <w:rsid w:val="00122E9D"/>
    <w:rsid w:val="00123291"/>
    <w:rsid w:val="001272AC"/>
    <w:rsid w:val="001273CA"/>
    <w:rsid w:val="00165909"/>
    <w:rsid w:val="00171E13"/>
    <w:rsid w:val="001C7B37"/>
    <w:rsid w:val="00265437"/>
    <w:rsid w:val="002C4C1C"/>
    <w:rsid w:val="002D5B2A"/>
    <w:rsid w:val="002E5B11"/>
    <w:rsid w:val="0031598D"/>
    <w:rsid w:val="00352E86"/>
    <w:rsid w:val="00354065"/>
    <w:rsid w:val="003677D8"/>
    <w:rsid w:val="00373692"/>
    <w:rsid w:val="00381789"/>
    <w:rsid w:val="003A5B6B"/>
    <w:rsid w:val="003C1C3E"/>
    <w:rsid w:val="00435F8D"/>
    <w:rsid w:val="00445486"/>
    <w:rsid w:val="00472A4F"/>
    <w:rsid w:val="0047706F"/>
    <w:rsid w:val="00495DEB"/>
    <w:rsid w:val="004C5BD2"/>
    <w:rsid w:val="004F01F0"/>
    <w:rsid w:val="005004AC"/>
    <w:rsid w:val="00510339"/>
    <w:rsid w:val="00547187"/>
    <w:rsid w:val="005508C0"/>
    <w:rsid w:val="005B1F3B"/>
    <w:rsid w:val="005B517C"/>
    <w:rsid w:val="005C49DB"/>
    <w:rsid w:val="005D7E86"/>
    <w:rsid w:val="005E2ADF"/>
    <w:rsid w:val="00647904"/>
    <w:rsid w:val="00686D55"/>
    <w:rsid w:val="006942D6"/>
    <w:rsid w:val="00697BA1"/>
    <w:rsid w:val="006A633B"/>
    <w:rsid w:val="006C01A3"/>
    <w:rsid w:val="006C5A7D"/>
    <w:rsid w:val="00733510"/>
    <w:rsid w:val="00754864"/>
    <w:rsid w:val="00761A9E"/>
    <w:rsid w:val="00784923"/>
    <w:rsid w:val="007969F7"/>
    <w:rsid w:val="007A3BF3"/>
    <w:rsid w:val="007B5667"/>
    <w:rsid w:val="007F1314"/>
    <w:rsid w:val="007F7C25"/>
    <w:rsid w:val="00807FA3"/>
    <w:rsid w:val="00810B47"/>
    <w:rsid w:val="008332A5"/>
    <w:rsid w:val="0083560A"/>
    <w:rsid w:val="00843331"/>
    <w:rsid w:val="00860621"/>
    <w:rsid w:val="00877314"/>
    <w:rsid w:val="00880E5A"/>
    <w:rsid w:val="0090235C"/>
    <w:rsid w:val="00904925"/>
    <w:rsid w:val="00950E74"/>
    <w:rsid w:val="009811D3"/>
    <w:rsid w:val="0098276F"/>
    <w:rsid w:val="00983CF2"/>
    <w:rsid w:val="009A73CA"/>
    <w:rsid w:val="009C3BB2"/>
    <w:rsid w:val="009D588F"/>
    <w:rsid w:val="009E2A77"/>
    <w:rsid w:val="00A0639F"/>
    <w:rsid w:val="00A238BB"/>
    <w:rsid w:val="00A57CB0"/>
    <w:rsid w:val="00A84E53"/>
    <w:rsid w:val="00A93EB2"/>
    <w:rsid w:val="00A94506"/>
    <w:rsid w:val="00AB3525"/>
    <w:rsid w:val="00AF729E"/>
    <w:rsid w:val="00B51095"/>
    <w:rsid w:val="00B71CDF"/>
    <w:rsid w:val="00B94819"/>
    <w:rsid w:val="00C07422"/>
    <w:rsid w:val="00C73FFE"/>
    <w:rsid w:val="00CC14C4"/>
    <w:rsid w:val="00CD04D4"/>
    <w:rsid w:val="00CE2A0D"/>
    <w:rsid w:val="00CF434D"/>
    <w:rsid w:val="00CF6E7B"/>
    <w:rsid w:val="00D13991"/>
    <w:rsid w:val="00D22DF6"/>
    <w:rsid w:val="00D246AB"/>
    <w:rsid w:val="00D422D0"/>
    <w:rsid w:val="00D46A77"/>
    <w:rsid w:val="00D60E73"/>
    <w:rsid w:val="00D95F13"/>
    <w:rsid w:val="00E02B1E"/>
    <w:rsid w:val="00E84E1E"/>
    <w:rsid w:val="00EA664D"/>
    <w:rsid w:val="00EA6AF8"/>
    <w:rsid w:val="00EE19DC"/>
    <w:rsid w:val="00F05EF0"/>
    <w:rsid w:val="00F15544"/>
    <w:rsid w:val="00F260B7"/>
    <w:rsid w:val="00F43AD6"/>
    <w:rsid w:val="00F53BDF"/>
    <w:rsid w:val="00F62662"/>
    <w:rsid w:val="00F7165F"/>
    <w:rsid w:val="00FD5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BE88"/>
  <w15:chartTrackingRefBased/>
  <w15:docId w15:val="{C8A18CCE-7D02-4AFA-B7F3-4517B4E5B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7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3BB2"/>
    <w:rPr>
      <w:color w:val="0563C1" w:themeColor="hyperlink"/>
      <w:u w:val="single"/>
    </w:rPr>
  </w:style>
  <w:style w:type="character" w:styleId="UnresolvedMention">
    <w:name w:val="Unresolved Mention"/>
    <w:basedOn w:val="DefaultParagraphFont"/>
    <w:uiPriority w:val="99"/>
    <w:semiHidden/>
    <w:unhideWhenUsed/>
    <w:rsid w:val="009C3BB2"/>
    <w:rPr>
      <w:color w:val="605E5C"/>
      <w:shd w:val="clear" w:color="auto" w:fill="E1DFDD"/>
    </w:rPr>
  </w:style>
  <w:style w:type="character" w:styleId="Emphasis">
    <w:name w:val="Emphasis"/>
    <w:basedOn w:val="DefaultParagraphFont"/>
    <w:uiPriority w:val="20"/>
    <w:qFormat/>
    <w:rsid w:val="00A945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50992">
      <w:bodyDiv w:val="1"/>
      <w:marLeft w:val="0"/>
      <w:marRight w:val="0"/>
      <w:marTop w:val="0"/>
      <w:marBottom w:val="0"/>
      <w:divBdr>
        <w:top w:val="none" w:sz="0" w:space="0" w:color="auto"/>
        <w:left w:val="none" w:sz="0" w:space="0" w:color="auto"/>
        <w:bottom w:val="none" w:sz="0" w:space="0" w:color="auto"/>
        <w:right w:val="none" w:sz="0" w:space="0" w:color="auto"/>
      </w:divBdr>
    </w:div>
    <w:div w:id="464857159">
      <w:bodyDiv w:val="1"/>
      <w:marLeft w:val="0"/>
      <w:marRight w:val="0"/>
      <w:marTop w:val="0"/>
      <w:marBottom w:val="0"/>
      <w:divBdr>
        <w:top w:val="none" w:sz="0" w:space="0" w:color="auto"/>
        <w:left w:val="none" w:sz="0" w:space="0" w:color="auto"/>
        <w:bottom w:val="none" w:sz="0" w:space="0" w:color="auto"/>
        <w:right w:val="none" w:sz="0" w:space="0" w:color="auto"/>
      </w:divBdr>
    </w:div>
    <w:div w:id="604462175">
      <w:bodyDiv w:val="1"/>
      <w:marLeft w:val="0"/>
      <w:marRight w:val="0"/>
      <w:marTop w:val="0"/>
      <w:marBottom w:val="0"/>
      <w:divBdr>
        <w:top w:val="none" w:sz="0" w:space="0" w:color="auto"/>
        <w:left w:val="none" w:sz="0" w:space="0" w:color="auto"/>
        <w:bottom w:val="none" w:sz="0" w:space="0" w:color="auto"/>
        <w:right w:val="none" w:sz="0" w:space="0" w:color="auto"/>
      </w:divBdr>
    </w:div>
    <w:div w:id="631374588">
      <w:bodyDiv w:val="1"/>
      <w:marLeft w:val="0"/>
      <w:marRight w:val="0"/>
      <w:marTop w:val="0"/>
      <w:marBottom w:val="0"/>
      <w:divBdr>
        <w:top w:val="none" w:sz="0" w:space="0" w:color="auto"/>
        <w:left w:val="none" w:sz="0" w:space="0" w:color="auto"/>
        <w:bottom w:val="none" w:sz="0" w:space="0" w:color="auto"/>
        <w:right w:val="none" w:sz="0" w:space="0" w:color="auto"/>
      </w:divBdr>
    </w:div>
    <w:div w:id="698312799">
      <w:bodyDiv w:val="1"/>
      <w:marLeft w:val="0"/>
      <w:marRight w:val="0"/>
      <w:marTop w:val="0"/>
      <w:marBottom w:val="0"/>
      <w:divBdr>
        <w:top w:val="none" w:sz="0" w:space="0" w:color="auto"/>
        <w:left w:val="none" w:sz="0" w:space="0" w:color="auto"/>
        <w:bottom w:val="none" w:sz="0" w:space="0" w:color="auto"/>
        <w:right w:val="none" w:sz="0" w:space="0" w:color="auto"/>
      </w:divBdr>
    </w:div>
    <w:div w:id="739209472">
      <w:bodyDiv w:val="1"/>
      <w:marLeft w:val="0"/>
      <w:marRight w:val="0"/>
      <w:marTop w:val="0"/>
      <w:marBottom w:val="0"/>
      <w:divBdr>
        <w:top w:val="none" w:sz="0" w:space="0" w:color="auto"/>
        <w:left w:val="none" w:sz="0" w:space="0" w:color="auto"/>
        <w:bottom w:val="none" w:sz="0" w:space="0" w:color="auto"/>
        <w:right w:val="none" w:sz="0" w:space="0" w:color="auto"/>
      </w:divBdr>
    </w:div>
    <w:div w:id="856699644">
      <w:bodyDiv w:val="1"/>
      <w:marLeft w:val="0"/>
      <w:marRight w:val="0"/>
      <w:marTop w:val="0"/>
      <w:marBottom w:val="0"/>
      <w:divBdr>
        <w:top w:val="none" w:sz="0" w:space="0" w:color="auto"/>
        <w:left w:val="none" w:sz="0" w:space="0" w:color="auto"/>
        <w:bottom w:val="none" w:sz="0" w:space="0" w:color="auto"/>
        <w:right w:val="none" w:sz="0" w:space="0" w:color="auto"/>
      </w:divBdr>
    </w:div>
    <w:div w:id="1411467407">
      <w:bodyDiv w:val="1"/>
      <w:marLeft w:val="0"/>
      <w:marRight w:val="0"/>
      <w:marTop w:val="0"/>
      <w:marBottom w:val="0"/>
      <w:divBdr>
        <w:top w:val="none" w:sz="0" w:space="0" w:color="auto"/>
        <w:left w:val="none" w:sz="0" w:space="0" w:color="auto"/>
        <w:bottom w:val="none" w:sz="0" w:space="0" w:color="auto"/>
        <w:right w:val="none" w:sz="0" w:space="0" w:color="auto"/>
      </w:divBdr>
    </w:div>
    <w:div w:id="1488935553">
      <w:bodyDiv w:val="1"/>
      <w:marLeft w:val="0"/>
      <w:marRight w:val="0"/>
      <w:marTop w:val="0"/>
      <w:marBottom w:val="0"/>
      <w:divBdr>
        <w:top w:val="none" w:sz="0" w:space="0" w:color="auto"/>
        <w:left w:val="none" w:sz="0" w:space="0" w:color="auto"/>
        <w:bottom w:val="none" w:sz="0" w:space="0" w:color="auto"/>
        <w:right w:val="none" w:sz="0" w:space="0" w:color="auto"/>
      </w:divBdr>
      <w:divsChild>
        <w:div w:id="1407996751">
          <w:marLeft w:val="0"/>
          <w:marRight w:val="0"/>
          <w:marTop w:val="0"/>
          <w:marBottom w:val="0"/>
          <w:divBdr>
            <w:top w:val="single" w:sz="2" w:space="0" w:color="D9D9E3"/>
            <w:left w:val="single" w:sz="2" w:space="0" w:color="D9D9E3"/>
            <w:bottom w:val="single" w:sz="2" w:space="0" w:color="D9D9E3"/>
            <w:right w:val="single" w:sz="2" w:space="0" w:color="D9D9E3"/>
          </w:divBdr>
          <w:divsChild>
            <w:div w:id="13578205">
              <w:marLeft w:val="0"/>
              <w:marRight w:val="0"/>
              <w:marTop w:val="0"/>
              <w:marBottom w:val="0"/>
              <w:divBdr>
                <w:top w:val="single" w:sz="2" w:space="0" w:color="D9D9E3"/>
                <w:left w:val="single" w:sz="2" w:space="0" w:color="D9D9E3"/>
                <w:bottom w:val="single" w:sz="2" w:space="0" w:color="D9D9E3"/>
                <w:right w:val="single" w:sz="2" w:space="0" w:color="D9D9E3"/>
              </w:divBdr>
              <w:divsChild>
                <w:div w:id="1896162233">
                  <w:marLeft w:val="0"/>
                  <w:marRight w:val="0"/>
                  <w:marTop w:val="0"/>
                  <w:marBottom w:val="0"/>
                  <w:divBdr>
                    <w:top w:val="single" w:sz="2" w:space="0" w:color="D9D9E3"/>
                    <w:left w:val="single" w:sz="2" w:space="0" w:color="D9D9E3"/>
                    <w:bottom w:val="single" w:sz="2" w:space="0" w:color="D9D9E3"/>
                    <w:right w:val="single" w:sz="2" w:space="0" w:color="D9D9E3"/>
                  </w:divBdr>
                  <w:divsChild>
                    <w:div w:id="1853717642">
                      <w:marLeft w:val="0"/>
                      <w:marRight w:val="0"/>
                      <w:marTop w:val="0"/>
                      <w:marBottom w:val="0"/>
                      <w:divBdr>
                        <w:top w:val="single" w:sz="2" w:space="0" w:color="D9D9E3"/>
                        <w:left w:val="single" w:sz="2" w:space="0" w:color="D9D9E3"/>
                        <w:bottom w:val="single" w:sz="2" w:space="0" w:color="D9D9E3"/>
                        <w:right w:val="single" w:sz="2" w:space="0" w:color="D9D9E3"/>
                      </w:divBdr>
                      <w:divsChild>
                        <w:div w:id="829760097">
                          <w:marLeft w:val="0"/>
                          <w:marRight w:val="0"/>
                          <w:marTop w:val="0"/>
                          <w:marBottom w:val="0"/>
                          <w:divBdr>
                            <w:top w:val="single" w:sz="2" w:space="0" w:color="D9D9E3"/>
                            <w:left w:val="single" w:sz="2" w:space="0" w:color="D9D9E3"/>
                            <w:bottom w:val="single" w:sz="2" w:space="0" w:color="D9D9E3"/>
                            <w:right w:val="single" w:sz="2" w:space="0" w:color="D9D9E3"/>
                          </w:divBdr>
                          <w:divsChild>
                            <w:div w:id="246155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760760587">
                                  <w:marLeft w:val="0"/>
                                  <w:marRight w:val="0"/>
                                  <w:marTop w:val="0"/>
                                  <w:marBottom w:val="0"/>
                                  <w:divBdr>
                                    <w:top w:val="single" w:sz="2" w:space="0" w:color="D9D9E3"/>
                                    <w:left w:val="single" w:sz="2" w:space="0" w:color="D9D9E3"/>
                                    <w:bottom w:val="single" w:sz="2" w:space="0" w:color="D9D9E3"/>
                                    <w:right w:val="single" w:sz="2" w:space="0" w:color="D9D9E3"/>
                                  </w:divBdr>
                                  <w:divsChild>
                                    <w:div w:id="2081322976">
                                      <w:marLeft w:val="0"/>
                                      <w:marRight w:val="0"/>
                                      <w:marTop w:val="0"/>
                                      <w:marBottom w:val="0"/>
                                      <w:divBdr>
                                        <w:top w:val="single" w:sz="2" w:space="0" w:color="D9D9E3"/>
                                        <w:left w:val="single" w:sz="2" w:space="0" w:color="D9D9E3"/>
                                        <w:bottom w:val="single" w:sz="2" w:space="0" w:color="D9D9E3"/>
                                        <w:right w:val="single" w:sz="2" w:space="0" w:color="D9D9E3"/>
                                      </w:divBdr>
                                      <w:divsChild>
                                        <w:div w:id="996569096">
                                          <w:marLeft w:val="0"/>
                                          <w:marRight w:val="0"/>
                                          <w:marTop w:val="0"/>
                                          <w:marBottom w:val="0"/>
                                          <w:divBdr>
                                            <w:top w:val="single" w:sz="2" w:space="0" w:color="D9D9E3"/>
                                            <w:left w:val="single" w:sz="2" w:space="0" w:color="D9D9E3"/>
                                            <w:bottom w:val="single" w:sz="2" w:space="0" w:color="D9D9E3"/>
                                            <w:right w:val="single" w:sz="2" w:space="0" w:color="D9D9E3"/>
                                          </w:divBdr>
                                          <w:divsChild>
                                            <w:div w:id="1211262875">
                                              <w:marLeft w:val="0"/>
                                              <w:marRight w:val="0"/>
                                              <w:marTop w:val="0"/>
                                              <w:marBottom w:val="0"/>
                                              <w:divBdr>
                                                <w:top w:val="single" w:sz="2" w:space="0" w:color="D9D9E3"/>
                                                <w:left w:val="single" w:sz="2" w:space="0" w:color="D9D9E3"/>
                                                <w:bottom w:val="single" w:sz="2" w:space="0" w:color="D9D9E3"/>
                                                <w:right w:val="single" w:sz="2" w:space="0" w:color="D9D9E3"/>
                                              </w:divBdr>
                                              <w:divsChild>
                                                <w:div w:id="1696619445">
                                                  <w:marLeft w:val="0"/>
                                                  <w:marRight w:val="0"/>
                                                  <w:marTop w:val="0"/>
                                                  <w:marBottom w:val="0"/>
                                                  <w:divBdr>
                                                    <w:top w:val="single" w:sz="2" w:space="0" w:color="D9D9E3"/>
                                                    <w:left w:val="single" w:sz="2" w:space="0" w:color="D9D9E3"/>
                                                    <w:bottom w:val="single" w:sz="2" w:space="0" w:color="D9D9E3"/>
                                                    <w:right w:val="single" w:sz="2" w:space="0" w:color="D9D9E3"/>
                                                  </w:divBdr>
                                                  <w:divsChild>
                                                    <w:div w:id="686903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64066191">
          <w:marLeft w:val="0"/>
          <w:marRight w:val="0"/>
          <w:marTop w:val="0"/>
          <w:marBottom w:val="0"/>
          <w:divBdr>
            <w:top w:val="none" w:sz="0" w:space="0" w:color="auto"/>
            <w:left w:val="none" w:sz="0" w:space="0" w:color="auto"/>
            <w:bottom w:val="none" w:sz="0" w:space="0" w:color="auto"/>
            <w:right w:val="none" w:sz="0" w:space="0" w:color="auto"/>
          </w:divBdr>
        </w:div>
      </w:divsChild>
    </w:div>
    <w:div w:id="1503930627">
      <w:bodyDiv w:val="1"/>
      <w:marLeft w:val="0"/>
      <w:marRight w:val="0"/>
      <w:marTop w:val="0"/>
      <w:marBottom w:val="0"/>
      <w:divBdr>
        <w:top w:val="none" w:sz="0" w:space="0" w:color="auto"/>
        <w:left w:val="none" w:sz="0" w:space="0" w:color="auto"/>
        <w:bottom w:val="none" w:sz="0" w:space="0" w:color="auto"/>
        <w:right w:val="none" w:sz="0" w:space="0" w:color="auto"/>
      </w:divBdr>
    </w:div>
    <w:div w:id="1511525677">
      <w:bodyDiv w:val="1"/>
      <w:marLeft w:val="0"/>
      <w:marRight w:val="0"/>
      <w:marTop w:val="0"/>
      <w:marBottom w:val="0"/>
      <w:divBdr>
        <w:top w:val="none" w:sz="0" w:space="0" w:color="auto"/>
        <w:left w:val="none" w:sz="0" w:space="0" w:color="auto"/>
        <w:bottom w:val="none" w:sz="0" w:space="0" w:color="auto"/>
        <w:right w:val="none" w:sz="0" w:space="0" w:color="auto"/>
      </w:divBdr>
      <w:divsChild>
        <w:div w:id="698891585">
          <w:marLeft w:val="0"/>
          <w:marRight w:val="0"/>
          <w:marTop w:val="0"/>
          <w:marBottom w:val="0"/>
          <w:divBdr>
            <w:top w:val="single" w:sz="2" w:space="0" w:color="D9D9E3"/>
            <w:left w:val="single" w:sz="2" w:space="0" w:color="D9D9E3"/>
            <w:bottom w:val="single" w:sz="2" w:space="0" w:color="D9D9E3"/>
            <w:right w:val="single" w:sz="2" w:space="0" w:color="D9D9E3"/>
          </w:divBdr>
          <w:divsChild>
            <w:div w:id="1338843243">
              <w:marLeft w:val="0"/>
              <w:marRight w:val="0"/>
              <w:marTop w:val="0"/>
              <w:marBottom w:val="0"/>
              <w:divBdr>
                <w:top w:val="single" w:sz="2" w:space="0" w:color="D9D9E3"/>
                <w:left w:val="single" w:sz="2" w:space="0" w:color="D9D9E3"/>
                <w:bottom w:val="single" w:sz="2" w:space="0" w:color="D9D9E3"/>
                <w:right w:val="single" w:sz="2" w:space="0" w:color="D9D9E3"/>
              </w:divBdr>
              <w:divsChild>
                <w:div w:id="95097659">
                  <w:marLeft w:val="0"/>
                  <w:marRight w:val="0"/>
                  <w:marTop w:val="0"/>
                  <w:marBottom w:val="0"/>
                  <w:divBdr>
                    <w:top w:val="single" w:sz="2" w:space="0" w:color="D9D9E3"/>
                    <w:left w:val="single" w:sz="2" w:space="0" w:color="D9D9E3"/>
                    <w:bottom w:val="single" w:sz="2" w:space="0" w:color="D9D9E3"/>
                    <w:right w:val="single" w:sz="2" w:space="0" w:color="D9D9E3"/>
                  </w:divBdr>
                  <w:divsChild>
                    <w:div w:id="1277836696">
                      <w:marLeft w:val="0"/>
                      <w:marRight w:val="0"/>
                      <w:marTop w:val="0"/>
                      <w:marBottom w:val="0"/>
                      <w:divBdr>
                        <w:top w:val="single" w:sz="2" w:space="0" w:color="D9D9E3"/>
                        <w:left w:val="single" w:sz="2" w:space="0" w:color="D9D9E3"/>
                        <w:bottom w:val="single" w:sz="2" w:space="0" w:color="D9D9E3"/>
                        <w:right w:val="single" w:sz="2" w:space="0" w:color="D9D9E3"/>
                      </w:divBdr>
                      <w:divsChild>
                        <w:div w:id="87313986">
                          <w:marLeft w:val="0"/>
                          <w:marRight w:val="0"/>
                          <w:marTop w:val="0"/>
                          <w:marBottom w:val="0"/>
                          <w:divBdr>
                            <w:top w:val="single" w:sz="2" w:space="0" w:color="D9D9E3"/>
                            <w:left w:val="single" w:sz="2" w:space="0" w:color="D9D9E3"/>
                            <w:bottom w:val="single" w:sz="2" w:space="0" w:color="D9D9E3"/>
                            <w:right w:val="single" w:sz="2" w:space="0" w:color="D9D9E3"/>
                          </w:divBdr>
                          <w:divsChild>
                            <w:div w:id="1559241327">
                              <w:marLeft w:val="0"/>
                              <w:marRight w:val="0"/>
                              <w:marTop w:val="100"/>
                              <w:marBottom w:val="100"/>
                              <w:divBdr>
                                <w:top w:val="single" w:sz="2" w:space="0" w:color="D9D9E3"/>
                                <w:left w:val="single" w:sz="2" w:space="0" w:color="D9D9E3"/>
                                <w:bottom w:val="single" w:sz="2" w:space="0" w:color="D9D9E3"/>
                                <w:right w:val="single" w:sz="2" w:space="0" w:color="D9D9E3"/>
                              </w:divBdr>
                              <w:divsChild>
                                <w:div w:id="1112045008">
                                  <w:marLeft w:val="0"/>
                                  <w:marRight w:val="0"/>
                                  <w:marTop w:val="0"/>
                                  <w:marBottom w:val="0"/>
                                  <w:divBdr>
                                    <w:top w:val="single" w:sz="2" w:space="0" w:color="D9D9E3"/>
                                    <w:left w:val="single" w:sz="2" w:space="0" w:color="D9D9E3"/>
                                    <w:bottom w:val="single" w:sz="2" w:space="0" w:color="D9D9E3"/>
                                    <w:right w:val="single" w:sz="2" w:space="0" w:color="D9D9E3"/>
                                  </w:divBdr>
                                  <w:divsChild>
                                    <w:div w:id="1956710759">
                                      <w:marLeft w:val="0"/>
                                      <w:marRight w:val="0"/>
                                      <w:marTop w:val="0"/>
                                      <w:marBottom w:val="0"/>
                                      <w:divBdr>
                                        <w:top w:val="single" w:sz="2" w:space="0" w:color="D9D9E3"/>
                                        <w:left w:val="single" w:sz="2" w:space="0" w:color="D9D9E3"/>
                                        <w:bottom w:val="single" w:sz="2" w:space="0" w:color="D9D9E3"/>
                                        <w:right w:val="single" w:sz="2" w:space="0" w:color="D9D9E3"/>
                                      </w:divBdr>
                                      <w:divsChild>
                                        <w:div w:id="2028675614">
                                          <w:marLeft w:val="0"/>
                                          <w:marRight w:val="0"/>
                                          <w:marTop w:val="0"/>
                                          <w:marBottom w:val="0"/>
                                          <w:divBdr>
                                            <w:top w:val="single" w:sz="2" w:space="0" w:color="D9D9E3"/>
                                            <w:left w:val="single" w:sz="2" w:space="0" w:color="D9D9E3"/>
                                            <w:bottom w:val="single" w:sz="2" w:space="0" w:color="D9D9E3"/>
                                            <w:right w:val="single" w:sz="2" w:space="0" w:color="D9D9E3"/>
                                          </w:divBdr>
                                          <w:divsChild>
                                            <w:div w:id="1059089859">
                                              <w:marLeft w:val="0"/>
                                              <w:marRight w:val="0"/>
                                              <w:marTop w:val="0"/>
                                              <w:marBottom w:val="0"/>
                                              <w:divBdr>
                                                <w:top w:val="single" w:sz="2" w:space="0" w:color="D9D9E3"/>
                                                <w:left w:val="single" w:sz="2" w:space="0" w:color="D9D9E3"/>
                                                <w:bottom w:val="single" w:sz="2" w:space="0" w:color="D9D9E3"/>
                                                <w:right w:val="single" w:sz="2" w:space="0" w:color="D9D9E3"/>
                                              </w:divBdr>
                                              <w:divsChild>
                                                <w:div w:id="1602032533">
                                                  <w:marLeft w:val="0"/>
                                                  <w:marRight w:val="0"/>
                                                  <w:marTop w:val="0"/>
                                                  <w:marBottom w:val="0"/>
                                                  <w:divBdr>
                                                    <w:top w:val="single" w:sz="2" w:space="0" w:color="D9D9E3"/>
                                                    <w:left w:val="single" w:sz="2" w:space="0" w:color="D9D9E3"/>
                                                    <w:bottom w:val="single" w:sz="2" w:space="0" w:color="D9D9E3"/>
                                                    <w:right w:val="single" w:sz="2" w:space="0" w:color="D9D9E3"/>
                                                  </w:divBdr>
                                                  <w:divsChild>
                                                    <w:div w:id="954212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9244844">
          <w:marLeft w:val="0"/>
          <w:marRight w:val="0"/>
          <w:marTop w:val="0"/>
          <w:marBottom w:val="0"/>
          <w:divBdr>
            <w:top w:val="none" w:sz="0" w:space="0" w:color="auto"/>
            <w:left w:val="none" w:sz="0" w:space="0" w:color="auto"/>
            <w:bottom w:val="none" w:sz="0" w:space="0" w:color="auto"/>
            <w:right w:val="none" w:sz="0" w:space="0" w:color="auto"/>
          </w:divBdr>
        </w:div>
      </w:divsChild>
    </w:div>
    <w:div w:id="1551189499">
      <w:bodyDiv w:val="1"/>
      <w:marLeft w:val="0"/>
      <w:marRight w:val="0"/>
      <w:marTop w:val="0"/>
      <w:marBottom w:val="0"/>
      <w:divBdr>
        <w:top w:val="none" w:sz="0" w:space="0" w:color="auto"/>
        <w:left w:val="none" w:sz="0" w:space="0" w:color="auto"/>
        <w:bottom w:val="none" w:sz="0" w:space="0" w:color="auto"/>
        <w:right w:val="none" w:sz="0" w:space="0" w:color="auto"/>
      </w:divBdr>
    </w:div>
    <w:div w:id="1637491740">
      <w:bodyDiv w:val="1"/>
      <w:marLeft w:val="0"/>
      <w:marRight w:val="0"/>
      <w:marTop w:val="0"/>
      <w:marBottom w:val="0"/>
      <w:divBdr>
        <w:top w:val="none" w:sz="0" w:space="0" w:color="auto"/>
        <w:left w:val="none" w:sz="0" w:space="0" w:color="auto"/>
        <w:bottom w:val="none" w:sz="0" w:space="0" w:color="auto"/>
        <w:right w:val="none" w:sz="0" w:space="0" w:color="auto"/>
      </w:divBdr>
      <w:divsChild>
        <w:div w:id="123887424">
          <w:marLeft w:val="0"/>
          <w:marRight w:val="0"/>
          <w:marTop w:val="0"/>
          <w:marBottom w:val="0"/>
          <w:divBdr>
            <w:top w:val="single" w:sz="2" w:space="0" w:color="D9D9E3"/>
            <w:left w:val="single" w:sz="2" w:space="0" w:color="D9D9E3"/>
            <w:bottom w:val="single" w:sz="2" w:space="0" w:color="D9D9E3"/>
            <w:right w:val="single" w:sz="2" w:space="0" w:color="D9D9E3"/>
          </w:divBdr>
          <w:divsChild>
            <w:div w:id="545915053">
              <w:marLeft w:val="0"/>
              <w:marRight w:val="0"/>
              <w:marTop w:val="0"/>
              <w:marBottom w:val="0"/>
              <w:divBdr>
                <w:top w:val="single" w:sz="2" w:space="0" w:color="D9D9E3"/>
                <w:left w:val="single" w:sz="2" w:space="0" w:color="D9D9E3"/>
                <w:bottom w:val="single" w:sz="2" w:space="0" w:color="D9D9E3"/>
                <w:right w:val="single" w:sz="2" w:space="0" w:color="D9D9E3"/>
              </w:divBdr>
              <w:divsChild>
                <w:div w:id="366637842">
                  <w:marLeft w:val="0"/>
                  <w:marRight w:val="0"/>
                  <w:marTop w:val="0"/>
                  <w:marBottom w:val="0"/>
                  <w:divBdr>
                    <w:top w:val="single" w:sz="2" w:space="0" w:color="D9D9E3"/>
                    <w:left w:val="single" w:sz="2" w:space="0" w:color="D9D9E3"/>
                    <w:bottom w:val="single" w:sz="2" w:space="0" w:color="D9D9E3"/>
                    <w:right w:val="single" w:sz="2" w:space="0" w:color="D9D9E3"/>
                  </w:divBdr>
                  <w:divsChild>
                    <w:div w:id="1179009499">
                      <w:marLeft w:val="0"/>
                      <w:marRight w:val="0"/>
                      <w:marTop w:val="0"/>
                      <w:marBottom w:val="0"/>
                      <w:divBdr>
                        <w:top w:val="single" w:sz="2" w:space="0" w:color="D9D9E3"/>
                        <w:left w:val="single" w:sz="2" w:space="0" w:color="D9D9E3"/>
                        <w:bottom w:val="single" w:sz="2" w:space="0" w:color="D9D9E3"/>
                        <w:right w:val="single" w:sz="2" w:space="0" w:color="D9D9E3"/>
                      </w:divBdr>
                      <w:divsChild>
                        <w:div w:id="1562248878">
                          <w:marLeft w:val="0"/>
                          <w:marRight w:val="0"/>
                          <w:marTop w:val="0"/>
                          <w:marBottom w:val="0"/>
                          <w:divBdr>
                            <w:top w:val="single" w:sz="2" w:space="0" w:color="D9D9E3"/>
                            <w:left w:val="single" w:sz="2" w:space="0" w:color="D9D9E3"/>
                            <w:bottom w:val="single" w:sz="2" w:space="0" w:color="D9D9E3"/>
                            <w:right w:val="single" w:sz="2" w:space="0" w:color="D9D9E3"/>
                          </w:divBdr>
                          <w:divsChild>
                            <w:div w:id="1885874191">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293042">
                                  <w:marLeft w:val="0"/>
                                  <w:marRight w:val="0"/>
                                  <w:marTop w:val="0"/>
                                  <w:marBottom w:val="0"/>
                                  <w:divBdr>
                                    <w:top w:val="single" w:sz="2" w:space="0" w:color="D9D9E3"/>
                                    <w:left w:val="single" w:sz="2" w:space="0" w:color="D9D9E3"/>
                                    <w:bottom w:val="single" w:sz="2" w:space="0" w:color="D9D9E3"/>
                                    <w:right w:val="single" w:sz="2" w:space="0" w:color="D9D9E3"/>
                                  </w:divBdr>
                                  <w:divsChild>
                                    <w:div w:id="1647197003">
                                      <w:marLeft w:val="0"/>
                                      <w:marRight w:val="0"/>
                                      <w:marTop w:val="0"/>
                                      <w:marBottom w:val="0"/>
                                      <w:divBdr>
                                        <w:top w:val="single" w:sz="2" w:space="0" w:color="D9D9E3"/>
                                        <w:left w:val="single" w:sz="2" w:space="0" w:color="D9D9E3"/>
                                        <w:bottom w:val="single" w:sz="2" w:space="0" w:color="D9D9E3"/>
                                        <w:right w:val="single" w:sz="2" w:space="0" w:color="D9D9E3"/>
                                      </w:divBdr>
                                      <w:divsChild>
                                        <w:div w:id="1506894951">
                                          <w:marLeft w:val="0"/>
                                          <w:marRight w:val="0"/>
                                          <w:marTop w:val="0"/>
                                          <w:marBottom w:val="0"/>
                                          <w:divBdr>
                                            <w:top w:val="single" w:sz="2" w:space="0" w:color="D9D9E3"/>
                                            <w:left w:val="single" w:sz="2" w:space="0" w:color="D9D9E3"/>
                                            <w:bottom w:val="single" w:sz="2" w:space="0" w:color="D9D9E3"/>
                                            <w:right w:val="single" w:sz="2" w:space="0" w:color="D9D9E3"/>
                                          </w:divBdr>
                                          <w:divsChild>
                                            <w:div w:id="701053088">
                                              <w:marLeft w:val="0"/>
                                              <w:marRight w:val="0"/>
                                              <w:marTop w:val="0"/>
                                              <w:marBottom w:val="0"/>
                                              <w:divBdr>
                                                <w:top w:val="single" w:sz="2" w:space="0" w:color="D9D9E3"/>
                                                <w:left w:val="single" w:sz="2" w:space="0" w:color="D9D9E3"/>
                                                <w:bottom w:val="single" w:sz="2" w:space="0" w:color="D9D9E3"/>
                                                <w:right w:val="single" w:sz="2" w:space="0" w:color="D9D9E3"/>
                                              </w:divBdr>
                                              <w:divsChild>
                                                <w:div w:id="1300113639">
                                                  <w:marLeft w:val="0"/>
                                                  <w:marRight w:val="0"/>
                                                  <w:marTop w:val="0"/>
                                                  <w:marBottom w:val="0"/>
                                                  <w:divBdr>
                                                    <w:top w:val="single" w:sz="2" w:space="0" w:color="D9D9E3"/>
                                                    <w:left w:val="single" w:sz="2" w:space="0" w:color="D9D9E3"/>
                                                    <w:bottom w:val="single" w:sz="2" w:space="0" w:color="D9D9E3"/>
                                                    <w:right w:val="single" w:sz="2" w:space="0" w:color="D9D9E3"/>
                                                  </w:divBdr>
                                                  <w:divsChild>
                                                    <w:div w:id="2041973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4625741">
          <w:marLeft w:val="0"/>
          <w:marRight w:val="0"/>
          <w:marTop w:val="0"/>
          <w:marBottom w:val="0"/>
          <w:divBdr>
            <w:top w:val="none" w:sz="0" w:space="0" w:color="auto"/>
            <w:left w:val="none" w:sz="0" w:space="0" w:color="auto"/>
            <w:bottom w:val="none" w:sz="0" w:space="0" w:color="auto"/>
            <w:right w:val="none" w:sz="0" w:space="0" w:color="auto"/>
          </w:divBdr>
        </w:div>
      </w:divsChild>
    </w:div>
    <w:div w:id="1642735281">
      <w:bodyDiv w:val="1"/>
      <w:marLeft w:val="0"/>
      <w:marRight w:val="0"/>
      <w:marTop w:val="0"/>
      <w:marBottom w:val="0"/>
      <w:divBdr>
        <w:top w:val="none" w:sz="0" w:space="0" w:color="auto"/>
        <w:left w:val="none" w:sz="0" w:space="0" w:color="auto"/>
        <w:bottom w:val="none" w:sz="0" w:space="0" w:color="auto"/>
        <w:right w:val="none" w:sz="0" w:space="0" w:color="auto"/>
      </w:divBdr>
    </w:div>
    <w:div w:id="1807430444">
      <w:bodyDiv w:val="1"/>
      <w:marLeft w:val="0"/>
      <w:marRight w:val="0"/>
      <w:marTop w:val="0"/>
      <w:marBottom w:val="0"/>
      <w:divBdr>
        <w:top w:val="none" w:sz="0" w:space="0" w:color="auto"/>
        <w:left w:val="none" w:sz="0" w:space="0" w:color="auto"/>
        <w:bottom w:val="none" w:sz="0" w:space="0" w:color="auto"/>
        <w:right w:val="none" w:sz="0" w:space="0" w:color="auto"/>
      </w:divBdr>
    </w:div>
    <w:div w:id="2116436970">
      <w:bodyDiv w:val="1"/>
      <w:marLeft w:val="0"/>
      <w:marRight w:val="0"/>
      <w:marTop w:val="0"/>
      <w:marBottom w:val="0"/>
      <w:divBdr>
        <w:top w:val="none" w:sz="0" w:space="0" w:color="auto"/>
        <w:left w:val="none" w:sz="0" w:space="0" w:color="auto"/>
        <w:bottom w:val="none" w:sz="0" w:space="0" w:color="auto"/>
        <w:right w:val="none" w:sz="0" w:space="0" w:color="auto"/>
      </w:divBdr>
    </w:div>
    <w:div w:id="214264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A887B-3DDC-4EE9-8697-739FE35F2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3892</Words>
  <Characters>22189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HALL (Maes Y Morfa Primary Community School)</dc:creator>
  <cp:keywords/>
  <dc:description/>
  <cp:lastModifiedBy>Tracy Hall (1302143)</cp:lastModifiedBy>
  <cp:revision>2</cp:revision>
  <dcterms:created xsi:type="dcterms:W3CDTF">2024-02-20T20:04:00Z</dcterms:created>
  <dcterms:modified xsi:type="dcterms:W3CDTF">2024-02-20T20:04:00Z</dcterms:modified>
</cp:coreProperties>
</file>