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909384002"/>
        <w:docPartObj>
          <w:docPartGallery w:val="Cover Pages"/>
          <w:docPartUnique/>
        </w:docPartObj>
      </w:sdtPr>
      <w:sdtEndPr>
        <w:rPr>
          <w:rFonts w:ascii="Times New Roman" w:eastAsia="Times New Roman" w:hAnsi="Times New Roman" w:cs="Times New Roman"/>
          <w:color w:val="auto"/>
          <w:sz w:val="20"/>
          <w:szCs w:val="20"/>
          <w:lang w:eastAsia="en-GB"/>
        </w:rPr>
      </w:sdtEndPr>
      <w:sdtContent>
        <w:p w14:paraId="070005D9" w14:textId="2385F3CA" w:rsidR="00A87CAE" w:rsidRDefault="00A87CAE">
          <w:pPr>
            <w:pStyle w:val="NoSpacing"/>
            <w:spacing w:before="1540" w:after="240"/>
            <w:jc w:val="center"/>
            <w:rPr>
              <w:color w:val="4F81BD" w:themeColor="accent1"/>
            </w:rPr>
          </w:pPr>
          <w:r>
            <w:rPr>
              <w:noProof/>
              <w:color w:val="4F81BD" w:themeColor="accent1"/>
            </w:rPr>
            <w:drawing>
              <wp:inline distT="0" distB="0" distL="0" distR="0" wp14:anchorId="46802BF3" wp14:editId="3E22F2C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lang w:eastAsia="en-GB"/>
            </w:rPr>
            <w:alias w:val="Title"/>
            <w:tag w:val=""/>
            <w:id w:val="1735040861"/>
            <w:placeholder>
              <w:docPart w:val="322C7F8D0FA446429461B605C3989023"/>
            </w:placeholder>
            <w:dataBinding w:prefixMappings="xmlns:ns0='http://purl.org/dc/elements/1.1/' xmlns:ns1='http://schemas.openxmlformats.org/package/2006/metadata/core-properties' " w:xpath="/ns1:coreProperties[1]/ns0:title[1]" w:storeItemID="{6C3C8BC8-F283-45AE-878A-BAB7291924A1}"/>
            <w:text/>
          </w:sdtPr>
          <w:sdtContent>
            <w:p w14:paraId="26ED0CE8" w14:textId="00F79606" w:rsidR="00A87CAE" w:rsidRDefault="00A82B13">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lang w:eastAsia="en-GB"/>
                </w:rPr>
                <w:t>Estimating State of Health (SOH) and Remaining useful life (RUL) of Lithium-Ion Batteries: A Data-Driven Approach</w:t>
              </w:r>
            </w:p>
          </w:sdtContent>
        </w:sdt>
        <w:sdt>
          <w:sdtPr>
            <w:rPr>
              <w:color w:val="4F81BD" w:themeColor="accent1"/>
              <w:sz w:val="28"/>
              <w:szCs w:val="28"/>
            </w:rPr>
            <w:alias w:val="Subtitle"/>
            <w:tag w:val=""/>
            <w:id w:val="328029620"/>
            <w:placeholder>
              <w:docPart w:val="86C7258F4C3E49CD96F2C9897EB65A9D"/>
            </w:placeholder>
            <w:dataBinding w:prefixMappings="xmlns:ns0='http://purl.org/dc/elements/1.1/' xmlns:ns1='http://schemas.openxmlformats.org/package/2006/metadata/core-properties' " w:xpath="/ns1:coreProperties[1]/ns0:subject[1]" w:storeItemID="{6C3C8BC8-F283-45AE-878A-BAB7291924A1}"/>
            <w:text/>
          </w:sdtPr>
          <w:sdtContent>
            <w:p w14:paraId="6F14E729" w14:textId="01D2984F" w:rsidR="00A87CAE" w:rsidRDefault="00EB7747">
              <w:pPr>
                <w:pStyle w:val="NoSpacing"/>
                <w:jc w:val="center"/>
                <w:rPr>
                  <w:color w:val="4F81BD" w:themeColor="accent1"/>
                  <w:sz w:val="28"/>
                  <w:szCs w:val="28"/>
                </w:rPr>
              </w:pPr>
              <w:r>
                <w:rPr>
                  <w:color w:val="4F81BD" w:themeColor="accent1"/>
                  <w:sz w:val="28"/>
                  <w:szCs w:val="28"/>
                </w:rPr>
                <w:t>Sameeran Raveenthiran</w:t>
              </w:r>
            </w:p>
          </w:sdtContent>
        </w:sdt>
        <w:p w14:paraId="0FF509A8" w14:textId="77777777" w:rsidR="00A87CAE" w:rsidRDefault="00A87CAE">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5DC88C8A" wp14:editId="71C47893">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4T00:00:00Z">
                                    <w:dateFormat w:val="MMMM d, yyyy"/>
                                    <w:lid w:val="en-US"/>
                                    <w:storeMappedDataAs w:val="dateTime"/>
                                    <w:calendar w:val="gregorian"/>
                                  </w:date>
                                </w:sdtPr>
                                <w:sdtContent>
                                  <w:p w14:paraId="0735C589" w14:textId="596549DC" w:rsidR="00A87CAE" w:rsidRDefault="00EB7747">
                                    <w:pPr>
                                      <w:pStyle w:val="NoSpacing"/>
                                      <w:spacing w:after="40"/>
                                      <w:jc w:val="center"/>
                                      <w:rPr>
                                        <w:caps/>
                                        <w:color w:val="4F81BD" w:themeColor="accent1"/>
                                        <w:sz w:val="28"/>
                                        <w:szCs w:val="28"/>
                                      </w:rPr>
                                    </w:pPr>
                                    <w:r>
                                      <w:rPr>
                                        <w:caps/>
                                        <w:color w:val="4F81BD" w:themeColor="accent1"/>
                                        <w:sz w:val="28"/>
                                        <w:szCs w:val="28"/>
                                      </w:rPr>
                                      <w:t>April 24, 2024</w:t>
                                    </w:r>
                                  </w:p>
                                </w:sdtContent>
                              </w:sdt>
                              <w:p w14:paraId="34E7BC5D" w14:textId="3990425C" w:rsidR="00A87CAE" w:rsidRDefault="00A87CAE">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EB7747">
                                      <w:rPr>
                                        <w:caps/>
                                        <w:color w:val="4F81BD" w:themeColor="accent1"/>
                                      </w:rPr>
                                      <w:t xml:space="preserve">     </w:t>
                                    </w:r>
                                  </w:sdtContent>
                                </w:sdt>
                              </w:p>
                              <w:p w14:paraId="3931F9FA" w14:textId="79688D73" w:rsidR="00A87CAE" w:rsidRDefault="00A87CAE">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B7747">
                                      <w:rPr>
                                        <w:color w:val="4F81BD" w:themeColor="accent1"/>
                                      </w:rPr>
                                      <w:t>Independent Project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DC88C8A"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4T00:00:00Z">
                              <w:dateFormat w:val="MMMM d, yyyy"/>
                              <w:lid w:val="en-US"/>
                              <w:storeMappedDataAs w:val="dateTime"/>
                              <w:calendar w:val="gregorian"/>
                            </w:date>
                          </w:sdtPr>
                          <w:sdtContent>
                            <w:p w14:paraId="0735C589" w14:textId="596549DC" w:rsidR="00A87CAE" w:rsidRDefault="00EB7747">
                              <w:pPr>
                                <w:pStyle w:val="NoSpacing"/>
                                <w:spacing w:after="40"/>
                                <w:jc w:val="center"/>
                                <w:rPr>
                                  <w:caps/>
                                  <w:color w:val="4F81BD" w:themeColor="accent1"/>
                                  <w:sz w:val="28"/>
                                  <w:szCs w:val="28"/>
                                </w:rPr>
                              </w:pPr>
                              <w:r>
                                <w:rPr>
                                  <w:caps/>
                                  <w:color w:val="4F81BD" w:themeColor="accent1"/>
                                  <w:sz w:val="28"/>
                                  <w:szCs w:val="28"/>
                                </w:rPr>
                                <w:t>April 24, 2024</w:t>
                              </w:r>
                            </w:p>
                          </w:sdtContent>
                        </w:sdt>
                        <w:p w14:paraId="34E7BC5D" w14:textId="3990425C" w:rsidR="00A87CAE" w:rsidRDefault="00A87CAE">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EB7747">
                                <w:rPr>
                                  <w:caps/>
                                  <w:color w:val="4F81BD" w:themeColor="accent1"/>
                                </w:rPr>
                                <w:t xml:space="preserve">     </w:t>
                              </w:r>
                            </w:sdtContent>
                          </w:sdt>
                        </w:p>
                        <w:p w14:paraId="3931F9FA" w14:textId="79688D73" w:rsidR="00A87CAE" w:rsidRDefault="00A87CAE">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B7747">
                                <w:rPr>
                                  <w:color w:val="4F81BD" w:themeColor="accent1"/>
                                </w:rPr>
                                <w:t>Independent Project</w:t>
                              </w:r>
                            </w:sdtContent>
                          </w:sdt>
                        </w:p>
                      </w:txbxContent>
                    </v:textbox>
                    <w10:wrap anchorx="margin" anchory="page"/>
                  </v:shape>
                </w:pict>
              </mc:Fallback>
            </mc:AlternateContent>
          </w:r>
          <w:r>
            <w:rPr>
              <w:noProof/>
              <w:color w:val="4F81BD" w:themeColor="accent1"/>
            </w:rPr>
            <w:drawing>
              <wp:inline distT="0" distB="0" distL="0" distR="0" wp14:anchorId="19529591" wp14:editId="2A2F5D0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1A35D4" w14:textId="7B3400A2" w:rsidR="00A87CAE" w:rsidRDefault="00A87CAE">
          <w:pPr>
            <w:rPr>
              <w:sz w:val="20"/>
              <w:szCs w:val="20"/>
            </w:rPr>
          </w:pPr>
          <w:r>
            <w:rPr>
              <w:sz w:val="20"/>
              <w:szCs w:val="20"/>
            </w:rPr>
            <w:br w:type="page"/>
          </w:r>
        </w:p>
      </w:sdtContent>
    </w:sdt>
    <w:sdt>
      <w:sdtPr>
        <w:id w:val="1598136419"/>
        <w:docPartObj>
          <w:docPartGallery w:val="Table of Contents"/>
          <w:docPartUnique/>
        </w:docPartObj>
      </w:sdtPr>
      <w:sdtEndPr>
        <w:rPr>
          <w:rFonts w:ascii="Times New Roman" w:eastAsia="Times New Roman" w:hAnsi="Times New Roman" w:cs="Times New Roman"/>
          <w:b/>
          <w:bCs/>
          <w:noProof/>
          <w:color w:val="auto"/>
          <w:sz w:val="22"/>
          <w:szCs w:val="22"/>
          <w:lang w:eastAsia="en-GB"/>
        </w:rPr>
      </w:sdtEndPr>
      <w:sdtContent>
        <w:p w14:paraId="6B5DA929" w14:textId="232077CF" w:rsidR="00EB7747" w:rsidRDefault="00EB7747">
          <w:pPr>
            <w:pStyle w:val="TOCHeading"/>
          </w:pPr>
          <w:r>
            <w:t>Contents</w:t>
          </w:r>
        </w:p>
        <w:p w14:paraId="5281CFDE" w14:textId="79FFB467" w:rsidR="00EB7747" w:rsidRDefault="00EB7747">
          <w:pPr>
            <w:pStyle w:val="TOC1"/>
            <w:tabs>
              <w:tab w:val="right" w:leader="dot" w:pos="10460"/>
            </w:tabs>
            <w:rPr>
              <w:rFonts w:asciiTheme="minorHAnsi" w:eastAsiaTheme="minorEastAsia" w:hAnsiTheme="minorHAnsi" w:cstheme="minorBidi"/>
              <w:noProof/>
              <w:kern w:val="2"/>
              <w:sz w:val="24"/>
              <w:szCs w:val="24"/>
              <w:lang w:val="en-GB"/>
              <w14:ligatures w14:val="standardContextual"/>
            </w:rPr>
          </w:pPr>
          <w:r>
            <w:fldChar w:fldCharType="begin"/>
          </w:r>
          <w:r>
            <w:instrText xml:space="preserve"> TOC \o "1-3" \h \z \u </w:instrText>
          </w:r>
          <w:r>
            <w:fldChar w:fldCharType="separate"/>
          </w:r>
          <w:hyperlink w:anchor="_Toc164859818" w:history="1">
            <w:r w:rsidRPr="000F3489">
              <w:rPr>
                <w:rStyle w:val="Hyperlink"/>
                <w:i/>
                <w:noProof/>
              </w:rPr>
              <w:t xml:space="preserve">Abstract </w:t>
            </w:r>
            <w:r w:rsidRPr="000F3489">
              <w:rPr>
                <w:rStyle w:val="Hyperlink"/>
                <w:noProof/>
              </w:rPr>
              <w:t>–</w:t>
            </w:r>
            <w:r>
              <w:rPr>
                <w:noProof/>
                <w:webHidden/>
              </w:rPr>
              <w:tab/>
            </w:r>
            <w:r>
              <w:rPr>
                <w:noProof/>
                <w:webHidden/>
              </w:rPr>
              <w:fldChar w:fldCharType="begin"/>
            </w:r>
            <w:r>
              <w:rPr>
                <w:noProof/>
                <w:webHidden/>
              </w:rPr>
              <w:instrText xml:space="preserve"> PAGEREF _Toc164859818 \h </w:instrText>
            </w:r>
            <w:r>
              <w:rPr>
                <w:noProof/>
                <w:webHidden/>
              </w:rPr>
            </w:r>
            <w:r>
              <w:rPr>
                <w:noProof/>
                <w:webHidden/>
              </w:rPr>
              <w:fldChar w:fldCharType="separate"/>
            </w:r>
            <w:r>
              <w:rPr>
                <w:noProof/>
                <w:webHidden/>
              </w:rPr>
              <w:t>2</w:t>
            </w:r>
            <w:r>
              <w:rPr>
                <w:noProof/>
                <w:webHidden/>
              </w:rPr>
              <w:fldChar w:fldCharType="end"/>
            </w:r>
          </w:hyperlink>
        </w:p>
        <w:p w14:paraId="59106AF6" w14:textId="77699F33" w:rsidR="00EB7747" w:rsidRDefault="00EB7747">
          <w:pPr>
            <w:pStyle w:val="TOC1"/>
            <w:tabs>
              <w:tab w:val="left" w:pos="480"/>
              <w:tab w:val="right" w:leader="dot" w:pos="10460"/>
            </w:tabs>
            <w:rPr>
              <w:rFonts w:asciiTheme="minorHAnsi" w:eastAsiaTheme="minorEastAsia" w:hAnsiTheme="minorHAnsi" w:cstheme="minorBidi"/>
              <w:noProof/>
              <w:kern w:val="2"/>
              <w:sz w:val="24"/>
              <w:szCs w:val="24"/>
              <w:lang w:val="en-GB"/>
              <w14:ligatures w14:val="standardContextual"/>
            </w:rPr>
          </w:pPr>
          <w:hyperlink w:anchor="_Toc164859819" w:history="1">
            <w:r w:rsidRPr="000F3489">
              <w:rPr>
                <w:rStyle w:val="Hyperlink"/>
                <w:smallCaps/>
                <w:noProof/>
              </w:rPr>
              <w:t>●</w:t>
            </w:r>
            <w:r>
              <w:rPr>
                <w:rFonts w:asciiTheme="minorHAnsi" w:eastAsiaTheme="minorEastAsia" w:hAnsiTheme="minorHAnsi" w:cstheme="minorBidi"/>
                <w:noProof/>
                <w:kern w:val="2"/>
                <w:sz w:val="24"/>
                <w:szCs w:val="24"/>
                <w:lang w:val="en-GB"/>
                <w14:ligatures w14:val="standardContextual"/>
              </w:rPr>
              <w:tab/>
            </w:r>
            <w:r w:rsidRPr="000F3489">
              <w:rPr>
                <w:rStyle w:val="Hyperlink"/>
                <w:smallCaps/>
                <w:noProof/>
              </w:rPr>
              <w:t>Introduction</w:t>
            </w:r>
            <w:r>
              <w:rPr>
                <w:noProof/>
                <w:webHidden/>
              </w:rPr>
              <w:tab/>
            </w:r>
            <w:r>
              <w:rPr>
                <w:noProof/>
                <w:webHidden/>
              </w:rPr>
              <w:fldChar w:fldCharType="begin"/>
            </w:r>
            <w:r>
              <w:rPr>
                <w:noProof/>
                <w:webHidden/>
              </w:rPr>
              <w:instrText xml:space="preserve"> PAGEREF _Toc164859819 \h </w:instrText>
            </w:r>
            <w:r>
              <w:rPr>
                <w:noProof/>
                <w:webHidden/>
              </w:rPr>
            </w:r>
            <w:r>
              <w:rPr>
                <w:noProof/>
                <w:webHidden/>
              </w:rPr>
              <w:fldChar w:fldCharType="separate"/>
            </w:r>
            <w:r>
              <w:rPr>
                <w:noProof/>
                <w:webHidden/>
              </w:rPr>
              <w:t>2</w:t>
            </w:r>
            <w:r>
              <w:rPr>
                <w:noProof/>
                <w:webHidden/>
              </w:rPr>
              <w:fldChar w:fldCharType="end"/>
            </w:r>
          </w:hyperlink>
        </w:p>
        <w:p w14:paraId="65E44E1C" w14:textId="364DE6A7" w:rsidR="00EB7747" w:rsidRDefault="00EB7747">
          <w:pPr>
            <w:pStyle w:val="TOC1"/>
            <w:tabs>
              <w:tab w:val="left" w:pos="480"/>
              <w:tab w:val="right" w:leader="dot" w:pos="10460"/>
            </w:tabs>
            <w:rPr>
              <w:rFonts w:asciiTheme="minorHAnsi" w:eastAsiaTheme="minorEastAsia" w:hAnsiTheme="minorHAnsi" w:cstheme="minorBidi"/>
              <w:noProof/>
              <w:kern w:val="2"/>
              <w:sz w:val="24"/>
              <w:szCs w:val="24"/>
              <w:lang w:val="en-GB"/>
              <w14:ligatures w14:val="standardContextual"/>
            </w:rPr>
          </w:pPr>
          <w:hyperlink w:anchor="_Toc164859820" w:history="1">
            <w:r w:rsidRPr="000F3489">
              <w:rPr>
                <w:rStyle w:val="Hyperlink"/>
                <w:noProof/>
              </w:rPr>
              <w:t>●</w:t>
            </w:r>
            <w:r>
              <w:rPr>
                <w:rFonts w:asciiTheme="minorHAnsi" w:eastAsiaTheme="minorEastAsia" w:hAnsiTheme="minorHAnsi" w:cstheme="minorBidi"/>
                <w:noProof/>
                <w:kern w:val="2"/>
                <w:sz w:val="24"/>
                <w:szCs w:val="24"/>
                <w:lang w:val="en-GB"/>
                <w14:ligatures w14:val="standardContextual"/>
              </w:rPr>
              <w:tab/>
            </w:r>
            <w:r w:rsidRPr="000F3489">
              <w:rPr>
                <w:rStyle w:val="Hyperlink"/>
                <w:noProof/>
              </w:rPr>
              <w:t>Phases of Battery Aging</w:t>
            </w:r>
            <w:r>
              <w:rPr>
                <w:noProof/>
                <w:webHidden/>
              </w:rPr>
              <w:tab/>
            </w:r>
            <w:r>
              <w:rPr>
                <w:noProof/>
                <w:webHidden/>
              </w:rPr>
              <w:fldChar w:fldCharType="begin"/>
            </w:r>
            <w:r>
              <w:rPr>
                <w:noProof/>
                <w:webHidden/>
              </w:rPr>
              <w:instrText xml:space="preserve"> PAGEREF _Toc164859820 \h </w:instrText>
            </w:r>
            <w:r>
              <w:rPr>
                <w:noProof/>
                <w:webHidden/>
              </w:rPr>
            </w:r>
            <w:r>
              <w:rPr>
                <w:noProof/>
                <w:webHidden/>
              </w:rPr>
              <w:fldChar w:fldCharType="separate"/>
            </w:r>
            <w:r>
              <w:rPr>
                <w:noProof/>
                <w:webHidden/>
              </w:rPr>
              <w:t>2</w:t>
            </w:r>
            <w:r>
              <w:rPr>
                <w:noProof/>
                <w:webHidden/>
              </w:rPr>
              <w:fldChar w:fldCharType="end"/>
            </w:r>
          </w:hyperlink>
        </w:p>
        <w:p w14:paraId="029573D9" w14:textId="6C6BA361" w:rsidR="00EB7747" w:rsidRDefault="00EB7747">
          <w:pPr>
            <w:pStyle w:val="TOC1"/>
            <w:tabs>
              <w:tab w:val="left" w:pos="480"/>
              <w:tab w:val="right" w:leader="dot" w:pos="10460"/>
            </w:tabs>
            <w:rPr>
              <w:rFonts w:asciiTheme="minorHAnsi" w:eastAsiaTheme="minorEastAsia" w:hAnsiTheme="minorHAnsi" w:cstheme="minorBidi"/>
              <w:noProof/>
              <w:kern w:val="2"/>
              <w:sz w:val="24"/>
              <w:szCs w:val="24"/>
              <w:lang w:val="en-GB"/>
              <w14:ligatures w14:val="standardContextual"/>
            </w:rPr>
          </w:pPr>
          <w:hyperlink w:anchor="_Toc164859821" w:history="1">
            <w:r w:rsidRPr="000F3489">
              <w:rPr>
                <w:rStyle w:val="Hyperlink"/>
                <w:noProof/>
              </w:rPr>
              <w:t>●</w:t>
            </w:r>
            <w:r>
              <w:rPr>
                <w:rFonts w:asciiTheme="minorHAnsi" w:eastAsiaTheme="minorEastAsia" w:hAnsiTheme="minorHAnsi" w:cstheme="minorBidi"/>
                <w:noProof/>
                <w:kern w:val="2"/>
                <w:sz w:val="24"/>
                <w:szCs w:val="24"/>
                <w:lang w:val="en-GB"/>
                <w14:ligatures w14:val="standardContextual"/>
              </w:rPr>
              <w:tab/>
            </w:r>
            <w:r w:rsidRPr="000F3489">
              <w:rPr>
                <w:rStyle w:val="Hyperlink"/>
                <w:noProof/>
              </w:rPr>
              <w:t>Factors Influencing Battery Performance</w:t>
            </w:r>
            <w:r>
              <w:rPr>
                <w:noProof/>
                <w:webHidden/>
              </w:rPr>
              <w:tab/>
            </w:r>
            <w:r>
              <w:rPr>
                <w:noProof/>
                <w:webHidden/>
              </w:rPr>
              <w:fldChar w:fldCharType="begin"/>
            </w:r>
            <w:r>
              <w:rPr>
                <w:noProof/>
                <w:webHidden/>
              </w:rPr>
              <w:instrText xml:space="preserve"> PAGEREF _Toc164859821 \h </w:instrText>
            </w:r>
            <w:r>
              <w:rPr>
                <w:noProof/>
                <w:webHidden/>
              </w:rPr>
            </w:r>
            <w:r>
              <w:rPr>
                <w:noProof/>
                <w:webHidden/>
              </w:rPr>
              <w:fldChar w:fldCharType="separate"/>
            </w:r>
            <w:r>
              <w:rPr>
                <w:noProof/>
                <w:webHidden/>
              </w:rPr>
              <w:t>3</w:t>
            </w:r>
            <w:r>
              <w:rPr>
                <w:noProof/>
                <w:webHidden/>
              </w:rPr>
              <w:fldChar w:fldCharType="end"/>
            </w:r>
          </w:hyperlink>
        </w:p>
        <w:p w14:paraId="3A89FFFC" w14:textId="5F8AAFCE" w:rsidR="00EB7747" w:rsidRDefault="00EB7747">
          <w:pPr>
            <w:pStyle w:val="TOC1"/>
            <w:tabs>
              <w:tab w:val="left" w:pos="480"/>
              <w:tab w:val="right" w:leader="dot" w:pos="10460"/>
            </w:tabs>
            <w:rPr>
              <w:rFonts w:asciiTheme="minorHAnsi" w:eastAsiaTheme="minorEastAsia" w:hAnsiTheme="minorHAnsi" w:cstheme="minorBidi"/>
              <w:noProof/>
              <w:kern w:val="2"/>
              <w:sz w:val="24"/>
              <w:szCs w:val="24"/>
              <w:lang w:val="en-GB"/>
              <w14:ligatures w14:val="standardContextual"/>
            </w:rPr>
          </w:pPr>
          <w:hyperlink w:anchor="_Toc164859822" w:history="1">
            <w:r w:rsidRPr="000F3489">
              <w:rPr>
                <w:rStyle w:val="Hyperlink"/>
                <w:noProof/>
              </w:rPr>
              <w:t>●</w:t>
            </w:r>
            <w:r>
              <w:rPr>
                <w:rFonts w:asciiTheme="minorHAnsi" w:eastAsiaTheme="minorEastAsia" w:hAnsiTheme="minorHAnsi" w:cstheme="minorBidi"/>
                <w:noProof/>
                <w:kern w:val="2"/>
                <w:sz w:val="24"/>
                <w:szCs w:val="24"/>
                <w:lang w:val="en-GB"/>
                <w14:ligatures w14:val="standardContextual"/>
              </w:rPr>
              <w:tab/>
            </w:r>
            <w:r w:rsidRPr="000F3489">
              <w:rPr>
                <w:rStyle w:val="Hyperlink"/>
                <w:noProof/>
              </w:rPr>
              <w:t>DataSet</w:t>
            </w:r>
            <w:r>
              <w:rPr>
                <w:noProof/>
                <w:webHidden/>
              </w:rPr>
              <w:tab/>
            </w:r>
            <w:r>
              <w:rPr>
                <w:noProof/>
                <w:webHidden/>
              </w:rPr>
              <w:fldChar w:fldCharType="begin"/>
            </w:r>
            <w:r>
              <w:rPr>
                <w:noProof/>
                <w:webHidden/>
              </w:rPr>
              <w:instrText xml:space="preserve"> PAGEREF _Toc164859822 \h </w:instrText>
            </w:r>
            <w:r>
              <w:rPr>
                <w:noProof/>
                <w:webHidden/>
              </w:rPr>
            </w:r>
            <w:r>
              <w:rPr>
                <w:noProof/>
                <w:webHidden/>
              </w:rPr>
              <w:fldChar w:fldCharType="separate"/>
            </w:r>
            <w:r>
              <w:rPr>
                <w:noProof/>
                <w:webHidden/>
              </w:rPr>
              <w:t>3</w:t>
            </w:r>
            <w:r>
              <w:rPr>
                <w:noProof/>
                <w:webHidden/>
              </w:rPr>
              <w:fldChar w:fldCharType="end"/>
            </w:r>
          </w:hyperlink>
        </w:p>
        <w:p w14:paraId="5B2E2A35" w14:textId="09EEAD32" w:rsidR="00EB7747" w:rsidRDefault="00EB7747">
          <w:pPr>
            <w:pStyle w:val="TOC1"/>
            <w:tabs>
              <w:tab w:val="left" w:pos="480"/>
              <w:tab w:val="right" w:leader="dot" w:pos="10460"/>
            </w:tabs>
            <w:rPr>
              <w:rFonts w:asciiTheme="minorHAnsi" w:eastAsiaTheme="minorEastAsia" w:hAnsiTheme="minorHAnsi" w:cstheme="minorBidi"/>
              <w:noProof/>
              <w:kern w:val="2"/>
              <w:sz w:val="24"/>
              <w:szCs w:val="24"/>
              <w:lang w:val="en-GB"/>
              <w14:ligatures w14:val="standardContextual"/>
            </w:rPr>
          </w:pPr>
          <w:hyperlink w:anchor="_Toc164859823" w:history="1">
            <w:r w:rsidRPr="000F3489">
              <w:rPr>
                <w:rStyle w:val="Hyperlink"/>
                <w:noProof/>
              </w:rPr>
              <w:t>●</w:t>
            </w:r>
            <w:r>
              <w:rPr>
                <w:rFonts w:asciiTheme="minorHAnsi" w:eastAsiaTheme="minorEastAsia" w:hAnsiTheme="minorHAnsi" w:cstheme="minorBidi"/>
                <w:noProof/>
                <w:kern w:val="2"/>
                <w:sz w:val="24"/>
                <w:szCs w:val="24"/>
                <w:lang w:val="en-GB"/>
                <w14:ligatures w14:val="standardContextual"/>
              </w:rPr>
              <w:tab/>
            </w:r>
            <w:r w:rsidRPr="000F3489">
              <w:rPr>
                <w:rStyle w:val="Hyperlink"/>
                <w:noProof/>
              </w:rPr>
              <w:t>EDA</w:t>
            </w:r>
            <w:r>
              <w:rPr>
                <w:noProof/>
                <w:webHidden/>
              </w:rPr>
              <w:tab/>
            </w:r>
            <w:r>
              <w:rPr>
                <w:noProof/>
                <w:webHidden/>
              </w:rPr>
              <w:fldChar w:fldCharType="begin"/>
            </w:r>
            <w:r>
              <w:rPr>
                <w:noProof/>
                <w:webHidden/>
              </w:rPr>
              <w:instrText xml:space="preserve"> PAGEREF _Toc164859823 \h </w:instrText>
            </w:r>
            <w:r>
              <w:rPr>
                <w:noProof/>
                <w:webHidden/>
              </w:rPr>
            </w:r>
            <w:r>
              <w:rPr>
                <w:noProof/>
                <w:webHidden/>
              </w:rPr>
              <w:fldChar w:fldCharType="separate"/>
            </w:r>
            <w:r>
              <w:rPr>
                <w:noProof/>
                <w:webHidden/>
              </w:rPr>
              <w:t>5</w:t>
            </w:r>
            <w:r>
              <w:rPr>
                <w:noProof/>
                <w:webHidden/>
              </w:rPr>
              <w:fldChar w:fldCharType="end"/>
            </w:r>
          </w:hyperlink>
        </w:p>
        <w:p w14:paraId="151624EC" w14:textId="1B86CD07" w:rsidR="00EB7747" w:rsidRDefault="00EB7747">
          <w:pPr>
            <w:pStyle w:val="TOC1"/>
            <w:tabs>
              <w:tab w:val="left" w:pos="480"/>
              <w:tab w:val="right" w:leader="dot" w:pos="10460"/>
            </w:tabs>
            <w:rPr>
              <w:rFonts w:asciiTheme="minorHAnsi" w:eastAsiaTheme="minorEastAsia" w:hAnsiTheme="minorHAnsi" w:cstheme="minorBidi"/>
              <w:noProof/>
              <w:kern w:val="2"/>
              <w:sz w:val="24"/>
              <w:szCs w:val="24"/>
              <w:lang w:val="en-GB"/>
              <w14:ligatures w14:val="standardContextual"/>
            </w:rPr>
          </w:pPr>
          <w:hyperlink w:anchor="_Toc164859824" w:history="1">
            <w:r w:rsidRPr="000F3489">
              <w:rPr>
                <w:rStyle w:val="Hyperlink"/>
                <w:noProof/>
              </w:rPr>
              <w:t>●</w:t>
            </w:r>
            <w:r>
              <w:rPr>
                <w:rFonts w:asciiTheme="minorHAnsi" w:eastAsiaTheme="minorEastAsia" w:hAnsiTheme="minorHAnsi" w:cstheme="minorBidi"/>
                <w:noProof/>
                <w:kern w:val="2"/>
                <w:sz w:val="24"/>
                <w:szCs w:val="24"/>
                <w:lang w:val="en-GB"/>
                <w14:ligatures w14:val="standardContextual"/>
              </w:rPr>
              <w:tab/>
            </w:r>
            <w:r w:rsidRPr="000F3489">
              <w:rPr>
                <w:rStyle w:val="Hyperlink"/>
                <w:noProof/>
              </w:rPr>
              <w:t>Modeling</w:t>
            </w:r>
            <w:r>
              <w:rPr>
                <w:noProof/>
                <w:webHidden/>
              </w:rPr>
              <w:tab/>
            </w:r>
            <w:r>
              <w:rPr>
                <w:noProof/>
                <w:webHidden/>
              </w:rPr>
              <w:fldChar w:fldCharType="begin"/>
            </w:r>
            <w:r>
              <w:rPr>
                <w:noProof/>
                <w:webHidden/>
              </w:rPr>
              <w:instrText xml:space="preserve"> PAGEREF _Toc164859824 \h </w:instrText>
            </w:r>
            <w:r>
              <w:rPr>
                <w:noProof/>
                <w:webHidden/>
              </w:rPr>
            </w:r>
            <w:r>
              <w:rPr>
                <w:noProof/>
                <w:webHidden/>
              </w:rPr>
              <w:fldChar w:fldCharType="separate"/>
            </w:r>
            <w:r>
              <w:rPr>
                <w:noProof/>
                <w:webHidden/>
              </w:rPr>
              <w:t>9</w:t>
            </w:r>
            <w:r>
              <w:rPr>
                <w:noProof/>
                <w:webHidden/>
              </w:rPr>
              <w:fldChar w:fldCharType="end"/>
            </w:r>
          </w:hyperlink>
        </w:p>
        <w:p w14:paraId="0D933A45" w14:textId="1AB26CA4" w:rsidR="00EB7747" w:rsidRDefault="00EB7747">
          <w:pPr>
            <w:pStyle w:val="TOC1"/>
            <w:tabs>
              <w:tab w:val="left" w:pos="480"/>
              <w:tab w:val="right" w:leader="dot" w:pos="10460"/>
            </w:tabs>
            <w:rPr>
              <w:rFonts w:asciiTheme="minorHAnsi" w:eastAsiaTheme="minorEastAsia" w:hAnsiTheme="minorHAnsi" w:cstheme="minorBidi"/>
              <w:noProof/>
              <w:kern w:val="2"/>
              <w:sz w:val="24"/>
              <w:szCs w:val="24"/>
              <w:lang w:val="en-GB"/>
              <w14:ligatures w14:val="standardContextual"/>
            </w:rPr>
          </w:pPr>
          <w:hyperlink w:anchor="_Toc164859825" w:history="1">
            <w:r w:rsidRPr="000F3489">
              <w:rPr>
                <w:rStyle w:val="Hyperlink"/>
                <w:noProof/>
              </w:rPr>
              <w:t>●</w:t>
            </w:r>
            <w:r>
              <w:rPr>
                <w:rFonts w:asciiTheme="minorHAnsi" w:eastAsiaTheme="minorEastAsia" w:hAnsiTheme="minorHAnsi" w:cstheme="minorBidi"/>
                <w:noProof/>
                <w:kern w:val="2"/>
                <w:sz w:val="24"/>
                <w:szCs w:val="24"/>
                <w:lang w:val="en-GB"/>
                <w14:ligatures w14:val="standardContextual"/>
              </w:rPr>
              <w:tab/>
            </w:r>
            <w:r w:rsidRPr="000F3489">
              <w:rPr>
                <w:rStyle w:val="Hyperlink"/>
                <w:noProof/>
              </w:rPr>
              <w:t>Conclusion</w:t>
            </w:r>
            <w:r>
              <w:rPr>
                <w:noProof/>
                <w:webHidden/>
              </w:rPr>
              <w:tab/>
            </w:r>
            <w:r>
              <w:rPr>
                <w:noProof/>
                <w:webHidden/>
              </w:rPr>
              <w:fldChar w:fldCharType="begin"/>
            </w:r>
            <w:r>
              <w:rPr>
                <w:noProof/>
                <w:webHidden/>
              </w:rPr>
              <w:instrText xml:space="preserve"> PAGEREF _Toc164859825 \h </w:instrText>
            </w:r>
            <w:r>
              <w:rPr>
                <w:noProof/>
                <w:webHidden/>
              </w:rPr>
            </w:r>
            <w:r>
              <w:rPr>
                <w:noProof/>
                <w:webHidden/>
              </w:rPr>
              <w:fldChar w:fldCharType="separate"/>
            </w:r>
            <w:r>
              <w:rPr>
                <w:noProof/>
                <w:webHidden/>
              </w:rPr>
              <w:t>11</w:t>
            </w:r>
            <w:r>
              <w:rPr>
                <w:noProof/>
                <w:webHidden/>
              </w:rPr>
              <w:fldChar w:fldCharType="end"/>
            </w:r>
          </w:hyperlink>
        </w:p>
        <w:p w14:paraId="642F15F2" w14:textId="02822CF6" w:rsidR="00EB7747" w:rsidRDefault="00EB7747">
          <w:pPr>
            <w:pStyle w:val="TOC1"/>
            <w:tabs>
              <w:tab w:val="left" w:pos="480"/>
              <w:tab w:val="right" w:leader="dot" w:pos="10460"/>
            </w:tabs>
            <w:rPr>
              <w:rFonts w:asciiTheme="minorHAnsi" w:eastAsiaTheme="minorEastAsia" w:hAnsiTheme="minorHAnsi" w:cstheme="minorBidi"/>
              <w:noProof/>
              <w:kern w:val="2"/>
              <w:sz w:val="24"/>
              <w:szCs w:val="24"/>
              <w:lang w:val="en-GB"/>
              <w14:ligatures w14:val="standardContextual"/>
            </w:rPr>
          </w:pPr>
          <w:hyperlink w:anchor="_Toc164859826" w:history="1">
            <w:r w:rsidRPr="000F3489">
              <w:rPr>
                <w:rStyle w:val="Hyperlink"/>
                <w:noProof/>
              </w:rPr>
              <w:t>●</w:t>
            </w:r>
            <w:r>
              <w:rPr>
                <w:rFonts w:asciiTheme="minorHAnsi" w:eastAsiaTheme="minorEastAsia" w:hAnsiTheme="minorHAnsi" w:cstheme="minorBidi"/>
                <w:noProof/>
                <w:kern w:val="2"/>
                <w:sz w:val="24"/>
                <w:szCs w:val="24"/>
                <w:lang w:val="en-GB"/>
                <w14:ligatures w14:val="standardContextual"/>
              </w:rPr>
              <w:tab/>
            </w:r>
            <w:r w:rsidRPr="000F3489">
              <w:rPr>
                <w:rStyle w:val="Hyperlink"/>
                <w:noProof/>
              </w:rPr>
              <w:t>Future Work</w:t>
            </w:r>
            <w:r>
              <w:rPr>
                <w:noProof/>
                <w:webHidden/>
              </w:rPr>
              <w:tab/>
            </w:r>
            <w:r>
              <w:rPr>
                <w:noProof/>
                <w:webHidden/>
              </w:rPr>
              <w:fldChar w:fldCharType="begin"/>
            </w:r>
            <w:r>
              <w:rPr>
                <w:noProof/>
                <w:webHidden/>
              </w:rPr>
              <w:instrText xml:space="preserve"> PAGEREF _Toc164859826 \h </w:instrText>
            </w:r>
            <w:r>
              <w:rPr>
                <w:noProof/>
                <w:webHidden/>
              </w:rPr>
            </w:r>
            <w:r>
              <w:rPr>
                <w:noProof/>
                <w:webHidden/>
              </w:rPr>
              <w:fldChar w:fldCharType="separate"/>
            </w:r>
            <w:r>
              <w:rPr>
                <w:noProof/>
                <w:webHidden/>
              </w:rPr>
              <w:t>12</w:t>
            </w:r>
            <w:r>
              <w:rPr>
                <w:noProof/>
                <w:webHidden/>
              </w:rPr>
              <w:fldChar w:fldCharType="end"/>
            </w:r>
          </w:hyperlink>
        </w:p>
        <w:p w14:paraId="7D69DD8C" w14:textId="7A2E50E4" w:rsidR="00EB7747" w:rsidRDefault="00EB7747">
          <w:pPr>
            <w:pStyle w:val="TOC1"/>
            <w:tabs>
              <w:tab w:val="left" w:pos="480"/>
              <w:tab w:val="right" w:leader="dot" w:pos="10460"/>
            </w:tabs>
            <w:rPr>
              <w:rFonts w:asciiTheme="minorHAnsi" w:eastAsiaTheme="minorEastAsia" w:hAnsiTheme="minorHAnsi" w:cstheme="minorBidi"/>
              <w:noProof/>
              <w:kern w:val="2"/>
              <w:sz w:val="24"/>
              <w:szCs w:val="24"/>
              <w:lang w:val="en-GB"/>
              <w14:ligatures w14:val="standardContextual"/>
            </w:rPr>
          </w:pPr>
          <w:hyperlink w:anchor="_Toc164859827" w:history="1">
            <w:r w:rsidRPr="000F3489">
              <w:rPr>
                <w:rStyle w:val="Hyperlink"/>
                <w:noProof/>
              </w:rPr>
              <w:t>●</w:t>
            </w:r>
            <w:r>
              <w:rPr>
                <w:rFonts w:asciiTheme="minorHAnsi" w:eastAsiaTheme="minorEastAsia" w:hAnsiTheme="minorHAnsi" w:cstheme="minorBidi"/>
                <w:noProof/>
                <w:kern w:val="2"/>
                <w:sz w:val="24"/>
                <w:szCs w:val="24"/>
                <w:lang w:val="en-GB"/>
                <w14:ligatures w14:val="standardContextual"/>
              </w:rPr>
              <w:tab/>
            </w:r>
            <w:r w:rsidRPr="000F3489">
              <w:rPr>
                <w:rStyle w:val="Hyperlink"/>
                <w:noProof/>
              </w:rPr>
              <w:t>Summary</w:t>
            </w:r>
            <w:r>
              <w:rPr>
                <w:noProof/>
                <w:webHidden/>
              </w:rPr>
              <w:tab/>
            </w:r>
            <w:r>
              <w:rPr>
                <w:noProof/>
                <w:webHidden/>
              </w:rPr>
              <w:fldChar w:fldCharType="begin"/>
            </w:r>
            <w:r>
              <w:rPr>
                <w:noProof/>
                <w:webHidden/>
              </w:rPr>
              <w:instrText xml:space="preserve"> PAGEREF _Toc164859827 \h </w:instrText>
            </w:r>
            <w:r>
              <w:rPr>
                <w:noProof/>
                <w:webHidden/>
              </w:rPr>
            </w:r>
            <w:r>
              <w:rPr>
                <w:noProof/>
                <w:webHidden/>
              </w:rPr>
              <w:fldChar w:fldCharType="separate"/>
            </w:r>
            <w:r>
              <w:rPr>
                <w:noProof/>
                <w:webHidden/>
              </w:rPr>
              <w:t>13</w:t>
            </w:r>
            <w:r>
              <w:rPr>
                <w:noProof/>
                <w:webHidden/>
              </w:rPr>
              <w:fldChar w:fldCharType="end"/>
            </w:r>
          </w:hyperlink>
        </w:p>
        <w:p w14:paraId="61652EA1" w14:textId="613C812E" w:rsidR="00EB7747" w:rsidRDefault="00EB7747">
          <w:pPr>
            <w:pStyle w:val="TOC1"/>
            <w:tabs>
              <w:tab w:val="left" w:pos="480"/>
              <w:tab w:val="right" w:leader="dot" w:pos="10460"/>
            </w:tabs>
            <w:rPr>
              <w:rFonts w:asciiTheme="minorHAnsi" w:eastAsiaTheme="minorEastAsia" w:hAnsiTheme="minorHAnsi" w:cstheme="minorBidi"/>
              <w:noProof/>
              <w:kern w:val="2"/>
              <w:sz w:val="24"/>
              <w:szCs w:val="24"/>
              <w:lang w:val="en-GB"/>
              <w14:ligatures w14:val="standardContextual"/>
            </w:rPr>
          </w:pPr>
          <w:hyperlink w:anchor="_Toc164859828" w:history="1">
            <w:r w:rsidRPr="000F3489">
              <w:rPr>
                <w:rStyle w:val="Hyperlink"/>
                <w:smallCaps/>
                <w:noProof/>
              </w:rPr>
              <w:t>●</w:t>
            </w:r>
            <w:r>
              <w:rPr>
                <w:rFonts w:asciiTheme="minorHAnsi" w:eastAsiaTheme="minorEastAsia" w:hAnsiTheme="minorHAnsi" w:cstheme="minorBidi"/>
                <w:noProof/>
                <w:kern w:val="2"/>
                <w:sz w:val="24"/>
                <w:szCs w:val="24"/>
                <w:lang w:val="en-GB"/>
                <w14:ligatures w14:val="standardContextual"/>
              </w:rPr>
              <w:tab/>
            </w:r>
            <w:r w:rsidRPr="000F3489">
              <w:rPr>
                <w:rStyle w:val="Hyperlink"/>
                <w:smallCaps/>
                <w:noProof/>
              </w:rPr>
              <w:t>References</w:t>
            </w:r>
            <w:r>
              <w:rPr>
                <w:noProof/>
                <w:webHidden/>
              </w:rPr>
              <w:tab/>
            </w:r>
            <w:r>
              <w:rPr>
                <w:noProof/>
                <w:webHidden/>
              </w:rPr>
              <w:fldChar w:fldCharType="begin"/>
            </w:r>
            <w:r>
              <w:rPr>
                <w:noProof/>
                <w:webHidden/>
              </w:rPr>
              <w:instrText xml:space="preserve"> PAGEREF _Toc164859828 \h </w:instrText>
            </w:r>
            <w:r>
              <w:rPr>
                <w:noProof/>
                <w:webHidden/>
              </w:rPr>
            </w:r>
            <w:r>
              <w:rPr>
                <w:noProof/>
                <w:webHidden/>
              </w:rPr>
              <w:fldChar w:fldCharType="separate"/>
            </w:r>
            <w:r>
              <w:rPr>
                <w:noProof/>
                <w:webHidden/>
              </w:rPr>
              <w:t>13</w:t>
            </w:r>
            <w:r>
              <w:rPr>
                <w:noProof/>
                <w:webHidden/>
              </w:rPr>
              <w:fldChar w:fldCharType="end"/>
            </w:r>
          </w:hyperlink>
        </w:p>
        <w:p w14:paraId="032F7BDD" w14:textId="6934A164" w:rsidR="00EB7747" w:rsidRDefault="00EB7747">
          <w:r>
            <w:rPr>
              <w:b/>
              <w:bCs/>
              <w:noProof/>
            </w:rPr>
            <w:fldChar w:fldCharType="end"/>
          </w:r>
        </w:p>
      </w:sdtContent>
    </w:sdt>
    <w:p w14:paraId="62142814" w14:textId="77777777" w:rsidR="00A87CAE" w:rsidRDefault="00A87CAE">
      <w:pPr>
        <w:spacing w:before="115"/>
        <w:rPr>
          <w:sz w:val="20"/>
          <w:szCs w:val="20"/>
        </w:rPr>
      </w:pPr>
    </w:p>
    <w:p w14:paraId="48D30C17" w14:textId="77777777" w:rsidR="00A87CAE" w:rsidRDefault="00A87CAE">
      <w:pPr>
        <w:rPr>
          <w:sz w:val="20"/>
          <w:szCs w:val="20"/>
        </w:rPr>
      </w:pPr>
      <w:r>
        <w:rPr>
          <w:sz w:val="20"/>
          <w:szCs w:val="20"/>
        </w:rPr>
        <w:br w:type="page"/>
      </w:r>
    </w:p>
    <w:p w14:paraId="1B33D6E6" w14:textId="77777777" w:rsidR="000A13DE" w:rsidRDefault="000A13DE">
      <w:pPr>
        <w:spacing w:before="115"/>
        <w:rPr>
          <w:sz w:val="20"/>
          <w:szCs w:val="20"/>
        </w:rPr>
        <w:sectPr w:rsidR="000A13DE" w:rsidSect="002B02FC">
          <w:footerReference w:type="default" r:id="rId11"/>
          <w:pgSz w:w="11910" w:h="16840"/>
          <w:pgMar w:top="1000" w:right="840" w:bottom="1160" w:left="600" w:header="0" w:footer="967" w:gutter="0"/>
          <w:pgNumType w:start="0"/>
          <w:cols w:space="720"/>
          <w:titlePg/>
          <w:docGrid w:linePitch="299"/>
        </w:sectPr>
      </w:pPr>
    </w:p>
    <w:p w14:paraId="6D8FC8A0" w14:textId="77777777" w:rsidR="000A13DE" w:rsidRDefault="000A13DE">
      <w:pPr>
        <w:pStyle w:val="Heading1"/>
        <w:spacing w:before="93"/>
        <w:ind w:left="0" w:firstLine="0"/>
        <w:jc w:val="both"/>
        <w:rPr>
          <w:i/>
        </w:rPr>
      </w:pPr>
    </w:p>
    <w:p w14:paraId="0F228EFF" w14:textId="60CDFB05" w:rsidR="00EB7747" w:rsidRDefault="00000000">
      <w:pPr>
        <w:pStyle w:val="Heading1"/>
        <w:spacing w:before="93"/>
        <w:ind w:left="0" w:firstLine="0"/>
        <w:jc w:val="both"/>
      </w:pPr>
      <w:bookmarkStart w:id="0" w:name="_Toc164859818"/>
      <w:r>
        <w:rPr>
          <w:i/>
        </w:rPr>
        <w:t xml:space="preserve">Abstract </w:t>
      </w:r>
      <w:r w:rsidR="00EB7747">
        <w:t>–</w:t>
      </w:r>
      <w:bookmarkEnd w:id="0"/>
    </w:p>
    <w:p w14:paraId="40108E52" w14:textId="4FFF45B8" w:rsidR="000A13DE" w:rsidRPr="00EB7747" w:rsidRDefault="00000000" w:rsidP="00EB7747">
      <w:r w:rsidRPr="00EB7747">
        <w:t xml:space="preserve">The widespread adoption of Lithium-Ion (Li-ion) batteries has </w:t>
      </w:r>
      <w:r w:rsidR="00876175" w:rsidRPr="00EB7747">
        <w:t>revolutionized</w:t>
      </w:r>
      <w:r w:rsidRPr="00EB7747">
        <w:t xml:space="preserve"> electronic </w:t>
      </w:r>
      <w:r w:rsidR="00EE5A22" w:rsidRPr="00EB7747">
        <w:t>devices.</w:t>
      </w:r>
      <w:r w:rsidRPr="00EB7747">
        <w:t xml:space="preserve"> Lithium-ion batteries have emerged as a leading technology due to their superior characteristics, including high voltage, energy density, and cycle life.  Li-ion batteries degrade over time over multiple charge and discharge cycles and once a Li-ion battery reaches its End-of-Life (EOL), its ability to store a charge diminishes significantly. More importantly, safety concerns arise due to a phenomenon called thermal runaway [1]. This can cause the battery to overheat, ignite, or even explode, potentially causing harm to users and property.</w:t>
      </w:r>
    </w:p>
    <w:p w14:paraId="5630C4B7" w14:textId="77777777" w:rsidR="000A13DE" w:rsidRDefault="00000000">
      <w:pPr>
        <w:widowControl/>
        <w:spacing w:line="276" w:lineRule="auto"/>
        <w:rPr>
          <w:b/>
          <w:sz w:val="20"/>
          <w:szCs w:val="20"/>
        </w:rPr>
      </w:pPr>
      <w:r>
        <w:rPr>
          <w:b/>
          <w:sz w:val="20"/>
          <w:szCs w:val="20"/>
        </w:rPr>
        <w:t>To address the proper management and preventive maintenance of batteries, this study investigates the application of various machine learning techniques. By leveraging machine learning, we aim to develop strategies for handling battery health monitoring effectively. Additionally, we seek to gain insights into the diverse factors influencing battery performance, particularly in estimating the State of Health (</w:t>
      </w:r>
      <w:proofErr w:type="spellStart"/>
      <w:r>
        <w:rPr>
          <w:b/>
          <w:sz w:val="20"/>
          <w:szCs w:val="20"/>
        </w:rPr>
        <w:t>SoH</w:t>
      </w:r>
      <w:proofErr w:type="spellEnd"/>
      <w:r>
        <w:rPr>
          <w:b/>
          <w:sz w:val="20"/>
          <w:szCs w:val="20"/>
        </w:rPr>
        <w:t>) and predicting its Remaining useful life (RUL).</w:t>
      </w:r>
    </w:p>
    <w:p w14:paraId="27F79406" w14:textId="77777777" w:rsidR="000A13DE" w:rsidRDefault="000A13DE">
      <w:pPr>
        <w:widowControl/>
        <w:spacing w:line="276" w:lineRule="auto"/>
        <w:rPr>
          <w:b/>
          <w:sz w:val="20"/>
          <w:szCs w:val="20"/>
        </w:rPr>
      </w:pPr>
    </w:p>
    <w:p w14:paraId="5FF6611A" w14:textId="77777777" w:rsidR="000A13DE" w:rsidRDefault="00000000">
      <w:pPr>
        <w:widowControl/>
        <w:spacing w:line="276" w:lineRule="auto"/>
        <w:rPr>
          <w:b/>
          <w:sz w:val="20"/>
          <w:szCs w:val="20"/>
        </w:rPr>
      </w:pPr>
      <w:r>
        <w:rPr>
          <w:b/>
          <w:sz w:val="20"/>
          <w:szCs w:val="20"/>
        </w:rPr>
        <w:t>Accurate estimation of State of Health (</w:t>
      </w:r>
      <w:proofErr w:type="spellStart"/>
      <w:r>
        <w:rPr>
          <w:b/>
          <w:sz w:val="20"/>
          <w:szCs w:val="20"/>
        </w:rPr>
        <w:t>SoH</w:t>
      </w:r>
      <w:proofErr w:type="spellEnd"/>
      <w:r>
        <w:rPr>
          <w:b/>
          <w:sz w:val="20"/>
          <w:szCs w:val="20"/>
        </w:rPr>
        <w:t>) and Remaining Useful Life (RUL) is crucial for ensuring safe and efficient operation of Lithium-ion (Li-ion) batteries. Traditional methods for SOH and RUL prediction often rely on physical models or empirical rules, which can be limited in accuracy due to factors like complex degradation mechanisms and diverse operating conditions.</w:t>
      </w:r>
    </w:p>
    <w:p w14:paraId="09F801C2" w14:textId="77777777" w:rsidR="000A13DE" w:rsidRDefault="00000000">
      <w:pPr>
        <w:widowControl/>
        <w:spacing w:before="240" w:after="240" w:line="276" w:lineRule="auto"/>
        <w:rPr>
          <w:b/>
        </w:rPr>
      </w:pPr>
      <w:r>
        <w:rPr>
          <w:b/>
          <w:sz w:val="20"/>
          <w:szCs w:val="20"/>
        </w:rPr>
        <w:t>Our project proposes a data-driven approach to SOH and RUL estimation for Li-ion batteries, leveraging the power of machine learning and Exploratory Data Analysis (EDA). Machine learning algorithms can capture complex non-linear relationships between battery health indicators and degradation patterns within the data. EDA will be employed to gain insights into the characteristics of the dataset, identify key features influencing SOH and RUL, and uncover potential challenges. By combining these techniques, we aim to develop a more robust and adaptable framework for battery health monitoring.</w:t>
      </w:r>
    </w:p>
    <w:p w14:paraId="73C80F3B" w14:textId="78A98EAD" w:rsidR="000A13DE" w:rsidRDefault="00000000" w:rsidP="00933E5C">
      <w:pPr>
        <w:spacing w:before="229"/>
        <w:ind w:left="485"/>
        <w:jc w:val="both"/>
        <w:rPr>
          <w:i/>
          <w:sz w:val="20"/>
          <w:szCs w:val="20"/>
        </w:rPr>
      </w:pPr>
      <w:r>
        <w:rPr>
          <w:i/>
          <w:sz w:val="20"/>
          <w:szCs w:val="20"/>
        </w:rPr>
        <w:t xml:space="preserve">Keywords -Li-ion </w:t>
      </w:r>
      <w:proofErr w:type="spellStart"/>
      <w:proofErr w:type="gramStart"/>
      <w:r>
        <w:rPr>
          <w:i/>
          <w:sz w:val="20"/>
          <w:szCs w:val="20"/>
        </w:rPr>
        <w:t>Batteries,SoH</w:t>
      </w:r>
      <w:proofErr w:type="spellEnd"/>
      <w:proofErr w:type="gramEnd"/>
      <w:r>
        <w:rPr>
          <w:i/>
          <w:sz w:val="20"/>
          <w:szCs w:val="20"/>
        </w:rPr>
        <w:t xml:space="preserve"> ,</w:t>
      </w:r>
      <w:proofErr w:type="spellStart"/>
      <w:r>
        <w:rPr>
          <w:i/>
          <w:sz w:val="20"/>
          <w:szCs w:val="20"/>
        </w:rPr>
        <w:t>RUL,Preventive</w:t>
      </w:r>
      <w:proofErr w:type="spellEnd"/>
      <w:r>
        <w:rPr>
          <w:i/>
          <w:sz w:val="20"/>
          <w:szCs w:val="20"/>
        </w:rPr>
        <w:t xml:space="preserve"> </w:t>
      </w:r>
      <w:proofErr w:type="spellStart"/>
      <w:r>
        <w:rPr>
          <w:i/>
          <w:sz w:val="20"/>
          <w:szCs w:val="20"/>
        </w:rPr>
        <w:t>Maintenance,Battery</w:t>
      </w:r>
      <w:proofErr w:type="spellEnd"/>
      <w:r>
        <w:rPr>
          <w:i/>
          <w:sz w:val="20"/>
          <w:szCs w:val="20"/>
        </w:rPr>
        <w:t xml:space="preserve"> Health </w:t>
      </w:r>
      <w:proofErr w:type="spellStart"/>
      <w:r>
        <w:rPr>
          <w:i/>
          <w:sz w:val="20"/>
          <w:szCs w:val="20"/>
        </w:rPr>
        <w:t>Monitoring,Sustainable</w:t>
      </w:r>
      <w:proofErr w:type="spellEnd"/>
      <w:r>
        <w:rPr>
          <w:i/>
          <w:sz w:val="20"/>
          <w:szCs w:val="20"/>
        </w:rPr>
        <w:t xml:space="preserve"> Use</w:t>
      </w:r>
    </w:p>
    <w:p w14:paraId="5CFD34C1" w14:textId="77777777" w:rsidR="000A13DE" w:rsidRDefault="00000000">
      <w:pPr>
        <w:pStyle w:val="Heading1"/>
        <w:numPr>
          <w:ilvl w:val="0"/>
          <w:numId w:val="6"/>
        </w:numPr>
        <w:tabs>
          <w:tab w:val="left" w:pos="2562"/>
        </w:tabs>
        <w:spacing w:before="164"/>
        <w:rPr>
          <w:smallCaps/>
        </w:rPr>
      </w:pPr>
      <w:bookmarkStart w:id="1" w:name="_Toc164859819"/>
      <w:r>
        <w:rPr>
          <w:smallCaps/>
        </w:rPr>
        <w:t>Introduction</w:t>
      </w:r>
      <w:bookmarkEnd w:id="1"/>
    </w:p>
    <w:p w14:paraId="78DDC6B9" w14:textId="7CA447A2" w:rsidR="000A13DE" w:rsidRDefault="00000000">
      <w:pPr>
        <w:spacing w:before="159"/>
        <w:ind w:left="485"/>
        <w:jc w:val="both"/>
        <w:rPr>
          <w:sz w:val="20"/>
          <w:szCs w:val="20"/>
        </w:rPr>
      </w:pPr>
      <w:r>
        <w:rPr>
          <w:sz w:val="20"/>
          <w:szCs w:val="20"/>
        </w:rPr>
        <w:t xml:space="preserve">As the demand for batteries increases across various sectors such as electronics, transportation, and </w:t>
      </w:r>
      <w:proofErr w:type="spellStart"/>
      <w:r>
        <w:rPr>
          <w:sz w:val="20"/>
          <w:szCs w:val="20"/>
        </w:rPr>
        <w:t>defence</w:t>
      </w:r>
      <w:proofErr w:type="spellEnd"/>
      <w:r>
        <w:rPr>
          <w:sz w:val="20"/>
          <w:szCs w:val="20"/>
        </w:rPr>
        <w:t xml:space="preserve">, lithium-ion batteries have emerged as a leading technology due to their superior characteristics, including high voltage, energy density, and cycle life. Particularly in electric vehicles (EVs), lithium-ion batteries play a crucial role as the primary energy </w:t>
      </w:r>
      <w:r w:rsidR="00EE5A22">
        <w:rPr>
          <w:sz w:val="20"/>
          <w:szCs w:val="20"/>
        </w:rPr>
        <w:t>source [</w:t>
      </w:r>
      <w:r>
        <w:rPr>
          <w:sz w:val="20"/>
          <w:szCs w:val="20"/>
        </w:rPr>
        <w:t>6].</w:t>
      </w:r>
    </w:p>
    <w:p w14:paraId="6F1D95A6" w14:textId="34CB22ED" w:rsidR="000A13DE" w:rsidRDefault="00000000">
      <w:pPr>
        <w:spacing w:before="159"/>
        <w:ind w:left="485"/>
        <w:jc w:val="both"/>
        <w:rPr>
          <w:sz w:val="20"/>
          <w:szCs w:val="20"/>
        </w:rPr>
      </w:pPr>
      <w:r>
        <w:rPr>
          <w:sz w:val="20"/>
          <w:szCs w:val="20"/>
        </w:rPr>
        <w:t xml:space="preserve"> Li-ion batteries have become the power source of choice </w:t>
      </w:r>
      <w:r>
        <w:rPr>
          <w:sz w:val="20"/>
          <w:szCs w:val="20"/>
        </w:rPr>
        <w:t xml:space="preserve">for a myriad of applications, ranging from smartphones and laptops to electric vehicles and renewable energy storage </w:t>
      </w:r>
      <w:r w:rsidR="00EE5A22">
        <w:rPr>
          <w:sz w:val="20"/>
          <w:szCs w:val="20"/>
        </w:rPr>
        <w:t>systems [</w:t>
      </w:r>
      <w:r>
        <w:rPr>
          <w:sz w:val="20"/>
          <w:szCs w:val="20"/>
        </w:rPr>
        <w:t>2]. However, despite their numerous benefits, Li-ion batteries are not immune to degradation over time, a phenomenon that poses significant challenges for both performance optimization and user safety.</w:t>
      </w:r>
    </w:p>
    <w:p w14:paraId="5D02F79D" w14:textId="09D27565" w:rsidR="000A13DE" w:rsidRDefault="00000000">
      <w:pPr>
        <w:spacing w:before="159"/>
        <w:ind w:left="485"/>
        <w:jc w:val="both"/>
        <w:rPr>
          <w:sz w:val="20"/>
          <w:szCs w:val="20"/>
        </w:rPr>
      </w:pPr>
      <w:r>
        <w:rPr>
          <w:sz w:val="20"/>
          <w:szCs w:val="20"/>
        </w:rPr>
        <w:t xml:space="preserve">As Li-ion batteries undergo repeated charge and discharge cycles, they inevitably degrade, leading to diminished capacity, increased internal resistance, and impaired electrochemical stability. This degradation process is exacerbated by factors such as operating conditions, charging protocols, and environmental influences. Eventually, as a Li-ion battery reaches its End-of-Life (EOL), its ability to store a charge diminishes significantly, rendering it unsuitable for continued use. Moreover, EOL brings about heightened safety concerns, most notably the risk of thermal runaway—a catastrophic event </w:t>
      </w:r>
      <w:r w:rsidR="00EE5A22">
        <w:rPr>
          <w:sz w:val="20"/>
          <w:szCs w:val="20"/>
        </w:rPr>
        <w:t>characterized</w:t>
      </w:r>
      <w:r>
        <w:rPr>
          <w:sz w:val="20"/>
          <w:szCs w:val="20"/>
        </w:rPr>
        <w:t xml:space="preserve"> by heating, ignition, and potential explosion of the battery cell.</w:t>
      </w:r>
    </w:p>
    <w:p w14:paraId="55E23B0B" w14:textId="77777777" w:rsidR="000A13DE" w:rsidRDefault="00000000">
      <w:pPr>
        <w:spacing w:before="159"/>
        <w:ind w:left="485"/>
        <w:jc w:val="both"/>
        <w:rPr>
          <w:sz w:val="20"/>
          <w:szCs w:val="20"/>
        </w:rPr>
      </w:pPr>
      <w:r>
        <w:rPr>
          <w:sz w:val="20"/>
          <w:szCs w:val="20"/>
        </w:rPr>
        <w:t>The occurrence of thermal runaway not only poses a direct threat to user safety but also presents significant challenges for device manufacturers, service providers, and regulatory bodies alike. Addressing the proper management and preventive maintenance of Li-ion batteries is paramount to mitigating these risks and ensuring the continued reliability and safety of battery-powered devices.</w:t>
      </w:r>
    </w:p>
    <w:p w14:paraId="62FFFC3F" w14:textId="77777777" w:rsidR="000A13DE" w:rsidRDefault="00000000">
      <w:pPr>
        <w:pStyle w:val="Heading1"/>
        <w:numPr>
          <w:ilvl w:val="0"/>
          <w:numId w:val="3"/>
        </w:numPr>
        <w:spacing w:before="159"/>
        <w:jc w:val="both"/>
      </w:pPr>
      <w:bookmarkStart w:id="2" w:name="_krd285jxjuwm" w:colFirst="0" w:colLast="0"/>
      <w:bookmarkStart w:id="3" w:name="_Toc164859820"/>
      <w:bookmarkEnd w:id="2"/>
      <w:r>
        <w:t>Phases of Battery Aging</w:t>
      </w:r>
      <w:bookmarkEnd w:id="3"/>
    </w:p>
    <w:p w14:paraId="117CE245" w14:textId="03D2D06F" w:rsidR="000A13DE" w:rsidRDefault="00000000">
      <w:pPr>
        <w:spacing w:before="159"/>
        <w:ind w:left="485"/>
        <w:jc w:val="both"/>
        <w:rPr>
          <w:sz w:val="20"/>
          <w:szCs w:val="20"/>
        </w:rPr>
      </w:pPr>
      <w:r>
        <w:rPr>
          <w:sz w:val="20"/>
          <w:szCs w:val="20"/>
        </w:rPr>
        <w:t xml:space="preserve">The aging process of lithium-ion batteries is a complex phenomenon characterized by distinct phases that shape the overall degradation trajectory of the battery's capacity. Understanding these phases is crucial for predicting battery performance and ensuring reliable operation over </w:t>
      </w:r>
      <w:r w:rsidR="00EE5A22">
        <w:rPr>
          <w:sz w:val="20"/>
          <w:szCs w:val="20"/>
        </w:rPr>
        <w:t>time [</w:t>
      </w:r>
      <w:r>
        <w:rPr>
          <w:sz w:val="20"/>
          <w:szCs w:val="20"/>
        </w:rPr>
        <w:t>7].</w:t>
      </w:r>
    </w:p>
    <w:p w14:paraId="7F011B53" w14:textId="77777777" w:rsidR="000A13DE" w:rsidRDefault="00000000">
      <w:pPr>
        <w:spacing w:before="159"/>
        <w:ind w:left="485"/>
        <w:jc w:val="both"/>
        <w:rPr>
          <w:b/>
          <w:sz w:val="20"/>
          <w:szCs w:val="20"/>
        </w:rPr>
      </w:pPr>
      <w:r>
        <w:rPr>
          <w:b/>
          <w:sz w:val="20"/>
          <w:szCs w:val="20"/>
        </w:rPr>
        <w:t>Phase 1: Initial Settling (Capacity Increase)</w:t>
      </w:r>
    </w:p>
    <w:p w14:paraId="68822A13" w14:textId="77777777" w:rsidR="000A13DE" w:rsidRDefault="00000000">
      <w:pPr>
        <w:spacing w:before="159"/>
        <w:ind w:left="485"/>
        <w:jc w:val="both"/>
        <w:rPr>
          <w:sz w:val="20"/>
          <w:szCs w:val="20"/>
        </w:rPr>
      </w:pPr>
      <w:r>
        <w:rPr>
          <w:sz w:val="20"/>
          <w:szCs w:val="20"/>
        </w:rPr>
        <w:t>Surprisingly, the initial phase of a battery's life can be counterintuitive. During this settling period, various chemical processes stabilize, and the capacity may even increase slightly despite battery usage. One contributing factor to this initial rise is the anode overhang effect. This effect describes lithium ions becoming lodged in a slightly wider portion of the anode that doesn't directly participate in the main electrochemical reactions. These "overhang" ions become electrochemically active as the battery undergoes further cycles, contributing to a temporary capacity increase. It's important to note that the anode overhang effect is considered a reversible aging mechanism.</w:t>
      </w:r>
    </w:p>
    <w:p w14:paraId="6494FC88" w14:textId="77777777" w:rsidR="000A13DE" w:rsidRDefault="00000000">
      <w:pPr>
        <w:spacing w:before="159"/>
        <w:ind w:left="485"/>
        <w:jc w:val="both"/>
        <w:rPr>
          <w:b/>
          <w:sz w:val="20"/>
          <w:szCs w:val="20"/>
        </w:rPr>
      </w:pPr>
      <w:r>
        <w:rPr>
          <w:b/>
          <w:sz w:val="20"/>
          <w:szCs w:val="20"/>
        </w:rPr>
        <w:t>Phase 2: Quasi-Linear Capacity Loss</w:t>
      </w:r>
    </w:p>
    <w:p w14:paraId="42A8E13F" w14:textId="77777777" w:rsidR="000A13DE" w:rsidRDefault="00000000">
      <w:pPr>
        <w:spacing w:before="159"/>
        <w:ind w:left="485"/>
        <w:jc w:val="both"/>
        <w:rPr>
          <w:sz w:val="20"/>
          <w:szCs w:val="20"/>
        </w:rPr>
      </w:pPr>
      <w:r>
        <w:rPr>
          <w:sz w:val="20"/>
          <w:szCs w:val="20"/>
        </w:rPr>
        <w:t>Following the initial settling phase, the aging profile transitions into a more predictable stage characterized by quasi-linear capacity loss. In this extended phase, a strong correlation exists between the battery's usage and its capacity degradation. Under consistent operating conditions, such as those found in controlled laboratory settings, the relationship between capacity loss and battery cycles is often approximately linear. However, real-world applications, like home energy storage systems experiencing seasonal temperature fluctuations, may exhibit deviations from this linear trend.</w:t>
      </w:r>
    </w:p>
    <w:p w14:paraId="63D600AE" w14:textId="77777777" w:rsidR="000A13DE" w:rsidRDefault="00000000">
      <w:pPr>
        <w:spacing w:before="159"/>
        <w:ind w:left="485"/>
        <w:jc w:val="both"/>
        <w:rPr>
          <w:b/>
          <w:sz w:val="20"/>
          <w:szCs w:val="20"/>
        </w:rPr>
      </w:pPr>
      <w:r>
        <w:rPr>
          <w:b/>
          <w:sz w:val="20"/>
          <w:szCs w:val="20"/>
        </w:rPr>
        <w:lastRenderedPageBreak/>
        <w:t>Phase 3: Knee-Point and Rapid Decline</w:t>
      </w:r>
    </w:p>
    <w:p w14:paraId="23E50867" w14:textId="77777777" w:rsidR="000A13DE" w:rsidRDefault="00000000">
      <w:pPr>
        <w:spacing w:before="159"/>
        <w:ind w:left="485"/>
        <w:jc w:val="both"/>
        <w:rPr>
          <w:sz w:val="20"/>
          <w:szCs w:val="20"/>
        </w:rPr>
      </w:pPr>
      <w:r>
        <w:rPr>
          <w:sz w:val="20"/>
          <w:szCs w:val="20"/>
        </w:rPr>
        <w:t>As the battery ages further, a critical point known as the knee-point is reached, typically occurring between 50-85% of the initial capacity. This point signifies a dramatic acceleration in capacity loss, often happening over a relatively short period of cycles. The knee-point marks the onset of the end-of-life stage for the battery, indicating a significant decline in its ability to function effectively.</w:t>
      </w:r>
    </w:p>
    <w:p w14:paraId="24800E31" w14:textId="77777777" w:rsidR="000A13DE" w:rsidRDefault="00000000">
      <w:pPr>
        <w:spacing w:before="159"/>
        <w:ind w:left="485"/>
        <w:jc w:val="both"/>
        <w:rPr>
          <w:sz w:val="20"/>
          <w:szCs w:val="20"/>
        </w:rPr>
      </w:pPr>
      <w:r>
        <w:rPr>
          <w:sz w:val="20"/>
          <w:szCs w:val="20"/>
        </w:rPr>
        <w:t>By dissecting these distinct aging phases, researchers gain valuable insights into the underlying mechanisms that contribute to lithium-ion battery degradation. This knowledge paves the way for developing strategies to mitigate aging and extend battery lifespan, ultimately leading to more efficient and reliable energy storage solutions.</w:t>
      </w:r>
    </w:p>
    <w:p w14:paraId="5FAD3F2C" w14:textId="77777777" w:rsidR="000A13DE" w:rsidRDefault="00000000">
      <w:pPr>
        <w:spacing w:before="159"/>
        <w:ind w:left="485"/>
        <w:jc w:val="both"/>
        <w:rPr>
          <w:sz w:val="20"/>
          <w:szCs w:val="20"/>
        </w:rPr>
      </w:pPr>
      <w:r>
        <w:rPr>
          <w:sz w:val="20"/>
          <w:szCs w:val="20"/>
        </w:rPr>
        <w:t>In response to these challenges, this study adopts a data-driven approach to explore the estimation of two critical battery health metrics: State of Health (</w:t>
      </w:r>
      <w:proofErr w:type="spellStart"/>
      <w:r>
        <w:rPr>
          <w:sz w:val="20"/>
          <w:szCs w:val="20"/>
        </w:rPr>
        <w:t>SoH</w:t>
      </w:r>
      <w:proofErr w:type="spellEnd"/>
      <w:r>
        <w:rPr>
          <w:sz w:val="20"/>
          <w:szCs w:val="20"/>
        </w:rPr>
        <w:t>) and Remaining Useful Life (RUL). By leveraging machine learning techniques and conducting in-depth Exploratory Data Analysis (EDA), we aim to develop strategies for effective battery health monitoring and predictive maintenance. Through this research, we seek to gain valuable insights into the diverse factors influencing battery performance, including operational conditions, usage patterns, and environmental variables.</w:t>
      </w:r>
    </w:p>
    <w:p w14:paraId="5C045AE4" w14:textId="7DEB6876" w:rsidR="000A13DE" w:rsidRDefault="00000000" w:rsidP="00933E5C">
      <w:pPr>
        <w:spacing w:before="159"/>
        <w:ind w:left="485"/>
        <w:jc w:val="both"/>
        <w:rPr>
          <w:sz w:val="20"/>
          <w:szCs w:val="20"/>
        </w:rPr>
      </w:pPr>
      <w:r>
        <w:rPr>
          <w:sz w:val="20"/>
          <w:szCs w:val="20"/>
        </w:rPr>
        <w:t xml:space="preserve">The overarching goal of this study is to contribute to the development of reliable and efficient systems for monitoring battery health, thereby ensuring user safety, enhancing device performance, and promoting the sustainable use and disposal of Li-ion batteries. By leveraging data-driven methodologies, we </w:t>
      </w:r>
      <w:proofErr w:type="spellStart"/>
      <w:r>
        <w:rPr>
          <w:sz w:val="20"/>
          <w:szCs w:val="20"/>
        </w:rPr>
        <w:t>endeavour</w:t>
      </w:r>
      <w:proofErr w:type="spellEnd"/>
      <w:r>
        <w:rPr>
          <w:sz w:val="20"/>
          <w:szCs w:val="20"/>
        </w:rPr>
        <w:t xml:space="preserve"> to address the complexities of battery degradation and EOL management, paving the way for safer, more resilient battery-powered technologies in the future.</w:t>
      </w:r>
    </w:p>
    <w:p w14:paraId="2E1FB6E5" w14:textId="77777777" w:rsidR="000A13DE" w:rsidRDefault="00000000">
      <w:pPr>
        <w:numPr>
          <w:ilvl w:val="0"/>
          <w:numId w:val="9"/>
        </w:numPr>
        <w:spacing w:before="159"/>
        <w:jc w:val="both"/>
        <w:rPr>
          <w:sz w:val="20"/>
          <w:szCs w:val="20"/>
        </w:rPr>
      </w:pPr>
      <w:r>
        <w:rPr>
          <w:sz w:val="20"/>
          <w:szCs w:val="20"/>
        </w:rPr>
        <w:t>Background</w:t>
      </w:r>
    </w:p>
    <w:p w14:paraId="61FF75CE" w14:textId="4B136769" w:rsidR="000A13DE" w:rsidRDefault="00000000" w:rsidP="00933E5C">
      <w:pPr>
        <w:spacing w:before="159"/>
        <w:ind w:left="720"/>
        <w:jc w:val="both"/>
        <w:rPr>
          <w:sz w:val="20"/>
          <w:szCs w:val="20"/>
        </w:rPr>
      </w:pPr>
      <w:r>
        <w:rPr>
          <w:sz w:val="20"/>
          <w:szCs w:val="20"/>
        </w:rPr>
        <w:t xml:space="preserve">Li-ion batteries have emerged as the cornerstone of modern portable electronics and electric vehicles due to their high energy density, lightweight design, and rechargeable nature. These batteries operate on the principle of lithium ions moving between electrodes during charge and discharge cycles. One of the most common cathode materials in Li-ion batteries is Lithium Cobalt Oxide (LiCoO2), which plays a crucial role in the battery's </w:t>
      </w:r>
      <w:r w:rsidR="00EE5A22">
        <w:rPr>
          <w:sz w:val="20"/>
          <w:szCs w:val="20"/>
        </w:rPr>
        <w:t>performance [</w:t>
      </w:r>
      <w:r>
        <w:rPr>
          <w:sz w:val="20"/>
          <w:szCs w:val="20"/>
        </w:rPr>
        <w:t>1].</w:t>
      </w:r>
    </w:p>
    <w:p w14:paraId="2057558D" w14:textId="77777777" w:rsidR="000A13DE" w:rsidRPr="00EE5A22" w:rsidRDefault="00000000">
      <w:pPr>
        <w:spacing w:before="159"/>
        <w:ind w:left="720"/>
        <w:jc w:val="both"/>
        <w:rPr>
          <w:b/>
          <w:bCs/>
          <w:sz w:val="20"/>
          <w:szCs w:val="20"/>
        </w:rPr>
      </w:pPr>
      <w:r w:rsidRPr="00EE5A22">
        <w:rPr>
          <w:b/>
          <w:bCs/>
          <w:sz w:val="20"/>
          <w:szCs w:val="20"/>
        </w:rPr>
        <w:t>Chemical Structure of Li-ion Batteries:</w:t>
      </w:r>
    </w:p>
    <w:p w14:paraId="5179C369" w14:textId="77777777" w:rsidR="000A13DE" w:rsidRDefault="00000000">
      <w:pPr>
        <w:spacing w:before="159"/>
        <w:ind w:left="720"/>
        <w:jc w:val="both"/>
        <w:rPr>
          <w:sz w:val="20"/>
          <w:szCs w:val="20"/>
        </w:rPr>
      </w:pPr>
      <w:r>
        <w:rPr>
          <w:sz w:val="20"/>
          <w:szCs w:val="20"/>
        </w:rPr>
        <w:t>In a Li-ion battery, the active electrode material, such as LiCoO2, undergoes chemical reactions during charging and discharging. However, over time, this active material can decompose into inactive Co3O4 material [3]. This decomposition occurs primarily at the surface of the LiCoO2 electrode and contributes to an increase in the battery's impedance and overpotential. Additionally, it leads to a decrease in the maximum storage capacity of the battery. As a result, the battery's performance deteriorates over its lifetime due to the combined effects of increased impedance and decreased maximum capacity.</w:t>
      </w:r>
    </w:p>
    <w:p w14:paraId="474A6E08" w14:textId="77777777" w:rsidR="000A13DE" w:rsidRDefault="00000000">
      <w:pPr>
        <w:pStyle w:val="Heading1"/>
        <w:numPr>
          <w:ilvl w:val="0"/>
          <w:numId w:val="4"/>
        </w:numPr>
        <w:spacing w:before="159"/>
        <w:jc w:val="both"/>
      </w:pPr>
      <w:bookmarkStart w:id="4" w:name="_8201ukiu6evh" w:colFirst="0" w:colLast="0"/>
      <w:bookmarkStart w:id="5" w:name="_Toc164859821"/>
      <w:bookmarkEnd w:id="4"/>
      <w:r>
        <w:t>Factors Influencing Battery Performance</w:t>
      </w:r>
      <w:bookmarkEnd w:id="5"/>
    </w:p>
    <w:p w14:paraId="0D6C0F69" w14:textId="081519B8" w:rsidR="000A13DE" w:rsidRDefault="00000000">
      <w:pPr>
        <w:spacing w:before="159"/>
        <w:ind w:left="720"/>
        <w:jc w:val="both"/>
        <w:rPr>
          <w:sz w:val="20"/>
          <w:szCs w:val="20"/>
        </w:rPr>
      </w:pPr>
      <w:r>
        <w:rPr>
          <w:sz w:val="20"/>
          <w:szCs w:val="20"/>
        </w:rPr>
        <w:t xml:space="preserve">The health deterioration of Lithium-Ion (Li-ion) batteries is influenced by various factors, particularly operational </w:t>
      </w:r>
      <w:r w:rsidR="00EE5A22">
        <w:rPr>
          <w:sz w:val="20"/>
          <w:szCs w:val="20"/>
        </w:rPr>
        <w:t>conditions,</w:t>
      </w:r>
      <w:r>
        <w:rPr>
          <w:sz w:val="20"/>
          <w:szCs w:val="20"/>
        </w:rPr>
        <w:t xml:space="preserve"> and chemical processes within the battery. These factors significantly impact the battery's performance and longevity, posing challenges for its effective use in diverse applications.</w:t>
      </w:r>
    </w:p>
    <w:p w14:paraId="0597F535" w14:textId="1E334B2F" w:rsidR="000A13DE" w:rsidRDefault="00000000">
      <w:pPr>
        <w:spacing w:before="159"/>
        <w:ind w:left="720"/>
        <w:jc w:val="both"/>
        <w:rPr>
          <w:sz w:val="20"/>
          <w:szCs w:val="20"/>
        </w:rPr>
      </w:pPr>
      <w:r>
        <w:rPr>
          <w:sz w:val="20"/>
          <w:szCs w:val="20"/>
        </w:rPr>
        <w:t xml:space="preserve">Operational conditions play a pivotal role in determining the remaining run-times of Li-ion batteries as they age. Batteries with high impedance may still maintain acceptable run-times in devices requiring low discharge C-rate currents, such as CD players or wireless mice. However, in devices demanding high discharge C-rate currents, like mobile phones or electric vehicles (EVs), the remaining run-times become notably shorter as the battery ages. This disparity arises due to the decreased maximum capacity of the LiCoO2 electrode, a critical component of Li-ion </w:t>
      </w:r>
      <w:r w:rsidR="00EE5A22">
        <w:rPr>
          <w:sz w:val="20"/>
          <w:szCs w:val="20"/>
        </w:rPr>
        <w:t>batteries [</w:t>
      </w:r>
      <w:r>
        <w:rPr>
          <w:sz w:val="20"/>
          <w:szCs w:val="20"/>
        </w:rPr>
        <w:t xml:space="preserve">3]. </w:t>
      </w:r>
    </w:p>
    <w:p w14:paraId="31A69F5D" w14:textId="77777777" w:rsidR="000A13DE" w:rsidRDefault="00000000">
      <w:pPr>
        <w:spacing w:before="159"/>
        <w:ind w:left="720"/>
        <w:jc w:val="both"/>
        <w:rPr>
          <w:sz w:val="20"/>
          <w:szCs w:val="20"/>
        </w:rPr>
      </w:pPr>
      <w:r>
        <w:rPr>
          <w:sz w:val="20"/>
          <w:szCs w:val="20"/>
        </w:rPr>
        <w:t>The decomposition of the active electrode material into inactive Co3O4 further exacerbates the degradation of Li-ion batteries. This decomposition contributes to an increase in impedance and a decrease in the maximum storage capacity of the battery, impairing its overall performance. The reduction in the amount of active LiCoO2 at the electrode surface leads to diminished maximum capacity, particularly affecting battery performance at higher discharge C-rate currents.</w:t>
      </w:r>
    </w:p>
    <w:p w14:paraId="603C7399" w14:textId="1DF9D7C1" w:rsidR="000A13DE" w:rsidRDefault="00000000">
      <w:pPr>
        <w:spacing w:before="159"/>
        <w:ind w:left="720"/>
        <w:jc w:val="both"/>
        <w:rPr>
          <w:sz w:val="20"/>
          <w:szCs w:val="20"/>
        </w:rPr>
      </w:pPr>
      <w:r>
        <w:rPr>
          <w:sz w:val="20"/>
          <w:szCs w:val="20"/>
        </w:rPr>
        <w:t xml:space="preserve">Moreover, operational conditions such as high discharge currents, temperatures, and voltage levels during charging accelerate the degradation of the battery's impedance and maximum storage capacity. These conditions exacerbate the decrease in discharge capacity, which is often expressed as a percentage decrease after a certain number of cycles. For instance, under specific operational conditions, the discharge capacity of a Li-ion battery decreased by approximately 42% in 220 </w:t>
      </w:r>
      <w:r w:rsidR="00EE5A22">
        <w:rPr>
          <w:sz w:val="20"/>
          <w:szCs w:val="20"/>
        </w:rPr>
        <w:t>cycles [</w:t>
      </w:r>
      <w:r>
        <w:rPr>
          <w:sz w:val="20"/>
          <w:szCs w:val="20"/>
        </w:rPr>
        <w:t>3].</w:t>
      </w:r>
    </w:p>
    <w:p w14:paraId="0A2B92FF" w14:textId="77777777" w:rsidR="000A13DE" w:rsidRDefault="00000000">
      <w:pPr>
        <w:spacing w:before="159"/>
        <w:ind w:left="270"/>
        <w:jc w:val="both"/>
        <w:rPr>
          <w:sz w:val="20"/>
          <w:szCs w:val="20"/>
        </w:rPr>
      </w:pPr>
      <w:r>
        <w:rPr>
          <w:sz w:val="20"/>
          <w:szCs w:val="20"/>
        </w:rPr>
        <w:t>In summary, the health deterioration of Li-ion batteries is a complex interplay of operational conditions and chemical processes. Understanding these factors is crucial for devising strategies to mitigate battery degradation, enhance performance, and prolong battery life, thereby ensuring the reliability and sustainability of Li-ion battery-powered devices across various applications.</w:t>
      </w:r>
    </w:p>
    <w:p w14:paraId="44B2EF04" w14:textId="77777777" w:rsidR="000A13DE" w:rsidRDefault="00000000">
      <w:pPr>
        <w:pStyle w:val="Heading1"/>
        <w:numPr>
          <w:ilvl w:val="0"/>
          <w:numId w:val="7"/>
        </w:numPr>
        <w:spacing w:before="159"/>
        <w:ind w:left="270" w:firstLine="0"/>
        <w:jc w:val="both"/>
      </w:pPr>
      <w:bookmarkStart w:id="6" w:name="_r7erznmwo1dp" w:colFirst="0" w:colLast="0"/>
      <w:bookmarkStart w:id="7" w:name="_Toc164859822"/>
      <w:bookmarkEnd w:id="6"/>
      <w:proofErr w:type="spellStart"/>
      <w:r>
        <w:t>DataSet</w:t>
      </w:r>
      <w:bookmarkEnd w:id="7"/>
      <w:proofErr w:type="spellEnd"/>
    </w:p>
    <w:p w14:paraId="1F885701" w14:textId="77777777" w:rsidR="000A13DE" w:rsidRDefault="00000000">
      <w:pPr>
        <w:widowControl/>
        <w:spacing w:before="240" w:after="240" w:line="276" w:lineRule="auto"/>
        <w:ind w:left="270"/>
        <w:rPr>
          <w:sz w:val="20"/>
          <w:szCs w:val="20"/>
        </w:rPr>
      </w:pPr>
      <w:r>
        <w:rPr>
          <w:sz w:val="20"/>
          <w:szCs w:val="20"/>
        </w:rPr>
        <w:t xml:space="preserve">Based on our research findings, we have identified specific criteria for selecting a dataset relevant to our problem statement. This dataset should include essential columns that provide pertinent information necessary for our analysis. Based on those requirements we were only able to find one dataset that meets our requirements which was the NASA (Li-ion Battery Aging Datasets). </w:t>
      </w:r>
    </w:p>
    <w:p w14:paraId="4C7E8014" w14:textId="5D6E6D01" w:rsidR="000A13DE" w:rsidRDefault="00000000">
      <w:pPr>
        <w:widowControl/>
        <w:spacing w:before="240" w:after="240" w:line="276" w:lineRule="auto"/>
        <w:ind w:left="270"/>
        <w:rPr>
          <w:sz w:val="20"/>
          <w:szCs w:val="20"/>
        </w:rPr>
      </w:pPr>
      <w:r>
        <w:rPr>
          <w:sz w:val="20"/>
          <w:szCs w:val="20"/>
        </w:rPr>
        <w:t xml:space="preserve">We also found another dataset which is the Hawaii Natural Energy NMC-LCO 18650 batteries dataset. We chose not to move forward with this dataset as we were unable to find details about the process using which this data was collected </w:t>
      </w:r>
      <w:r>
        <w:rPr>
          <w:sz w:val="20"/>
          <w:szCs w:val="20"/>
        </w:rPr>
        <w:lastRenderedPageBreak/>
        <w:t xml:space="preserve">as well as the fact that our initial testing showed that the dataset was processed the process of which we were unable to find [4]. Our initial testing of the </w:t>
      </w:r>
      <w:r w:rsidR="00EE5A22">
        <w:rPr>
          <w:sz w:val="20"/>
          <w:szCs w:val="20"/>
        </w:rPr>
        <w:t>data set</w:t>
      </w:r>
      <w:r>
        <w:rPr>
          <w:sz w:val="20"/>
          <w:szCs w:val="20"/>
        </w:rPr>
        <w:t xml:space="preserve"> showed great results but had to be abandoned because of the </w:t>
      </w:r>
      <w:r w:rsidR="00F65A94">
        <w:rPr>
          <w:sz w:val="20"/>
          <w:szCs w:val="20"/>
        </w:rPr>
        <w:t>pre-mentioned</w:t>
      </w:r>
      <w:r>
        <w:rPr>
          <w:sz w:val="20"/>
          <w:szCs w:val="20"/>
        </w:rPr>
        <w:t xml:space="preserve"> reason. </w:t>
      </w:r>
      <w:r>
        <w:rPr>
          <w:noProof/>
          <w:sz w:val="20"/>
          <w:szCs w:val="20"/>
        </w:rPr>
        <w:drawing>
          <wp:inline distT="114300" distB="114300" distL="114300" distR="114300" wp14:anchorId="4E9C0F70" wp14:editId="54091BD2">
            <wp:extent cx="2871788" cy="2300943"/>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2871788" cy="2300943"/>
                    </a:xfrm>
                    <a:prstGeom prst="rect">
                      <a:avLst/>
                    </a:prstGeom>
                    <a:ln/>
                  </pic:spPr>
                </pic:pic>
              </a:graphicData>
            </a:graphic>
          </wp:inline>
        </w:drawing>
      </w:r>
    </w:p>
    <w:p w14:paraId="2C045A61" w14:textId="77777777" w:rsidR="000A13DE" w:rsidRDefault="00000000">
      <w:pPr>
        <w:spacing w:before="100" w:line="244" w:lineRule="auto"/>
        <w:ind w:left="1835" w:right="249" w:hanging="1426"/>
        <w:rPr>
          <w:sz w:val="20"/>
          <w:szCs w:val="20"/>
        </w:rPr>
      </w:pPr>
      <w:r>
        <w:rPr>
          <w:b/>
          <w:sz w:val="18"/>
          <w:szCs w:val="18"/>
        </w:rPr>
        <w:t xml:space="preserve">Graph 1 Actual vs Predicted RUL </w:t>
      </w:r>
    </w:p>
    <w:p w14:paraId="3E0C1048" w14:textId="1AADEE9D" w:rsidR="000A13DE" w:rsidRDefault="00000000">
      <w:pPr>
        <w:widowControl/>
        <w:spacing w:before="240" w:after="240" w:line="276" w:lineRule="auto"/>
        <w:ind w:left="270"/>
        <w:rPr>
          <w:sz w:val="20"/>
          <w:szCs w:val="20"/>
        </w:rPr>
      </w:pPr>
      <w:r>
        <w:rPr>
          <w:sz w:val="20"/>
          <w:szCs w:val="20"/>
        </w:rPr>
        <w:t xml:space="preserve">Due to the </w:t>
      </w:r>
      <w:r w:rsidR="00933E5C">
        <w:rPr>
          <w:sz w:val="20"/>
          <w:szCs w:val="20"/>
        </w:rPr>
        <w:t>above-mentioned</w:t>
      </w:r>
      <w:r>
        <w:rPr>
          <w:sz w:val="20"/>
          <w:szCs w:val="20"/>
        </w:rPr>
        <w:t xml:space="preserve"> </w:t>
      </w:r>
      <w:r w:rsidR="00933E5C">
        <w:rPr>
          <w:sz w:val="20"/>
          <w:szCs w:val="20"/>
        </w:rPr>
        <w:t>reason,</w:t>
      </w:r>
      <w:r>
        <w:rPr>
          <w:sz w:val="20"/>
          <w:szCs w:val="20"/>
        </w:rPr>
        <w:t xml:space="preserve"> we will be sticking with the NASA (Li-ion Battery Aging </w:t>
      </w:r>
      <w:r w:rsidR="00F65A94">
        <w:rPr>
          <w:sz w:val="20"/>
          <w:szCs w:val="20"/>
        </w:rPr>
        <w:t>Datasets) [</w:t>
      </w:r>
      <w:r>
        <w:rPr>
          <w:sz w:val="20"/>
          <w:szCs w:val="20"/>
        </w:rPr>
        <w:t>5]</w:t>
      </w:r>
    </w:p>
    <w:p w14:paraId="6FD97A36" w14:textId="77777777" w:rsidR="000A13DE" w:rsidRDefault="00000000">
      <w:pPr>
        <w:widowControl/>
        <w:spacing w:after="240" w:line="276" w:lineRule="auto"/>
        <w:ind w:left="270"/>
        <w:rPr>
          <w:sz w:val="20"/>
          <w:szCs w:val="20"/>
        </w:rPr>
      </w:pPr>
      <w:r>
        <w:rPr>
          <w:sz w:val="20"/>
          <w:szCs w:val="20"/>
        </w:rPr>
        <w:t>This dataset originates from a meticulously designed battery prognostics testbed at the NASA Ames Prognostics Center of Excellence (</w:t>
      </w:r>
      <w:proofErr w:type="spellStart"/>
      <w:r>
        <w:rPr>
          <w:sz w:val="20"/>
          <w:szCs w:val="20"/>
        </w:rPr>
        <w:t>PCoE</w:t>
      </w:r>
      <w:proofErr w:type="spellEnd"/>
      <w:r>
        <w:rPr>
          <w:sz w:val="20"/>
          <w:szCs w:val="20"/>
        </w:rPr>
        <w:t>). The data was gathered from Li-ion batteries subjected to three distinct operational profiles: charging, discharging, and Electrochemical Impedance Spectroscopy (EIS), conducted at varying temperatures.</w:t>
      </w:r>
    </w:p>
    <w:p w14:paraId="05326494" w14:textId="0940DF86" w:rsidR="000A13DE" w:rsidRDefault="00000000">
      <w:pPr>
        <w:widowControl/>
        <w:spacing w:before="240" w:after="240" w:line="276" w:lineRule="auto"/>
        <w:ind w:left="270"/>
        <w:rPr>
          <w:sz w:val="20"/>
          <w:szCs w:val="20"/>
        </w:rPr>
      </w:pPr>
      <w:r>
        <w:rPr>
          <w:sz w:val="20"/>
          <w:szCs w:val="20"/>
        </w:rPr>
        <w:t xml:space="preserve">The experimental setup involved discharges at different current load levels until the battery voltage reached preset thresholds, some intentionally set below the manufacturer's recommended levels to induce deep discharge aging effects. This deliberate cycling resulted in accelerated battery aging, with experiments terminated upon meeting the end-of-life (EOL) criteria, defined as a 30% capacity fade from the rated capacity (2 Ah to 1.4 </w:t>
      </w:r>
      <w:r w:rsidR="00F65A94">
        <w:rPr>
          <w:sz w:val="20"/>
          <w:szCs w:val="20"/>
        </w:rPr>
        <w:t>Ah) [</w:t>
      </w:r>
      <w:r>
        <w:rPr>
          <w:sz w:val="20"/>
          <w:szCs w:val="20"/>
        </w:rPr>
        <w:t>5].</w:t>
      </w:r>
    </w:p>
    <w:p w14:paraId="79493816" w14:textId="77777777" w:rsidR="000A13DE" w:rsidRDefault="00000000">
      <w:pPr>
        <w:widowControl/>
        <w:spacing w:before="240" w:after="240" w:line="276" w:lineRule="auto"/>
        <w:ind w:left="270"/>
        <w:rPr>
          <w:sz w:val="20"/>
          <w:szCs w:val="20"/>
        </w:rPr>
      </w:pPr>
      <w:r>
        <w:rPr>
          <w:sz w:val="20"/>
          <w:szCs w:val="20"/>
        </w:rPr>
        <w:t>Dataset Details:</w:t>
      </w:r>
    </w:p>
    <w:p w14:paraId="08F99849" w14:textId="77777777" w:rsidR="000A13DE" w:rsidRDefault="00000000">
      <w:pPr>
        <w:widowControl/>
        <w:spacing w:before="240" w:after="240" w:line="276" w:lineRule="auto"/>
        <w:ind w:left="270"/>
        <w:rPr>
          <w:sz w:val="20"/>
          <w:szCs w:val="20"/>
        </w:rPr>
      </w:pPr>
      <w:r>
        <w:rPr>
          <w:sz w:val="20"/>
          <w:szCs w:val="20"/>
        </w:rPr>
        <w:t xml:space="preserve">The dataset encompasses a comprehensive array of parameters obtained from the testbed setup, including commercially available Li-ion 18650 batteries, programmable electronic loads and power supplies, voltmeters, ammeters, thermocouple sensors, and custom EIS equipment. Additionally, an environmental chamber was </w:t>
      </w:r>
      <w:proofErr w:type="spellStart"/>
      <w:r>
        <w:rPr>
          <w:sz w:val="20"/>
          <w:szCs w:val="20"/>
        </w:rPr>
        <w:t>utilised</w:t>
      </w:r>
      <w:proofErr w:type="spellEnd"/>
      <w:r>
        <w:rPr>
          <w:sz w:val="20"/>
          <w:szCs w:val="20"/>
        </w:rPr>
        <w:t xml:space="preserve"> to impose diverse operational conditions. Data acquisition and experiment control were facilitated through MATLAB-based systems, achieving an approximate data acquisition rate of 10Hz.</w:t>
      </w:r>
    </w:p>
    <w:p w14:paraId="6A53D865" w14:textId="77777777" w:rsidR="000A13DE" w:rsidRDefault="000A13DE">
      <w:pPr>
        <w:widowControl/>
        <w:spacing w:before="240" w:after="240" w:line="276" w:lineRule="auto"/>
        <w:ind w:left="270"/>
        <w:rPr>
          <w:sz w:val="20"/>
          <w:szCs w:val="20"/>
        </w:rPr>
      </w:pPr>
    </w:p>
    <w:p w14:paraId="2DA19D85" w14:textId="526EC334" w:rsidR="000A13DE" w:rsidRDefault="00000000">
      <w:pPr>
        <w:widowControl/>
        <w:spacing w:before="240" w:after="240" w:line="276" w:lineRule="auto"/>
        <w:ind w:left="270"/>
        <w:rPr>
          <w:sz w:val="20"/>
          <w:szCs w:val="20"/>
        </w:rPr>
      </w:pPr>
      <w:r>
        <w:rPr>
          <w:sz w:val="20"/>
          <w:szCs w:val="20"/>
        </w:rPr>
        <w:t xml:space="preserve">The dataset has </w:t>
      </w:r>
      <w:r w:rsidR="00EE5A22">
        <w:rPr>
          <w:sz w:val="20"/>
          <w:szCs w:val="20"/>
        </w:rPr>
        <w:t>several</w:t>
      </w:r>
      <w:r>
        <w:rPr>
          <w:sz w:val="20"/>
          <w:szCs w:val="20"/>
        </w:rPr>
        <w:t xml:space="preserve"> columns which are as follows:</w:t>
      </w:r>
    </w:p>
    <w:tbl>
      <w:tblPr>
        <w:tblStyle w:val="a"/>
        <w:tblW w:w="4215" w:type="dxa"/>
        <w:tblInd w:w="9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2595"/>
      </w:tblGrid>
      <w:tr w:rsidR="000A13DE" w14:paraId="5586212B" w14:textId="77777777">
        <w:tc>
          <w:tcPr>
            <w:tcW w:w="1620" w:type="dxa"/>
            <w:shd w:val="clear" w:color="auto" w:fill="auto"/>
            <w:tcMar>
              <w:top w:w="100" w:type="dxa"/>
              <w:left w:w="100" w:type="dxa"/>
              <w:bottom w:w="100" w:type="dxa"/>
              <w:right w:w="100" w:type="dxa"/>
            </w:tcMar>
          </w:tcPr>
          <w:p w14:paraId="2C24B057" w14:textId="77777777" w:rsidR="000A13DE" w:rsidRDefault="00000000">
            <w:pPr>
              <w:widowControl/>
              <w:spacing w:before="240" w:after="240"/>
              <w:rPr>
                <w:b/>
                <w:sz w:val="20"/>
                <w:szCs w:val="20"/>
              </w:rPr>
            </w:pPr>
            <w:r>
              <w:rPr>
                <w:b/>
                <w:sz w:val="20"/>
                <w:szCs w:val="20"/>
              </w:rPr>
              <w:t xml:space="preserve">Field </w:t>
            </w:r>
          </w:p>
        </w:tc>
        <w:tc>
          <w:tcPr>
            <w:tcW w:w="2595" w:type="dxa"/>
            <w:shd w:val="clear" w:color="auto" w:fill="auto"/>
            <w:tcMar>
              <w:top w:w="100" w:type="dxa"/>
              <w:left w:w="100" w:type="dxa"/>
              <w:bottom w:w="100" w:type="dxa"/>
              <w:right w:w="100" w:type="dxa"/>
            </w:tcMar>
          </w:tcPr>
          <w:p w14:paraId="168DB5DA" w14:textId="77777777" w:rsidR="000A13DE" w:rsidRDefault="00000000">
            <w:pPr>
              <w:widowControl/>
              <w:spacing w:before="240" w:after="240"/>
              <w:rPr>
                <w:b/>
                <w:sz w:val="20"/>
                <w:szCs w:val="20"/>
              </w:rPr>
            </w:pPr>
            <w:r>
              <w:rPr>
                <w:b/>
                <w:sz w:val="20"/>
                <w:szCs w:val="20"/>
              </w:rPr>
              <w:t xml:space="preserve">Description </w:t>
            </w:r>
          </w:p>
        </w:tc>
      </w:tr>
      <w:tr w:rsidR="000A13DE" w14:paraId="37447E04" w14:textId="77777777">
        <w:tc>
          <w:tcPr>
            <w:tcW w:w="1620" w:type="dxa"/>
            <w:shd w:val="clear" w:color="auto" w:fill="auto"/>
            <w:tcMar>
              <w:top w:w="100" w:type="dxa"/>
              <w:left w:w="100" w:type="dxa"/>
              <w:bottom w:w="100" w:type="dxa"/>
              <w:right w:w="100" w:type="dxa"/>
            </w:tcMar>
          </w:tcPr>
          <w:p w14:paraId="15B35893" w14:textId="77777777" w:rsidR="000A13DE" w:rsidRDefault="00000000">
            <w:pPr>
              <w:widowControl/>
              <w:rPr>
                <w:sz w:val="16"/>
                <w:szCs w:val="16"/>
              </w:rPr>
            </w:pPr>
            <w:proofErr w:type="spellStart"/>
            <w:r>
              <w:rPr>
                <w:sz w:val="16"/>
                <w:szCs w:val="16"/>
              </w:rPr>
              <w:t>Voltage_measured</w:t>
            </w:r>
            <w:proofErr w:type="spellEnd"/>
            <w:r>
              <w:rPr>
                <w:sz w:val="16"/>
                <w:szCs w:val="16"/>
              </w:rPr>
              <w:t xml:space="preserve"> </w:t>
            </w:r>
          </w:p>
        </w:tc>
        <w:tc>
          <w:tcPr>
            <w:tcW w:w="2595" w:type="dxa"/>
            <w:shd w:val="clear" w:color="auto" w:fill="auto"/>
            <w:tcMar>
              <w:top w:w="100" w:type="dxa"/>
              <w:left w:w="100" w:type="dxa"/>
              <w:bottom w:w="100" w:type="dxa"/>
              <w:right w:w="100" w:type="dxa"/>
            </w:tcMar>
          </w:tcPr>
          <w:p w14:paraId="1C59ACBD" w14:textId="77777777" w:rsidR="000A13DE" w:rsidRDefault="00000000">
            <w:pPr>
              <w:widowControl/>
              <w:rPr>
                <w:sz w:val="16"/>
                <w:szCs w:val="16"/>
              </w:rPr>
            </w:pPr>
            <w:r>
              <w:rPr>
                <w:sz w:val="16"/>
                <w:szCs w:val="16"/>
              </w:rPr>
              <w:t xml:space="preserve">Battery terminal voltage (Volts)  </w:t>
            </w:r>
          </w:p>
        </w:tc>
      </w:tr>
      <w:tr w:rsidR="000A13DE" w14:paraId="21A2E322" w14:textId="77777777">
        <w:tc>
          <w:tcPr>
            <w:tcW w:w="1620" w:type="dxa"/>
            <w:shd w:val="clear" w:color="auto" w:fill="auto"/>
            <w:tcMar>
              <w:top w:w="100" w:type="dxa"/>
              <w:left w:w="100" w:type="dxa"/>
              <w:bottom w:w="100" w:type="dxa"/>
              <w:right w:w="100" w:type="dxa"/>
            </w:tcMar>
          </w:tcPr>
          <w:p w14:paraId="59A33180" w14:textId="77777777" w:rsidR="000A13DE" w:rsidRDefault="00000000">
            <w:pPr>
              <w:widowControl/>
              <w:rPr>
                <w:sz w:val="16"/>
                <w:szCs w:val="16"/>
              </w:rPr>
            </w:pPr>
            <w:proofErr w:type="spellStart"/>
            <w:r>
              <w:rPr>
                <w:sz w:val="16"/>
                <w:szCs w:val="16"/>
              </w:rPr>
              <w:t>Current_measured</w:t>
            </w:r>
            <w:proofErr w:type="spellEnd"/>
          </w:p>
        </w:tc>
        <w:tc>
          <w:tcPr>
            <w:tcW w:w="2595" w:type="dxa"/>
            <w:shd w:val="clear" w:color="auto" w:fill="auto"/>
            <w:tcMar>
              <w:top w:w="100" w:type="dxa"/>
              <w:left w:w="100" w:type="dxa"/>
              <w:bottom w:w="100" w:type="dxa"/>
              <w:right w:w="100" w:type="dxa"/>
            </w:tcMar>
          </w:tcPr>
          <w:p w14:paraId="64AED15E" w14:textId="77777777" w:rsidR="000A13DE" w:rsidRDefault="00000000">
            <w:pPr>
              <w:widowControl/>
              <w:rPr>
                <w:sz w:val="16"/>
                <w:szCs w:val="16"/>
              </w:rPr>
            </w:pPr>
            <w:r>
              <w:rPr>
                <w:sz w:val="16"/>
                <w:szCs w:val="16"/>
              </w:rPr>
              <w:t>Battery output current (Amps)</w:t>
            </w:r>
          </w:p>
        </w:tc>
      </w:tr>
      <w:tr w:rsidR="000A13DE" w14:paraId="49F9E52B" w14:textId="77777777">
        <w:tc>
          <w:tcPr>
            <w:tcW w:w="1620" w:type="dxa"/>
            <w:shd w:val="clear" w:color="auto" w:fill="auto"/>
            <w:tcMar>
              <w:top w:w="100" w:type="dxa"/>
              <w:left w:w="100" w:type="dxa"/>
              <w:bottom w:w="100" w:type="dxa"/>
              <w:right w:w="100" w:type="dxa"/>
            </w:tcMar>
          </w:tcPr>
          <w:p w14:paraId="00F05CFB" w14:textId="77777777" w:rsidR="000A13DE" w:rsidRDefault="00000000">
            <w:pPr>
              <w:widowControl/>
              <w:rPr>
                <w:sz w:val="16"/>
                <w:szCs w:val="16"/>
              </w:rPr>
            </w:pPr>
            <w:proofErr w:type="spellStart"/>
            <w:r>
              <w:rPr>
                <w:sz w:val="16"/>
                <w:szCs w:val="16"/>
              </w:rPr>
              <w:t>Temperature_measured</w:t>
            </w:r>
            <w:proofErr w:type="spellEnd"/>
            <w:r>
              <w:rPr>
                <w:sz w:val="16"/>
                <w:szCs w:val="16"/>
              </w:rPr>
              <w:t xml:space="preserve"> </w:t>
            </w:r>
          </w:p>
        </w:tc>
        <w:tc>
          <w:tcPr>
            <w:tcW w:w="2595" w:type="dxa"/>
            <w:shd w:val="clear" w:color="auto" w:fill="auto"/>
            <w:tcMar>
              <w:top w:w="100" w:type="dxa"/>
              <w:left w:w="100" w:type="dxa"/>
              <w:bottom w:w="100" w:type="dxa"/>
              <w:right w:w="100" w:type="dxa"/>
            </w:tcMar>
          </w:tcPr>
          <w:p w14:paraId="202BC38E" w14:textId="77777777" w:rsidR="000A13DE" w:rsidRDefault="00000000">
            <w:pPr>
              <w:widowControl/>
              <w:rPr>
                <w:sz w:val="16"/>
                <w:szCs w:val="16"/>
              </w:rPr>
            </w:pPr>
            <w:r>
              <w:rPr>
                <w:sz w:val="16"/>
                <w:szCs w:val="16"/>
              </w:rPr>
              <w:t>Battery temperature (degrees Celsius)</w:t>
            </w:r>
          </w:p>
        </w:tc>
      </w:tr>
      <w:tr w:rsidR="000A13DE" w14:paraId="3F98A7C5" w14:textId="77777777">
        <w:tc>
          <w:tcPr>
            <w:tcW w:w="1620" w:type="dxa"/>
            <w:shd w:val="clear" w:color="auto" w:fill="auto"/>
            <w:tcMar>
              <w:top w:w="100" w:type="dxa"/>
              <w:left w:w="100" w:type="dxa"/>
              <w:bottom w:w="100" w:type="dxa"/>
              <w:right w:w="100" w:type="dxa"/>
            </w:tcMar>
          </w:tcPr>
          <w:p w14:paraId="12D98C03" w14:textId="77777777" w:rsidR="000A13DE" w:rsidRDefault="00000000">
            <w:pPr>
              <w:widowControl/>
              <w:rPr>
                <w:sz w:val="16"/>
                <w:szCs w:val="16"/>
              </w:rPr>
            </w:pPr>
            <w:proofErr w:type="spellStart"/>
            <w:r>
              <w:rPr>
                <w:sz w:val="16"/>
                <w:szCs w:val="16"/>
              </w:rPr>
              <w:t>Current_charge</w:t>
            </w:r>
            <w:proofErr w:type="spellEnd"/>
            <w:r>
              <w:rPr>
                <w:sz w:val="16"/>
                <w:szCs w:val="16"/>
              </w:rPr>
              <w:t xml:space="preserve"> </w:t>
            </w:r>
          </w:p>
        </w:tc>
        <w:tc>
          <w:tcPr>
            <w:tcW w:w="2595" w:type="dxa"/>
            <w:shd w:val="clear" w:color="auto" w:fill="auto"/>
            <w:tcMar>
              <w:top w:w="100" w:type="dxa"/>
              <w:left w:w="100" w:type="dxa"/>
              <w:bottom w:w="100" w:type="dxa"/>
              <w:right w:w="100" w:type="dxa"/>
            </w:tcMar>
          </w:tcPr>
          <w:p w14:paraId="3EDD01BE" w14:textId="77777777" w:rsidR="000A13DE" w:rsidRDefault="00000000">
            <w:pPr>
              <w:widowControl/>
              <w:rPr>
                <w:sz w:val="16"/>
                <w:szCs w:val="16"/>
              </w:rPr>
            </w:pPr>
            <w:r>
              <w:rPr>
                <w:sz w:val="16"/>
                <w:szCs w:val="16"/>
              </w:rPr>
              <w:t>Current measured at charger (Amps)</w:t>
            </w:r>
          </w:p>
        </w:tc>
      </w:tr>
      <w:tr w:rsidR="000A13DE" w14:paraId="48827D04" w14:textId="77777777">
        <w:tc>
          <w:tcPr>
            <w:tcW w:w="1620" w:type="dxa"/>
            <w:shd w:val="clear" w:color="auto" w:fill="auto"/>
            <w:tcMar>
              <w:top w:w="100" w:type="dxa"/>
              <w:left w:w="100" w:type="dxa"/>
              <w:bottom w:w="100" w:type="dxa"/>
              <w:right w:w="100" w:type="dxa"/>
            </w:tcMar>
          </w:tcPr>
          <w:p w14:paraId="5E6910EC" w14:textId="77777777" w:rsidR="000A13DE" w:rsidRDefault="00000000">
            <w:pPr>
              <w:widowControl/>
              <w:rPr>
                <w:sz w:val="16"/>
                <w:szCs w:val="16"/>
              </w:rPr>
            </w:pPr>
            <w:r>
              <w:rPr>
                <w:sz w:val="16"/>
                <w:szCs w:val="16"/>
              </w:rPr>
              <w:t xml:space="preserve">Time </w:t>
            </w:r>
          </w:p>
        </w:tc>
        <w:tc>
          <w:tcPr>
            <w:tcW w:w="2595" w:type="dxa"/>
            <w:shd w:val="clear" w:color="auto" w:fill="auto"/>
            <w:tcMar>
              <w:top w:w="100" w:type="dxa"/>
              <w:left w:w="100" w:type="dxa"/>
              <w:bottom w:w="100" w:type="dxa"/>
              <w:right w:w="100" w:type="dxa"/>
            </w:tcMar>
          </w:tcPr>
          <w:p w14:paraId="7FBB1E33" w14:textId="7FC1FD41" w:rsidR="000A13DE" w:rsidRDefault="00000000">
            <w:pPr>
              <w:widowControl/>
              <w:rPr>
                <w:sz w:val="16"/>
                <w:szCs w:val="16"/>
              </w:rPr>
            </w:pPr>
            <w:r>
              <w:rPr>
                <w:sz w:val="16"/>
                <w:szCs w:val="16"/>
              </w:rPr>
              <w:t>Time vector for the cycle (</w:t>
            </w:r>
            <w:r w:rsidR="00933E5C">
              <w:rPr>
                <w:sz w:val="16"/>
                <w:szCs w:val="16"/>
              </w:rPr>
              <w:t xml:space="preserve">seconds)  </w:t>
            </w:r>
          </w:p>
        </w:tc>
      </w:tr>
      <w:tr w:rsidR="000A13DE" w14:paraId="7DAFB425" w14:textId="77777777">
        <w:tc>
          <w:tcPr>
            <w:tcW w:w="1620" w:type="dxa"/>
            <w:shd w:val="clear" w:color="auto" w:fill="auto"/>
            <w:tcMar>
              <w:top w:w="100" w:type="dxa"/>
              <w:left w:w="100" w:type="dxa"/>
              <w:bottom w:w="100" w:type="dxa"/>
              <w:right w:w="100" w:type="dxa"/>
            </w:tcMar>
          </w:tcPr>
          <w:p w14:paraId="5102F145" w14:textId="77777777" w:rsidR="000A13DE" w:rsidRDefault="00000000">
            <w:pPr>
              <w:widowControl/>
              <w:rPr>
                <w:sz w:val="16"/>
                <w:szCs w:val="16"/>
              </w:rPr>
            </w:pPr>
            <w:proofErr w:type="spellStart"/>
            <w:r>
              <w:rPr>
                <w:sz w:val="16"/>
                <w:szCs w:val="16"/>
              </w:rPr>
              <w:t>Voltage_measured</w:t>
            </w:r>
            <w:proofErr w:type="spellEnd"/>
            <w:r>
              <w:rPr>
                <w:sz w:val="16"/>
                <w:szCs w:val="16"/>
              </w:rPr>
              <w:t xml:space="preserve"> </w:t>
            </w:r>
          </w:p>
        </w:tc>
        <w:tc>
          <w:tcPr>
            <w:tcW w:w="2595" w:type="dxa"/>
            <w:shd w:val="clear" w:color="auto" w:fill="auto"/>
            <w:tcMar>
              <w:top w:w="100" w:type="dxa"/>
              <w:left w:w="100" w:type="dxa"/>
              <w:bottom w:w="100" w:type="dxa"/>
              <w:right w:w="100" w:type="dxa"/>
            </w:tcMar>
          </w:tcPr>
          <w:p w14:paraId="78EED6B4" w14:textId="4F197320" w:rsidR="000A13DE" w:rsidRDefault="00000000">
            <w:pPr>
              <w:widowControl/>
              <w:rPr>
                <w:sz w:val="16"/>
                <w:szCs w:val="16"/>
              </w:rPr>
            </w:pPr>
            <w:r>
              <w:rPr>
                <w:sz w:val="16"/>
                <w:szCs w:val="16"/>
              </w:rPr>
              <w:t>Battery terminal voltage (</w:t>
            </w:r>
            <w:r w:rsidR="00933E5C">
              <w:rPr>
                <w:sz w:val="16"/>
                <w:szCs w:val="16"/>
              </w:rPr>
              <w:t xml:space="preserve">Volts)  </w:t>
            </w:r>
          </w:p>
        </w:tc>
      </w:tr>
      <w:tr w:rsidR="000A13DE" w14:paraId="5AE57200" w14:textId="77777777">
        <w:tc>
          <w:tcPr>
            <w:tcW w:w="1620" w:type="dxa"/>
            <w:shd w:val="clear" w:color="auto" w:fill="auto"/>
            <w:tcMar>
              <w:top w:w="100" w:type="dxa"/>
              <w:left w:w="100" w:type="dxa"/>
              <w:bottom w:w="100" w:type="dxa"/>
              <w:right w:w="100" w:type="dxa"/>
            </w:tcMar>
          </w:tcPr>
          <w:p w14:paraId="589ED9EA" w14:textId="77777777" w:rsidR="000A13DE" w:rsidRDefault="00000000">
            <w:pPr>
              <w:widowControl/>
              <w:rPr>
                <w:sz w:val="16"/>
                <w:szCs w:val="16"/>
              </w:rPr>
            </w:pPr>
            <w:proofErr w:type="spellStart"/>
            <w:r>
              <w:rPr>
                <w:sz w:val="16"/>
                <w:szCs w:val="16"/>
              </w:rPr>
              <w:t>Current_measured</w:t>
            </w:r>
            <w:proofErr w:type="spellEnd"/>
            <w:r>
              <w:rPr>
                <w:sz w:val="16"/>
                <w:szCs w:val="16"/>
              </w:rPr>
              <w:t xml:space="preserve"> </w:t>
            </w:r>
          </w:p>
        </w:tc>
        <w:tc>
          <w:tcPr>
            <w:tcW w:w="2595" w:type="dxa"/>
            <w:shd w:val="clear" w:color="auto" w:fill="auto"/>
            <w:tcMar>
              <w:top w:w="100" w:type="dxa"/>
              <w:left w:w="100" w:type="dxa"/>
              <w:bottom w:w="100" w:type="dxa"/>
              <w:right w:w="100" w:type="dxa"/>
            </w:tcMar>
          </w:tcPr>
          <w:p w14:paraId="611AC431" w14:textId="55533DB2" w:rsidR="000A13DE" w:rsidRDefault="00000000">
            <w:pPr>
              <w:widowControl/>
              <w:rPr>
                <w:sz w:val="16"/>
                <w:szCs w:val="16"/>
              </w:rPr>
            </w:pPr>
            <w:r>
              <w:rPr>
                <w:sz w:val="16"/>
                <w:szCs w:val="16"/>
              </w:rPr>
              <w:t>Battery output current (</w:t>
            </w:r>
            <w:proofErr w:type="gramStart"/>
            <w:r w:rsidR="00933E5C">
              <w:rPr>
                <w:sz w:val="16"/>
                <w:szCs w:val="16"/>
              </w:rPr>
              <w:t xml:space="preserve">Amps)  </w:t>
            </w:r>
            <w:r>
              <w:rPr>
                <w:sz w:val="16"/>
                <w:szCs w:val="16"/>
              </w:rPr>
              <w:t xml:space="preserve"> </w:t>
            </w:r>
            <w:proofErr w:type="gramEnd"/>
            <w:r>
              <w:rPr>
                <w:sz w:val="16"/>
                <w:szCs w:val="16"/>
              </w:rPr>
              <w:t xml:space="preserve">    </w:t>
            </w:r>
          </w:p>
        </w:tc>
      </w:tr>
      <w:tr w:rsidR="000A13DE" w14:paraId="6A6C0942" w14:textId="77777777">
        <w:tc>
          <w:tcPr>
            <w:tcW w:w="1620" w:type="dxa"/>
            <w:shd w:val="clear" w:color="auto" w:fill="auto"/>
            <w:tcMar>
              <w:top w:w="100" w:type="dxa"/>
              <w:left w:w="100" w:type="dxa"/>
              <w:bottom w:w="100" w:type="dxa"/>
              <w:right w:w="100" w:type="dxa"/>
            </w:tcMar>
          </w:tcPr>
          <w:p w14:paraId="2F5360EA" w14:textId="77777777" w:rsidR="000A13DE" w:rsidRDefault="00000000">
            <w:pPr>
              <w:widowControl/>
              <w:rPr>
                <w:sz w:val="16"/>
                <w:szCs w:val="16"/>
              </w:rPr>
            </w:pPr>
            <w:proofErr w:type="spellStart"/>
            <w:r>
              <w:rPr>
                <w:sz w:val="16"/>
                <w:szCs w:val="16"/>
              </w:rPr>
              <w:t>Temperature_measured</w:t>
            </w:r>
            <w:proofErr w:type="spellEnd"/>
            <w:r>
              <w:rPr>
                <w:sz w:val="16"/>
                <w:szCs w:val="16"/>
              </w:rPr>
              <w:t xml:space="preserve"> </w:t>
            </w:r>
          </w:p>
        </w:tc>
        <w:tc>
          <w:tcPr>
            <w:tcW w:w="2595" w:type="dxa"/>
            <w:shd w:val="clear" w:color="auto" w:fill="auto"/>
            <w:tcMar>
              <w:top w:w="100" w:type="dxa"/>
              <w:left w:w="100" w:type="dxa"/>
              <w:bottom w:w="100" w:type="dxa"/>
              <w:right w:w="100" w:type="dxa"/>
            </w:tcMar>
          </w:tcPr>
          <w:p w14:paraId="2CB9AE9A" w14:textId="77777777" w:rsidR="000A13DE" w:rsidRDefault="00000000">
            <w:pPr>
              <w:widowControl/>
              <w:rPr>
                <w:sz w:val="16"/>
                <w:szCs w:val="16"/>
              </w:rPr>
            </w:pPr>
            <w:r>
              <w:rPr>
                <w:sz w:val="16"/>
                <w:szCs w:val="16"/>
              </w:rPr>
              <w:t xml:space="preserve">Battery temperature (degrees Celsius) </w:t>
            </w:r>
          </w:p>
        </w:tc>
      </w:tr>
      <w:tr w:rsidR="000A13DE" w14:paraId="41630EBF" w14:textId="77777777">
        <w:tc>
          <w:tcPr>
            <w:tcW w:w="1620" w:type="dxa"/>
            <w:shd w:val="clear" w:color="auto" w:fill="auto"/>
            <w:tcMar>
              <w:top w:w="100" w:type="dxa"/>
              <w:left w:w="100" w:type="dxa"/>
              <w:bottom w:w="100" w:type="dxa"/>
              <w:right w:w="100" w:type="dxa"/>
            </w:tcMar>
          </w:tcPr>
          <w:p w14:paraId="4DAC1579" w14:textId="77777777" w:rsidR="000A13DE" w:rsidRDefault="00000000">
            <w:pPr>
              <w:widowControl/>
              <w:rPr>
                <w:sz w:val="16"/>
                <w:szCs w:val="16"/>
              </w:rPr>
            </w:pPr>
            <w:proofErr w:type="spellStart"/>
            <w:r>
              <w:rPr>
                <w:sz w:val="16"/>
                <w:szCs w:val="16"/>
              </w:rPr>
              <w:t>Current_charge</w:t>
            </w:r>
            <w:proofErr w:type="spellEnd"/>
            <w:r>
              <w:rPr>
                <w:sz w:val="16"/>
                <w:szCs w:val="16"/>
              </w:rPr>
              <w:t xml:space="preserve"> </w:t>
            </w:r>
          </w:p>
        </w:tc>
        <w:tc>
          <w:tcPr>
            <w:tcW w:w="2595" w:type="dxa"/>
            <w:shd w:val="clear" w:color="auto" w:fill="auto"/>
            <w:tcMar>
              <w:top w:w="100" w:type="dxa"/>
              <w:left w:w="100" w:type="dxa"/>
              <w:bottom w:w="100" w:type="dxa"/>
              <w:right w:w="100" w:type="dxa"/>
            </w:tcMar>
          </w:tcPr>
          <w:p w14:paraId="5DC09D65" w14:textId="77777777" w:rsidR="000A13DE" w:rsidRDefault="00000000">
            <w:pPr>
              <w:widowControl/>
              <w:rPr>
                <w:sz w:val="16"/>
                <w:szCs w:val="16"/>
              </w:rPr>
            </w:pPr>
            <w:r>
              <w:rPr>
                <w:sz w:val="16"/>
                <w:szCs w:val="16"/>
              </w:rPr>
              <w:t>Current measured at load (Amps)</w:t>
            </w:r>
          </w:p>
        </w:tc>
      </w:tr>
      <w:tr w:rsidR="000A13DE" w14:paraId="7E312031" w14:textId="77777777">
        <w:tc>
          <w:tcPr>
            <w:tcW w:w="1620" w:type="dxa"/>
            <w:shd w:val="clear" w:color="auto" w:fill="auto"/>
            <w:tcMar>
              <w:top w:w="100" w:type="dxa"/>
              <w:left w:w="100" w:type="dxa"/>
              <w:bottom w:w="100" w:type="dxa"/>
              <w:right w:w="100" w:type="dxa"/>
            </w:tcMar>
          </w:tcPr>
          <w:p w14:paraId="1039942D" w14:textId="77777777" w:rsidR="000A13DE" w:rsidRDefault="00000000">
            <w:pPr>
              <w:widowControl/>
              <w:rPr>
                <w:sz w:val="16"/>
                <w:szCs w:val="16"/>
              </w:rPr>
            </w:pPr>
            <w:proofErr w:type="spellStart"/>
            <w:r>
              <w:rPr>
                <w:sz w:val="16"/>
                <w:szCs w:val="16"/>
              </w:rPr>
              <w:t>Voltage_charge</w:t>
            </w:r>
            <w:proofErr w:type="spellEnd"/>
            <w:r>
              <w:rPr>
                <w:sz w:val="16"/>
                <w:szCs w:val="16"/>
              </w:rPr>
              <w:t xml:space="preserve"> </w:t>
            </w:r>
          </w:p>
        </w:tc>
        <w:tc>
          <w:tcPr>
            <w:tcW w:w="2595" w:type="dxa"/>
            <w:shd w:val="clear" w:color="auto" w:fill="auto"/>
            <w:tcMar>
              <w:top w:w="100" w:type="dxa"/>
              <w:left w:w="100" w:type="dxa"/>
              <w:bottom w:w="100" w:type="dxa"/>
              <w:right w:w="100" w:type="dxa"/>
            </w:tcMar>
          </w:tcPr>
          <w:p w14:paraId="0BF62D36" w14:textId="77777777" w:rsidR="000A13DE" w:rsidRDefault="00000000">
            <w:pPr>
              <w:widowControl/>
              <w:rPr>
                <w:sz w:val="16"/>
                <w:szCs w:val="16"/>
              </w:rPr>
            </w:pPr>
            <w:r>
              <w:rPr>
                <w:sz w:val="16"/>
                <w:szCs w:val="16"/>
              </w:rPr>
              <w:t xml:space="preserve"> Voltage measured at load (Volts)</w:t>
            </w:r>
          </w:p>
        </w:tc>
      </w:tr>
      <w:tr w:rsidR="000A13DE" w14:paraId="65A32544" w14:textId="77777777">
        <w:tc>
          <w:tcPr>
            <w:tcW w:w="1620" w:type="dxa"/>
            <w:shd w:val="clear" w:color="auto" w:fill="auto"/>
            <w:tcMar>
              <w:top w:w="100" w:type="dxa"/>
              <w:left w:w="100" w:type="dxa"/>
              <w:bottom w:w="100" w:type="dxa"/>
              <w:right w:w="100" w:type="dxa"/>
            </w:tcMar>
          </w:tcPr>
          <w:p w14:paraId="3DAD051E" w14:textId="77777777" w:rsidR="000A13DE" w:rsidRDefault="00000000">
            <w:pPr>
              <w:widowControl/>
              <w:rPr>
                <w:sz w:val="16"/>
                <w:szCs w:val="16"/>
              </w:rPr>
            </w:pPr>
            <w:r>
              <w:rPr>
                <w:sz w:val="16"/>
                <w:szCs w:val="16"/>
              </w:rPr>
              <w:t xml:space="preserve">Time </w:t>
            </w:r>
          </w:p>
        </w:tc>
        <w:tc>
          <w:tcPr>
            <w:tcW w:w="2595" w:type="dxa"/>
            <w:shd w:val="clear" w:color="auto" w:fill="auto"/>
            <w:tcMar>
              <w:top w:w="100" w:type="dxa"/>
              <w:left w:w="100" w:type="dxa"/>
              <w:bottom w:w="100" w:type="dxa"/>
              <w:right w:w="100" w:type="dxa"/>
            </w:tcMar>
          </w:tcPr>
          <w:p w14:paraId="31AA198E" w14:textId="77777777" w:rsidR="000A13DE" w:rsidRDefault="00000000">
            <w:pPr>
              <w:widowControl/>
              <w:rPr>
                <w:sz w:val="16"/>
                <w:szCs w:val="16"/>
              </w:rPr>
            </w:pPr>
            <w:r>
              <w:rPr>
                <w:sz w:val="16"/>
                <w:szCs w:val="16"/>
              </w:rPr>
              <w:t xml:space="preserve"> Time vector for the cycle (seconds) </w:t>
            </w:r>
          </w:p>
        </w:tc>
      </w:tr>
      <w:tr w:rsidR="000A13DE" w14:paraId="5975B54B" w14:textId="77777777">
        <w:tc>
          <w:tcPr>
            <w:tcW w:w="1620" w:type="dxa"/>
            <w:shd w:val="clear" w:color="auto" w:fill="auto"/>
            <w:tcMar>
              <w:top w:w="100" w:type="dxa"/>
              <w:left w:w="100" w:type="dxa"/>
              <w:bottom w:w="100" w:type="dxa"/>
              <w:right w:w="100" w:type="dxa"/>
            </w:tcMar>
          </w:tcPr>
          <w:p w14:paraId="3ED982E3" w14:textId="77777777" w:rsidR="000A13DE" w:rsidRDefault="00000000">
            <w:pPr>
              <w:widowControl/>
              <w:rPr>
                <w:sz w:val="16"/>
                <w:szCs w:val="16"/>
              </w:rPr>
            </w:pPr>
            <w:r>
              <w:rPr>
                <w:sz w:val="16"/>
                <w:szCs w:val="16"/>
              </w:rPr>
              <w:t xml:space="preserve">Capacity </w:t>
            </w:r>
          </w:p>
        </w:tc>
        <w:tc>
          <w:tcPr>
            <w:tcW w:w="2595" w:type="dxa"/>
            <w:shd w:val="clear" w:color="auto" w:fill="auto"/>
            <w:tcMar>
              <w:top w:w="100" w:type="dxa"/>
              <w:left w:w="100" w:type="dxa"/>
              <w:bottom w:w="100" w:type="dxa"/>
              <w:right w:w="100" w:type="dxa"/>
            </w:tcMar>
          </w:tcPr>
          <w:p w14:paraId="397F087F" w14:textId="77777777" w:rsidR="000A13DE" w:rsidRDefault="00000000">
            <w:pPr>
              <w:widowControl/>
              <w:rPr>
                <w:sz w:val="16"/>
                <w:szCs w:val="16"/>
              </w:rPr>
            </w:pPr>
            <w:r>
              <w:rPr>
                <w:sz w:val="16"/>
                <w:szCs w:val="16"/>
              </w:rPr>
              <w:t>Battery capacity (Amp-hour) for discharge till 2.7V</w:t>
            </w:r>
          </w:p>
        </w:tc>
      </w:tr>
    </w:tbl>
    <w:p w14:paraId="13B8F130" w14:textId="77777777" w:rsidR="000A13DE" w:rsidRDefault="00000000">
      <w:pPr>
        <w:widowControl/>
        <w:spacing w:before="240" w:after="240" w:line="276" w:lineRule="auto"/>
        <w:ind w:left="270"/>
        <w:rPr>
          <w:sz w:val="20"/>
          <w:szCs w:val="20"/>
        </w:rPr>
      </w:pPr>
      <w:r>
        <w:rPr>
          <w:sz w:val="20"/>
          <w:szCs w:val="20"/>
        </w:rPr>
        <w:tab/>
      </w:r>
      <w:r>
        <w:rPr>
          <w:b/>
          <w:sz w:val="18"/>
          <w:szCs w:val="18"/>
        </w:rPr>
        <w:t xml:space="preserve">Table 1 Dataset </w:t>
      </w:r>
      <w:proofErr w:type="spellStart"/>
      <w:r>
        <w:rPr>
          <w:b/>
          <w:sz w:val="18"/>
          <w:szCs w:val="18"/>
        </w:rPr>
        <w:t>MetaData</w:t>
      </w:r>
      <w:proofErr w:type="spellEnd"/>
    </w:p>
    <w:p w14:paraId="39098A57" w14:textId="77777777" w:rsidR="000A13DE" w:rsidRDefault="000A13DE">
      <w:pPr>
        <w:widowControl/>
        <w:spacing w:before="240" w:after="240" w:line="276" w:lineRule="auto"/>
        <w:ind w:left="270"/>
        <w:rPr>
          <w:sz w:val="20"/>
          <w:szCs w:val="20"/>
        </w:rPr>
      </w:pPr>
    </w:p>
    <w:p w14:paraId="3E0D0585" w14:textId="77777777" w:rsidR="000A13DE" w:rsidRDefault="000A13DE">
      <w:pPr>
        <w:widowControl/>
        <w:spacing w:before="240" w:after="240" w:line="276" w:lineRule="auto"/>
        <w:ind w:left="270"/>
        <w:rPr>
          <w:sz w:val="20"/>
          <w:szCs w:val="20"/>
        </w:rPr>
      </w:pPr>
    </w:p>
    <w:p w14:paraId="149997F6" w14:textId="33398BAB" w:rsidR="000A13DE" w:rsidRDefault="00000000">
      <w:pPr>
        <w:widowControl/>
        <w:spacing w:before="240" w:after="240" w:line="276" w:lineRule="auto"/>
        <w:ind w:left="270"/>
        <w:rPr>
          <w:b/>
          <w:sz w:val="18"/>
          <w:szCs w:val="18"/>
        </w:rPr>
      </w:pPr>
      <w:r>
        <w:rPr>
          <w:sz w:val="20"/>
          <w:szCs w:val="20"/>
        </w:rPr>
        <w:t xml:space="preserve">The dataset has the recorded data for </w:t>
      </w:r>
      <w:r w:rsidR="00F65A94">
        <w:rPr>
          <w:sz w:val="20"/>
          <w:szCs w:val="20"/>
        </w:rPr>
        <w:t>several</w:t>
      </w:r>
      <w:r>
        <w:rPr>
          <w:sz w:val="20"/>
          <w:szCs w:val="20"/>
        </w:rPr>
        <w:t xml:space="preserve"> </w:t>
      </w:r>
      <w:r w:rsidR="00EE5A22">
        <w:rPr>
          <w:sz w:val="20"/>
          <w:szCs w:val="20"/>
        </w:rPr>
        <w:t>batteries,</w:t>
      </w:r>
      <w:r>
        <w:rPr>
          <w:sz w:val="20"/>
          <w:szCs w:val="20"/>
        </w:rPr>
        <w:t xml:space="preserve"> each in groups of four where each where each group represents the data for the batteries in different environmental conditions </w:t>
      </w:r>
      <w:r>
        <w:rPr>
          <w:noProof/>
          <w:sz w:val="20"/>
          <w:szCs w:val="20"/>
        </w:rPr>
        <w:drawing>
          <wp:inline distT="114300" distB="114300" distL="114300" distR="114300" wp14:anchorId="7C7D22D9" wp14:editId="67AEDDAF">
            <wp:extent cx="3195638" cy="1587956"/>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l="5246" r="8333"/>
                    <a:stretch>
                      <a:fillRect/>
                    </a:stretch>
                  </pic:blipFill>
                  <pic:spPr>
                    <a:xfrm>
                      <a:off x="0" y="0"/>
                      <a:ext cx="3195638" cy="1587956"/>
                    </a:xfrm>
                    <a:prstGeom prst="rect">
                      <a:avLst/>
                    </a:prstGeom>
                    <a:ln/>
                  </pic:spPr>
                </pic:pic>
              </a:graphicData>
            </a:graphic>
          </wp:inline>
        </w:drawing>
      </w:r>
      <w:r>
        <w:rPr>
          <w:b/>
          <w:sz w:val="18"/>
          <w:szCs w:val="18"/>
        </w:rPr>
        <w:t xml:space="preserve">Graph 2 Capacity of batteries over </w:t>
      </w:r>
      <w:r w:rsidR="008E721F">
        <w:rPr>
          <w:b/>
          <w:sz w:val="18"/>
          <w:szCs w:val="18"/>
        </w:rPr>
        <w:t>time.</w:t>
      </w:r>
    </w:p>
    <w:p w14:paraId="63676745" w14:textId="44914713" w:rsidR="000A13DE" w:rsidRDefault="00000000">
      <w:pPr>
        <w:widowControl/>
        <w:spacing w:before="240" w:after="240" w:line="276" w:lineRule="auto"/>
        <w:ind w:left="270"/>
        <w:rPr>
          <w:sz w:val="20"/>
          <w:szCs w:val="20"/>
        </w:rPr>
      </w:pPr>
      <w:r>
        <w:rPr>
          <w:sz w:val="20"/>
          <w:szCs w:val="20"/>
        </w:rPr>
        <w:t xml:space="preserve">By plotting the capacity of all the available </w:t>
      </w:r>
      <w:r w:rsidR="008E721F">
        <w:rPr>
          <w:sz w:val="20"/>
          <w:szCs w:val="20"/>
        </w:rPr>
        <w:t>batteries,</w:t>
      </w:r>
      <w:r>
        <w:rPr>
          <w:sz w:val="20"/>
          <w:szCs w:val="20"/>
        </w:rPr>
        <w:t xml:space="preserve"> we were able to see some inconsistencies in the dataset as the data of some batteries were split </w:t>
      </w:r>
      <w:r w:rsidR="008E721F">
        <w:rPr>
          <w:sz w:val="20"/>
          <w:szCs w:val="20"/>
        </w:rPr>
        <w:t>the data as well</w:t>
      </w:r>
      <w:r>
        <w:rPr>
          <w:sz w:val="20"/>
          <w:szCs w:val="20"/>
        </w:rPr>
        <w:t xml:space="preserve"> being recorded in different testing situations such as a difference in </w:t>
      </w:r>
      <w:r w:rsidR="00EE5A22">
        <w:rPr>
          <w:sz w:val="20"/>
          <w:szCs w:val="20"/>
        </w:rPr>
        <w:t>temperature,</w:t>
      </w:r>
      <w:r>
        <w:rPr>
          <w:sz w:val="20"/>
          <w:szCs w:val="20"/>
        </w:rPr>
        <w:t xml:space="preserve"> charging </w:t>
      </w:r>
      <w:r w:rsidR="008E721F">
        <w:rPr>
          <w:sz w:val="20"/>
          <w:szCs w:val="20"/>
        </w:rPr>
        <w:t>current, discharge</w:t>
      </w:r>
      <w:r>
        <w:rPr>
          <w:sz w:val="20"/>
          <w:szCs w:val="20"/>
        </w:rPr>
        <w:t xml:space="preserve"> </w:t>
      </w:r>
      <w:r w:rsidR="008E721F">
        <w:rPr>
          <w:sz w:val="20"/>
          <w:szCs w:val="20"/>
        </w:rPr>
        <w:t>current,</w:t>
      </w:r>
      <w:r>
        <w:rPr>
          <w:sz w:val="20"/>
          <w:szCs w:val="20"/>
        </w:rPr>
        <w:t xml:space="preserve"> as well as EOL criteria. For this we choose to proceed further with the data collected from the first group which includes the </w:t>
      </w:r>
      <w:r>
        <w:rPr>
          <w:sz w:val="20"/>
          <w:szCs w:val="20"/>
        </w:rPr>
        <w:lastRenderedPageBreak/>
        <w:t xml:space="preserve">following </w:t>
      </w:r>
      <w:r w:rsidR="008E721F">
        <w:rPr>
          <w:sz w:val="20"/>
          <w:szCs w:val="20"/>
        </w:rPr>
        <w:t>batteries:</w:t>
      </w:r>
      <w:r>
        <w:rPr>
          <w:sz w:val="20"/>
          <w:szCs w:val="20"/>
        </w:rPr>
        <w:br/>
        <w:t>['B0005.mat','B0006.mat','B0007.mat','B0018.mat']</w:t>
      </w:r>
    </w:p>
    <w:p w14:paraId="10F1B708" w14:textId="1A0743FE" w:rsidR="000A13DE" w:rsidRDefault="00000000">
      <w:pPr>
        <w:widowControl/>
        <w:spacing w:before="240" w:after="240" w:line="276" w:lineRule="auto"/>
        <w:ind w:left="270"/>
        <w:rPr>
          <w:sz w:val="20"/>
          <w:szCs w:val="20"/>
        </w:rPr>
      </w:pPr>
      <w:r>
        <w:rPr>
          <w:sz w:val="20"/>
          <w:szCs w:val="20"/>
        </w:rPr>
        <w:t>The selected group of batteries consists of four Li-ion batteries, numbered 5, 6, 7, and 18, which underwent comprehensive testing across three distinct operational profiles: charge, discharge, and impedance. These batteries were subjected to controlled charging protocols, beginning with a constant current (CC) mode at 1.5A until reaching 4.2V, followed by a constant voltage (CV) mode until the charge current dropped to 20mA. Discharge operations were conducted at specific constant current levels until reaching predetermined voltage thresholds, tailored individually for each battery to 2.7V, 2.5V, 2.2V, and 2.5V for batteries 5, 6, 7, and 18, respectively. Additionally, electrochemical impedance spectroscopy (EIS) measurements were performed, spanning frequencies from 0.1Hz to 5kHz, providing valuable insights into internal battery parameters. The repetitive charge-discharge cycles induced accelerated aging in the batteries, simulating real-world usage scenarios. The experiments were terminated upon meeting the end-of-life (EOL) criteria, defined as a 30% fade in rated capacity, transitioning from 2Ahr to 1.4</w:t>
      </w:r>
      <w:r w:rsidR="008E721F">
        <w:rPr>
          <w:sz w:val="20"/>
          <w:szCs w:val="20"/>
        </w:rPr>
        <w:t>Ahr [</w:t>
      </w:r>
      <w:r>
        <w:rPr>
          <w:sz w:val="20"/>
          <w:szCs w:val="20"/>
        </w:rPr>
        <w:t>1].</w:t>
      </w:r>
    </w:p>
    <w:p w14:paraId="24077624" w14:textId="77777777" w:rsidR="000A13DE" w:rsidRDefault="00000000">
      <w:pPr>
        <w:widowControl/>
        <w:spacing w:after="240" w:line="276" w:lineRule="auto"/>
        <w:ind w:left="270"/>
        <w:rPr>
          <w:sz w:val="20"/>
          <w:szCs w:val="20"/>
        </w:rPr>
      </w:pPr>
      <w:r>
        <w:rPr>
          <w:sz w:val="20"/>
          <w:szCs w:val="20"/>
        </w:rPr>
        <w:t>Notably, the dataset lacks columns for State of Health (</w:t>
      </w:r>
      <w:proofErr w:type="spellStart"/>
      <w:r>
        <w:rPr>
          <w:sz w:val="20"/>
          <w:szCs w:val="20"/>
        </w:rPr>
        <w:t>SoH</w:t>
      </w:r>
      <w:proofErr w:type="spellEnd"/>
      <w:r>
        <w:rPr>
          <w:sz w:val="20"/>
          <w:szCs w:val="20"/>
        </w:rPr>
        <w:t>) and Remaining Useful Life (RUL), necessitating their calculation.</w:t>
      </w:r>
    </w:p>
    <w:p w14:paraId="4D4BFA73" w14:textId="77777777" w:rsidR="000A13DE" w:rsidRDefault="00000000">
      <w:pPr>
        <w:widowControl/>
        <w:spacing w:before="240" w:after="240" w:line="276" w:lineRule="auto"/>
        <w:ind w:left="720"/>
        <w:rPr>
          <w:sz w:val="20"/>
          <w:szCs w:val="20"/>
        </w:rPr>
      </w:pPr>
      <w:r>
        <w:rPr>
          <w:sz w:val="20"/>
          <w:szCs w:val="20"/>
        </w:rPr>
        <w:t>State of Health (</w:t>
      </w:r>
      <w:proofErr w:type="spellStart"/>
      <w:r>
        <w:rPr>
          <w:sz w:val="20"/>
          <w:szCs w:val="20"/>
        </w:rPr>
        <w:t>SoH</w:t>
      </w:r>
      <w:proofErr w:type="spellEnd"/>
      <w:r>
        <w:rPr>
          <w:sz w:val="20"/>
          <w:szCs w:val="20"/>
        </w:rPr>
        <w:t xml:space="preserve">) denotes the current health status of the battery relative to its initial state, often determined by assessing capacity degradation over time. Typically, </w:t>
      </w:r>
      <w:proofErr w:type="spellStart"/>
      <w:r>
        <w:rPr>
          <w:sz w:val="20"/>
          <w:szCs w:val="20"/>
        </w:rPr>
        <w:t>SoH</w:t>
      </w:r>
      <w:proofErr w:type="spellEnd"/>
      <w:r>
        <w:rPr>
          <w:sz w:val="20"/>
          <w:szCs w:val="20"/>
        </w:rPr>
        <w:t xml:space="preserve"> is calculated as a percentage by comparing the current capacity to the initial capacity. The formula is as follows: </w:t>
      </w:r>
    </w:p>
    <w:p w14:paraId="76D3F088" w14:textId="69ACEE6E" w:rsidR="000A13DE" w:rsidRDefault="00000000">
      <w:pPr>
        <w:widowControl/>
        <w:spacing w:before="240" w:after="240" w:line="276" w:lineRule="auto"/>
        <w:ind w:left="720"/>
        <w:rPr>
          <w:sz w:val="20"/>
          <w:szCs w:val="20"/>
        </w:rPr>
      </w:pPr>
      <w:proofErr w:type="spellStart"/>
      <w:r>
        <w:rPr>
          <w:sz w:val="20"/>
          <w:szCs w:val="20"/>
        </w:rPr>
        <w:t>SoH</w:t>
      </w:r>
      <w:proofErr w:type="spellEnd"/>
      <w:r w:rsidR="008E721F">
        <w:rPr>
          <w:sz w:val="20"/>
          <w:szCs w:val="20"/>
        </w:rPr>
        <w:t>= (</w:t>
      </w:r>
      <w:r>
        <w:rPr>
          <w:sz w:val="20"/>
          <w:szCs w:val="20"/>
        </w:rPr>
        <w:t xml:space="preserve">Current Capacity / Initial </w:t>
      </w:r>
      <w:r w:rsidR="008E721F">
        <w:rPr>
          <w:sz w:val="20"/>
          <w:szCs w:val="20"/>
        </w:rPr>
        <w:t>Capacity) ×</w:t>
      </w:r>
      <w:r>
        <w:rPr>
          <w:sz w:val="20"/>
          <w:szCs w:val="20"/>
        </w:rPr>
        <w:t>100%</w:t>
      </w:r>
    </w:p>
    <w:p w14:paraId="3BBF7AAE" w14:textId="77777777" w:rsidR="000A13DE" w:rsidRDefault="00000000">
      <w:pPr>
        <w:widowControl/>
        <w:spacing w:before="240" w:after="240" w:line="276" w:lineRule="auto"/>
        <w:ind w:left="720"/>
        <w:rPr>
          <w:sz w:val="20"/>
          <w:szCs w:val="20"/>
        </w:rPr>
      </w:pPr>
      <w:r>
        <w:rPr>
          <w:sz w:val="20"/>
          <w:szCs w:val="20"/>
        </w:rPr>
        <w:t>Where:</w:t>
      </w:r>
    </w:p>
    <w:p w14:paraId="3BD246FE" w14:textId="77777777" w:rsidR="000A13DE" w:rsidRDefault="00000000">
      <w:pPr>
        <w:widowControl/>
        <w:spacing w:before="240" w:after="240" w:line="276" w:lineRule="auto"/>
        <w:ind w:left="720"/>
        <w:rPr>
          <w:sz w:val="20"/>
          <w:szCs w:val="20"/>
        </w:rPr>
      </w:pPr>
      <w:r>
        <w:rPr>
          <w:sz w:val="20"/>
          <w:szCs w:val="20"/>
        </w:rPr>
        <w:t>Current Capacity: Capacity measured at the current cycle.</w:t>
      </w:r>
    </w:p>
    <w:p w14:paraId="0CFA59B0" w14:textId="77777777" w:rsidR="000A13DE" w:rsidRDefault="00000000">
      <w:pPr>
        <w:widowControl/>
        <w:spacing w:before="240" w:after="240" w:line="276" w:lineRule="auto"/>
        <w:ind w:left="720"/>
        <w:rPr>
          <w:sz w:val="20"/>
          <w:szCs w:val="20"/>
        </w:rPr>
      </w:pPr>
      <w:r>
        <w:rPr>
          <w:sz w:val="20"/>
          <w:szCs w:val="20"/>
        </w:rPr>
        <w:t>Initial Capacity: Capacity measured at the initial cycle.</w:t>
      </w:r>
    </w:p>
    <w:p w14:paraId="7B4F7F7D" w14:textId="77777777" w:rsidR="000A13DE" w:rsidRDefault="00000000">
      <w:pPr>
        <w:widowControl/>
        <w:spacing w:before="240" w:after="240" w:line="276" w:lineRule="auto"/>
        <w:ind w:left="720"/>
        <w:rPr>
          <w:sz w:val="20"/>
          <w:szCs w:val="20"/>
        </w:rPr>
      </w:pPr>
      <w:r>
        <w:rPr>
          <w:sz w:val="20"/>
          <w:szCs w:val="20"/>
        </w:rPr>
        <w:t xml:space="preserve">Remaining Useful Life (RUL) predicts the remaining lifespan of the battery before reaching a predefined end-of-life threshold. RUL estimation involves </w:t>
      </w:r>
      <w:proofErr w:type="spellStart"/>
      <w:r>
        <w:rPr>
          <w:sz w:val="20"/>
          <w:szCs w:val="20"/>
        </w:rPr>
        <w:t>analysing</w:t>
      </w:r>
      <w:proofErr w:type="spellEnd"/>
      <w:r>
        <w:rPr>
          <w:sz w:val="20"/>
          <w:szCs w:val="20"/>
        </w:rPr>
        <w:t xml:space="preserve"> degradation trends in performance parameters, such as capacity, voltage, or internal resistance. A common approach is to fit a degradation model to historical data and extrapolate future degradation to estimate RUL. The generic formula for RUL calculation is: </w:t>
      </w:r>
    </w:p>
    <w:p w14:paraId="33DAD459" w14:textId="474E3F80" w:rsidR="000A13DE" w:rsidRDefault="00000000">
      <w:pPr>
        <w:widowControl/>
        <w:spacing w:before="240" w:after="240" w:line="276" w:lineRule="auto"/>
        <w:ind w:left="720"/>
        <w:rPr>
          <w:sz w:val="20"/>
          <w:szCs w:val="20"/>
        </w:rPr>
      </w:pPr>
      <w:r>
        <w:rPr>
          <w:rFonts w:ascii="Gungsuh" w:eastAsia="Gungsuh" w:hAnsi="Gungsuh" w:cs="Gungsuh"/>
          <w:sz w:val="20"/>
          <w:szCs w:val="20"/>
        </w:rPr>
        <w:t>RUL</w:t>
      </w:r>
      <w:r w:rsidR="008E721F">
        <w:rPr>
          <w:rFonts w:ascii="Gungsuh" w:eastAsia="Gungsuh" w:hAnsi="Gungsuh" w:cs="Gungsuh"/>
          <w:sz w:val="20"/>
          <w:szCs w:val="20"/>
        </w:rPr>
        <w:t>= (</w:t>
      </w:r>
      <w:r>
        <w:rPr>
          <w:rFonts w:ascii="Gungsuh" w:eastAsia="Gungsuh" w:hAnsi="Gungsuh" w:cs="Gungsuh"/>
          <w:sz w:val="20"/>
          <w:szCs w:val="20"/>
        </w:rPr>
        <w:t xml:space="preserve">End-of-life </w:t>
      </w:r>
      <w:r w:rsidR="008E721F">
        <w:rPr>
          <w:rFonts w:ascii="Gungsuh" w:eastAsia="Gungsuh" w:hAnsi="Gungsuh" w:cs="Gungsuh"/>
          <w:sz w:val="20"/>
          <w:szCs w:val="20"/>
        </w:rPr>
        <w:t xml:space="preserve">cycle) </w:t>
      </w:r>
      <w:r w:rsidR="00F65A94">
        <w:rPr>
          <w:rFonts w:eastAsia="Gungsuh"/>
          <w:sz w:val="20"/>
          <w:szCs w:val="20"/>
        </w:rPr>
        <w:t>−</w:t>
      </w:r>
      <w:r w:rsidR="00F65A94">
        <w:rPr>
          <w:rFonts w:ascii="Gungsuh" w:eastAsia="Gungsuh" w:hAnsi="Gungsuh" w:cs="Gungsuh"/>
          <w:sz w:val="20"/>
          <w:szCs w:val="20"/>
        </w:rPr>
        <w:t xml:space="preserve"> (</w:t>
      </w:r>
      <w:r>
        <w:rPr>
          <w:rFonts w:ascii="Gungsuh" w:eastAsia="Gungsuh" w:hAnsi="Gungsuh" w:cs="Gungsuh"/>
          <w:sz w:val="20"/>
          <w:szCs w:val="20"/>
        </w:rPr>
        <w:t>Current cycle)</w:t>
      </w:r>
    </w:p>
    <w:p w14:paraId="6D113092" w14:textId="77777777" w:rsidR="000A13DE" w:rsidRDefault="00000000">
      <w:pPr>
        <w:pStyle w:val="Heading1"/>
        <w:widowControl/>
        <w:numPr>
          <w:ilvl w:val="0"/>
          <w:numId w:val="2"/>
        </w:numPr>
        <w:spacing w:before="240" w:after="240" w:line="276" w:lineRule="auto"/>
      </w:pPr>
      <w:bookmarkStart w:id="8" w:name="_hlqxovy97mws" w:colFirst="0" w:colLast="0"/>
      <w:bookmarkStart w:id="9" w:name="_Toc164859823"/>
      <w:bookmarkEnd w:id="8"/>
      <w:r>
        <w:t>EDA</w:t>
      </w:r>
      <w:bookmarkEnd w:id="9"/>
    </w:p>
    <w:p w14:paraId="478153DD" w14:textId="77777777" w:rsidR="000A13DE" w:rsidRDefault="00000000">
      <w:pPr>
        <w:ind w:left="720"/>
        <w:rPr>
          <w:sz w:val="20"/>
          <w:szCs w:val="20"/>
        </w:rPr>
      </w:pPr>
      <w:r>
        <w:rPr>
          <w:sz w:val="20"/>
          <w:szCs w:val="20"/>
        </w:rPr>
        <w:t>Exploratory Data Analysis (EDA) constitutes a pivotal initial phase within the data-driven framework embraced for this project, focusing on the estimation of Lithium-Ion (Li-ion) battery State of Health (</w:t>
      </w:r>
      <w:proofErr w:type="spellStart"/>
      <w:r>
        <w:rPr>
          <w:sz w:val="20"/>
          <w:szCs w:val="20"/>
        </w:rPr>
        <w:t>SoH</w:t>
      </w:r>
      <w:proofErr w:type="spellEnd"/>
      <w:r>
        <w:rPr>
          <w:sz w:val="20"/>
          <w:szCs w:val="20"/>
        </w:rPr>
        <w:t>) and the prediction of Remaining Useful Life (RUL). This phase entails a meticulous examination of the dataset derived from extensive testing of four Li-ion batteries (designated as #5, 6, 7, and 18), spanning various operational profiles encompassing charging, discharging, and impedance measurements. Within this dataset lie an array of parameters, including battery terminal voltage, output current, temperature, charge current, and time vectors, meticulously recorded at a notably high sampling rate of approximately 10Hz.</w:t>
      </w:r>
    </w:p>
    <w:p w14:paraId="477B24D2" w14:textId="77777777" w:rsidR="000A13DE" w:rsidRDefault="000A13DE">
      <w:pPr>
        <w:ind w:left="720"/>
        <w:rPr>
          <w:sz w:val="20"/>
          <w:szCs w:val="20"/>
        </w:rPr>
      </w:pPr>
    </w:p>
    <w:p w14:paraId="5A405677" w14:textId="77777777" w:rsidR="000A13DE" w:rsidRDefault="00000000">
      <w:pPr>
        <w:ind w:left="720"/>
        <w:rPr>
          <w:sz w:val="20"/>
          <w:szCs w:val="20"/>
        </w:rPr>
      </w:pPr>
      <w:r>
        <w:rPr>
          <w:sz w:val="20"/>
          <w:szCs w:val="20"/>
        </w:rPr>
        <w:t>The principal aim of the Exploratory Data Analysis lies in elucidating the dataset's characteristics, identifying salient features, discerning prevalent trends, and anticipating potential challenges. Through the strategic deployment of visualizations, statistical summaries, and judicious data manipulation techniques, the endeavor is to unearth the latent structure underpinning the dataset. The overarching objective is to pinpoint patterns that hold sway over battery performance and degradation, thereby setting a robust foundation for subsequent analysis and modeling endeavors. This rigorous scrutiny not only aims to enhance our comprehension of the dataset but also to furnish actionable insights pivotal for the formulation of effective predictive models.</w:t>
      </w:r>
    </w:p>
    <w:p w14:paraId="71420CB0" w14:textId="77777777" w:rsidR="000A13DE" w:rsidRDefault="000A13DE">
      <w:pPr>
        <w:ind w:left="720"/>
        <w:rPr>
          <w:sz w:val="20"/>
          <w:szCs w:val="20"/>
        </w:rPr>
      </w:pPr>
    </w:p>
    <w:p w14:paraId="0DEDA6A4" w14:textId="77777777" w:rsidR="000A13DE" w:rsidRDefault="000A13DE">
      <w:pPr>
        <w:ind w:left="720"/>
        <w:rPr>
          <w:sz w:val="20"/>
          <w:szCs w:val="20"/>
        </w:rPr>
      </w:pPr>
    </w:p>
    <w:p w14:paraId="711E87DD" w14:textId="77777777" w:rsidR="000A13DE" w:rsidRDefault="000A13DE">
      <w:pPr>
        <w:ind w:left="720"/>
        <w:rPr>
          <w:sz w:val="20"/>
          <w:szCs w:val="20"/>
        </w:rPr>
      </w:pPr>
    </w:p>
    <w:p w14:paraId="3B4F2285" w14:textId="6AA3094C" w:rsidR="000A13DE" w:rsidRDefault="00000000">
      <w:pPr>
        <w:ind w:left="720"/>
        <w:rPr>
          <w:sz w:val="20"/>
          <w:szCs w:val="20"/>
        </w:rPr>
      </w:pPr>
      <w:r>
        <w:rPr>
          <w:sz w:val="20"/>
          <w:szCs w:val="20"/>
        </w:rPr>
        <w:t xml:space="preserve">To perform the </w:t>
      </w:r>
      <w:r w:rsidR="008E721F">
        <w:rPr>
          <w:sz w:val="20"/>
          <w:szCs w:val="20"/>
        </w:rPr>
        <w:t>EDA,</w:t>
      </w:r>
      <w:r>
        <w:rPr>
          <w:sz w:val="20"/>
          <w:szCs w:val="20"/>
        </w:rPr>
        <w:t xml:space="preserve"> we first combined all the discharge data from the four batteries in a single </w:t>
      </w:r>
      <w:r w:rsidR="00F65A94">
        <w:rPr>
          <w:sz w:val="20"/>
          <w:szCs w:val="20"/>
        </w:rPr>
        <w:t>data frame</w:t>
      </w:r>
      <w:r>
        <w:rPr>
          <w:sz w:val="20"/>
          <w:szCs w:val="20"/>
        </w:rPr>
        <w:t xml:space="preserve"> </w:t>
      </w:r>
      <w:r w:rsidR="00F65A94">
        <w:rPr>
          <w:sz w:val="20"/>
          <w:szCs w:val="20"/>
        </w:rPr>
        <w:t>to</w:t>
      </w:r>
      <w:r>
        <w:rPr>
          <w:sz w:val="20"/>
          <w:szCs w:val="20"/>
        </w:rPr>
        <w:t xml:space="preserve"> be able to do a more detailed analysis and to observe the trends that the data follows in a more generalized </w:t>
      </w:r>
      <w:r w:rsidR="008E721F">
        <w:rPr>
          <w:sz w:val="20"/>
          <w:szCs w:val="20"/>
        </w:rPr>
        <w:t>manner.</w:t>
      </w:r>
    </w:p>
    <w:p w14:paraId="65EC1E42" w14:textId="77777777" w:rsidR="000A13DE" w:rsidRDefault="000A13DE">
      <w:pPr>
        <w:ind w:left="720"/>
        <w:rPr>
          <w:sz w:val="20"/>
          <w:szCs w:val="20"/>
        </w:rPr>
      </w:pPr>
    </w:p>
    <w:p w14:paraId="2E51B0EE" w14:textId="14F7353F" w:rsidR="000A13DE" w:rsidRDefault="00000000">
      <w:pPr>
        <w:ind w:left="720"/>
        <w:rPr>
          <w:sz w:val="20"/>
          <w:szCs w:val="20"/>
        </w:rPr>
      </w:pPr>
      <w:r>
        <w:rPr>
          <w:sz w:val="20"/>
          <w:szCs w:val="20"/>
        </w:rPr>
        <w:t xml:space="preserve">The first thing that we did was to get a better understanding of the distribution of </w:t>
      </w:r>
      <w:r w:rsidR="008E721F">
        <w:rPr>
          <w:sz w:val="20"/>
          <w:szCs w:val="20"/>
        </w:rPr>
        <w:t>data.</w:t>
      </w:r>
      <w:r>
        <w:rPr>
          <w:sz w:val="20"/>
          <w:szCs w:val="20"/>
        </w:rPr>
        <w:t xml:space="preserve"> </w:t>
      </w:r>
    </w:p>
    <w:p w14:paraId="0EFD63F8" w14:textId="77777777" w:rsidR="000A13DE" w:rsidRDefault="00000000">
      <w:pPr>
        <w:ind w:left="720"/>
        <w:rPr>
          <w:b/>
          <w:sz w:val="18"/>
          <w:szCs w:val="18"/>
        </w:rPr>
      </w:pPr>
      <w:r>
        <w:rPr>
          <w:noProof/>
          <w:sz w:val="20"/>
          <w:szCs w:val="20"/>
        </w:rPr>
        <w:drawing>
          <wp:inline distT="114300" distB="114300" distL="114300" distR="114300" wp14:anchorId="3A7B7058" wp14:editId="2C91BDC8">
            <wp:extent cx="2828925" cy="925612"/>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2828925" cy="925612"/>
                    </a:xfrm>
                    <a:prstGeom prst="rect">
                      <a:avLst/>
                    </a:prstGeom>
                    <a:ln/>
                  </pic:spPr>
                </pic:pic>
              </a:graphicData>
            </a:graphic>
          </wp:inline>
        </w:drawing>
      </w:r>
      <w:r>
        <w:rPr>
          <w:sz w:val="20"/>
          <w:szCs w:val="20"/>
        </w:rPr>
        <w:br/>
      </w:r>
      <w:r>
        <w:rPr>
          <w:b/>
          <w:sz w:val="18"/>
          <w:szCs w:val="18"/>
        </w:rPr>
        <w:t>Table 2 Description of distribution of values in column</w:t>
      </w:r>
    </w:p>
    <w:p w14:paraId="29F0DBD7" w14:textId="77777777" w:rsidR="000A13DE" w:rsidRDefault="000A13DE">
      <w:pPr>
        <w:ind w:left="720"/>
        <w:rPr>
          <w:b/>
          <w:sz w:val="18"/>
          <w:szCs w:val="18"/>
        </w:rPr>
      </w:pPr>
    </w:p>
    <w:p w14:paraId="182E8A2B" w14:textId="77777777" w:rsidR="000A13DE" w:rsidRDefault="00000000">
      <w:pPr>
        <w:ind w:left="720"/>
        <w:rPr>
          <w:sz w:val="20"/>
          <w:szCs w:val="20"/>
        </w:rPr>
      </w:pPr>
      <w:r>
        <w:rPr>
          <w:sz w:val="20"/>
          <w:szCs w:val="20"/>
        </w:rPr>
        <w:t>The above helped us uncover the following insights:</w:t>
      </w:r>
    </w:p>
    <w:p w14:paraId="4C775CE7" w14:textId="77777777" w:rsidR="000A13DE" w:rsidRDefault="000A13DE">
      <w:pPr>
        <w:ind w:left="720"/>
        <w:rPr>
          <w:sz w:val="20"/>
          <w:szCs w:val="20"/>
        </w:rPr>
      </w:pPr>
    </w:p>
    <w:p w14:paraId="1A33D61F" w14:textId="77777777" w:rsidR="000A13DE" w:rsidRDefault="00000000">
      <w:pPr>
        <w:ind w:left="720"/>
        <w:rPr>
          <w:sz w:val="20"/>
          <w:szCs w:val="20"/>
        </w:rPr>
      </w:pPr>
      <w:r>
        <w:rPr>
          <w:sz w:val="20"/>
          <w:szCs w:val="20"/>
        </w:rPr>
        <w:t>Voltage Measured: The mean voltage measured is approximately 3.50 V, with a minimum of 1.74 V and a maximum of 4.23 V. The standard deviation is approximately 0.25 V, indicating moderate variability in measured voltage values.</w:t>
      </w:r>
    </w:p>
    <w:p w14:paraId="51AA32AF" w14:textId="77777777" w:rsidR="000A13DE" w:rsidRDefault="000A13DE">
      <w:pPr>
        <w:ind w:left="720"/>
        <w:rPr>
          <w:sz w:val="20"/>
          <w:szCs w:val="20"/>
        </w:rPr>
      </w:pPr>
    </w:p>
    <w:p w14:paraId="09675219" w14:textId="77777777" w:rsidR="000A13DE" w:rsidRDefault="00000000">
      <w:pPr>
        <w:ind w:left="720"/>
        <w:rPr>
          <w:sz w:val="20"/>
          <w:szCs w:val="20"/>
        </w:rPr>
      </w:pPr>
      <w:r>
        <w:rPr>
          <w:sz w:val="20"/>
          <w:szCs w:val="20"/>
        </w:rPr>
        <w:t xml:space="preserve">Current Measured: The mean current measured is approximately -1.83 A (negative sign indicates discharge), with a minimum of -2.03 A and a maximum of 0.01 A. The standard deviation is approximately 0.56 </w:t>
      </w:r>
      <w:r>
        <w:rPr>
          <w:sz w:val="20"/>
          <w:szCs w:val="20"/>
        </w:rPr>
        <w:lastRenderedPageBreak/>
        <w:t>A, indicating moderate variability in measured current values.</w:t>
      </w:r>
    </w:p>
    <w:p w14:paraId="5BC5397C" w14:textId="77777777" w:rsidR="000A13DE" w:rsidRDefault="000A13DE">
      <w:pPr>
        <w:ind w:left="720"/>
        <w:rPr>
          <w:sz w:val="20"/>
          <w:szCs w:val="20"/>
        </w:rPr>
      </w:pPr>
    </w:p>
    <w:p w14:paraId="383B30ED" w14:textId="77777777" w:rsidR="000A13DE" w:rsidRDefault="00000000">
      <w:pPr>
        <w:ind w:left="720"/>
        <w:rPr>
          <w:sz w:val="20"/>
          <w:szCs w:val="20"/>
        </w:rPr>
      </w:pPr>
      <w:r>
        <w:rPr>
          <w:sz w:val="20"/>
          <w:szCs w:val="20"/>
        </w:rPr>
        <w:t>Temperature Measured: The mean temperature measured is approximately 32.38 degrees Celsius, with a minimum of 22.35 degrees Celsius and a maximum of 42.33 degrees Celsius. The standard deviation is approximately 4.03 degrees Celsius, indicating moderate variability in measured temperature values.</w:t>
      </w:r>
    </w:p>
    <w:p w14:paraId="51D0B6A2" w14:textId="77777777" w:rsidR="000A13DE" w:rsidRDefault="000A13DE">
      <w:pPr>
        <w:ind w:left="720"/>
        <w:rPr>
          <w:sz w:val="20"/>
          <w:szCs w:val="20"/>
        </w:rPr>
      </w:pPr>
    </w:p>
    <w:p w14:paraId="4EFB4A14" w14:textId="77777777" w:rsidR="000A13DE" w:rsidRDefault="00000000">
      <w:pPr>
        <w:ind w:left="720"/>
        <w:rPr>
          <w:sz w:val="20"/>
          <w:szCs w:val="20"/>
        </w:rPr>
      </w:pPr>
      <w:r>
        <w:rPr>
          <w:sz w:val="20"/>
          <w:szCs w:val="20"/>
        </w:rPr>
        <w:t>Current Load: The mean current load is approximately 1.47 A, with a minimum of -2.0 A (negative sign indicates discharge) and a maximum of 2.0 A. The standard deviation is approximately 1.23 A, indicating moderate variability in current load values.</w:t>
      </w:r>
    </w:p>
    <w:p w14:paraId="1955CA51" w14:textId="77777777" w:rsidR="000A13DE" w:rsidRDefault="000A13DE">
      <w:pPr>
        <w:ind w:left="720"/>
        <w:rPr>
          <w:sz w:val="20"/>
          <w:szCs w:val="20"/>
        </w:rPr>
      </w:pPr>
    </w:p>
    <w:p w14:paraId="0B3F523B" w14:textId="77777777" w:rsidR="000A13DE" w:rsidRDefault="00000000">
      <w:pPr>
        <w:ind w:left="720"/>
        <w:rPr>
          <w:sz w:val="20"/>
          <w:szCs w:val="20"/>
        </w:rPr>
      </w:pPr>
      <w:r>
        <w:rPr>
          <w:sz w:val="20"/>
          <w:szCs w:val="20"/>
        </w:rPr>
        <w:t>Voltage Load: The mean voltage load is approximately 2.37 V, with a minimum of 0.0 V and a maximum of 4.25 V. The standard deviation is approximately 0.75 V, indicating moderate variability in voltage load values.</w:t>
      </w:r>
    </w:p>
    <w:p w14:paraId="17425BE1" w14:textId="77777777" w:rsidR="000A13DE" w:rsidRDefault="000A13DE">
      <w:pPr>
        <w:ind w:left="720"/>
        <w:rPr>
          <w:sz w:val="20"/>
          <w:szCs w:val="20"/>
        </w:rPr>
      </w:pPr>
    </w:p>
    <w:p w14:paraId="67CB9449" w14:textId="77777777" w:rsidR="000A13DE" w:rsidRDefault="00000000">
      <w:pPr>
        <w:ind w:left="720"/>
        <w:rPr>
          <w:sz w:val="20"/>
          <w:szCs w:val="20"/>
        </w:rPr>
      </w:pPr>
      <w:r>
        <w:rPr>
          <w:sz w:val="20"/>
          <w:szCs w:val="20"/>
        </w:rPr>
        <w:t>Time: The mean time recorded is approximately 1546.38 seconds, with a minimum of 0 seconds and a maximum of 3690.23 seconds. The standard deviation is approximately 906.96 seconds, indicating moderate variability in time values.</w:t>
      </w:r>
    </w:p>
    <w:p w14:paraId="0804B4A7" w14:textId="77777777" w:rsidR="000A13DE" w:rsidRDefault="000A13DE">
      <w:pPr>
        <w:ind w:left="720"/>
        <w:rPr>
          <w:sz w:val="20"/>
          <w:szCs w:val="20"/>
        </w:rPr>
      </w:pPr>
    </w:p>
    <w:p w14:paraId="37930F02" w14:textId="77777777" w:rsidR="000A13DE" w:rsidRDefault="00000000">
      <w:pPr>
        <w:ind w:left="720"/>
        <w:rPr>
          <w:sz w:val="20"/>
          <w:szCs w:val="20"/>
        </w:rPr>
      </w:pPr>
      <w:r>
        <w:rPr>
          <w:sz w:val="20"/>
          <w:szCs w:val="20"/>
        </w:rPr>
        <w:t>State of Health (</w:t>
      </w:r>
      <w:proofErr w:type="spellStart"/>
      <w:r>
        <w:rPr>
          <w:sz w:val="20"/>
          <w:szCs w:val="20"/>
        </w:rPr>
        <w:t>SoH</w:t>
      </w:r>
      <w:proofErr w:type="spellEnd"/>
      <w:r>
        <w:rPr>
          <w:sz w:val="20"/>
          <w:szCs w:val="20"/>
        </w:rPr>
        <w:t xml:space="preserve">): The mean </w:t>
      </w:r>
      <w:proofErr w:type="spellStart"/>
      <w:r>
        <w:rPr>
          <w:sz w:val="20"/>
          <w:szCs w:val="20"/>
        </w:rPr>
        <w:t>SoH</w:t>
      </w:r>
      <w:proofErr w:type="spellEnd"/>
      <w:r>
        <w:rPr>
          <w:sz w:val="20"/>
          <w:szCs w:val="20"/>
        </w:rPr>
        <w:t xml:space="preserve"> is approximately 0.82, with a minimum of 0.57 and a maximum of 1.0. The standard deviation is approximately 0.11, indicating moderate variability in </w:t>
      </w:r>
      <w:proofErr w:type="spellStart"/>
      <w:r>
        <w:rPr>
          <w:sz w:val="20"/>
          <w:szCs w:val="20"/>
        </w:rPr>
        <w:t>SoH</w:t>
      </w:r>
      <w:proofErr w:type="spellEnd"/>
      <w:r>
        <w:rPr>
          <w:sz w:val="20"/>
          <w:szCs w:val="20"/>
        </w:rPr>
        <w:t xml:space="preserve"> values.</w:t>
      </w:r>
    </w:p>
    <w:p w14:paraId="1FB39D3D" w14:textId="77777777" w:rsidR="000A13DE" w:rsidRDefault="000A13DE">
      <w:pPr>
        <w:ind w:left="720"/>
        <w:rPr>
          <w:sz w:val="20"/>
          <w:szCs w:val="20"/>
        </w:rPr>
      </w:pPr>
    </w:p>
    <w:p w14:paraId="48A3FB03" w14:textId="5D98254E" w:rsidR="000A13DE" w:rsidRDefault="00000000">
      <w:pPr>
        <w:ind w:left="720"/>
        <w:rPr>
          <w:sz w:val="20"/>
          <w:szCs w:val="20"/>
        </w:rPr>
      </w:pPr>
      <w:r>
        <w:rPr>
          <w:sz w:val="20"/>
          <w:szCs w:val="20"/>
        </w:rPr>
        <w:t xml:space="preserve">The next step is </w:t>
      </w:r>
      <w:r w:rsidR="00F65A94">
        <w:rPr>
          <w:sz w:val="20"/>
          <w:szCs w:val="20"/>
        </w:rPr>
        <w:t>to observe</w:t>
      </w:r>
      <w:r>
        <w:rPr>
          <w:sz w:val="20"/>
          <w:szCs w:val="20"/>
        </w:rPr>
        <w:t xml:space="preserve"> the capacity of the different batteries over </w:t>
      </w:r>
      <w:r w:rsidR="008E721F">
        <w:rPr>
          <w:sz w:val="20"/>
          <w:szCs w:val="20"/>
        </w:rPr>
        <w:t>time.</w:t>
      </w:r>
    </w:p>
    <w:p w14:paraId="55E1715D" w14:textId="77777777" w:rsidR="000A13DE" w:rsidRDefault="00000000">
      <w:pPr>
        <w:ind w:left="720"/>
        <w:rPr>
          <w:sz w:val="20"/>
          <w:szCs w:val="20"/>
        </w:rPr>
      </w:pPr>
      <w:r>
        <w:rPr>
          <w:noProof/>
          <w:sz w:val="20"/>
          <w:szCs w:val="20"/>
        </w:rPr>
        <w:drawing>
          <wp:inline distT="114300" distB="114300" distL="114300" distR="114300" wp14:anchorId="6E2A6504" wp14:editId="6B722F9B">
            <wp:extent cx="3119438" cy="1111524"/>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3119438" cy="1111524"/>
                    </a:xfrm>
                    <a:prstGeom prst="rect">
                      <a:avLst/>
                    </a:prstGeom>
                    <a:ln/>
                  </pic:spPr>
                </pic:pic>
              </a:graphicData>
            </a:graphic>
          </wp:inline>
        </w:drawing>
      </w:r>
      <w:r>
        <w:rPr>
          <w:b/>
          <w:sz w:val="18"/>
          <w:szCs w:val="18"/>
        </w:rPr>
        <w:t>Graph 3 Capacity of batteries over time</w:t>
      </w:r>
    </w:p>
    <w:p w14:paraId="44C6DD5E" w14:textId="77777777" w:rsidR="000A13DE" w:rsidRDefault="000A13DE">
      <w:pPr>
        <w:ind w:left="720"/>
        <w:rPr>
          <w:sz w:val="20"/>
          <w:szCs w:val="20"/>
        </w:rPr>
      </w:pPr>
    </w:p>
    <w:p w14:paraId="1C273E29" w14:textId="4734A3A7" w:rsidR="000A13DE" w:rsidRDefault="00000000">
      <w:pPr>
        <w:ind w:left="720"/>
        <w:rPr>
          <w:sz w:val="20"/>
          <w:szCs w:val="20"/>
        </w:rPr>
      </w:pPr>
      <w:r>
        <w:rPr>
          <w:sz w:val="20"/>
          <w:szCs w:val="20"/>
        </w:rPr>
        <w:t xml:space="preserve">Observing the change in capacity over time we can see how the data is consistent and </w:t>
      </w:r>
      <w:r w:rsidR="008E721F">
        <w:rPr>
          <w:sz w:val="20"/>
          <w:szCs w:val="20"/>
        </w:rPr>
        <w:t>complete,</w:t>
      </w:r>
      <w:r>
        <w:rPr>
          <w:sz w:val="20"/>
          <w:szCs w:val="20"/>
        </w:rPr>
        <w:t xml:space="preserve"> which was not the case for some of the batteries we had previously tested from other battery groups. We also observe that all the batteries follow a trend with respect to the change in capacities of the batteries. </w:t>
      </w:r>
    </w:p>
    <w:p w14:paraId="28886AA9" w14:textId="77777777" w:rsidR="000A13DE" w:rsidRDefault="00000000">
      <w:pPr>
        <w:ind w:left="720"/>
        <w:rPr>
          <w:b/>
          <w:sz w:val="18"/>
          <w:szCs w:val="18"/>
        </w:rPr>
      </w:pPr>
      <w:r>
        <w:rPr>
          <w:noProof/>
          <w:sz w:val="20"/>
          <w:szCs w:val="20"/>
        </w:rPr>
        <w:drawing>
          <wp:inline distT="114300" distB="114300" distL="114300" distR="114300" wp14:anchorId="16992F8B" wp14:editId="0DC1A012">
            <wp:extent cx="3033713" cy="2396898"/>
            <wp:effectExtent l="0" t="0" r="0" b="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l="1436"/>
                    <a:stretch>
                      <a:fillRect/>
                    </a:stretch>
                  </pic:blipFill>
                  <pic:spPr>
                    <a:xfrm>
                      <a:off x="0" y="0"/>
                      <a:ext cx="3033713" cy="2396898"/>
                    </a:xfrm>
                    <a:prstGeom prst="rect">
                      <a:avLst/>
                    </a:prstGeom>
                    <a:ln/>
                  </pic:spPr>
                </pic:pic>
              </a:graphicData>
            </a:graphic>
          </wp:inline>
        </w:drawing>
      </w:r>
      <w:r>
        <w:rPr>
          <w:b/>
          <w:sz w:val="18"/>
          <w:szCs w:val="18"/>
        </w:rPr>
        <w:t>Graph 4 Capacity Distribution</w:t>
      </w:r>
    </w:p>
    <w:p w14:paraId="14709EFA" w14:textId="77777777" w:rsidR="000A13DE" w:rsidRDefault="000A13DE">
      <w:pPr>
        <w:ind w:left="720"/>
        <w:rPr>
          <w:b/>
          <w:sz w:val="18"/>
          <w:szCs w:val="18"/>
        </w:rPr>
      </w:pPr>
    </w:p>
    <w:p w14:paraId="3F8F9E88" w14:textId="48F5AA74" w:rsidR="000A13DE" w:rsidRDefault="00000000">
      <w:pPr>
        <w:ind w:left="720"/>
        <w:rPr>
          <w:sz w:val="20"/>
          <w:szCs w:val="20"/>
        </w:rPr>
      </w:pPr>
      <w:r>
        <w:rPr>
          <w:sz w:val="20"/>
          <w:szCs w:val="20"/>
        </w:rPr>
        <w:t xml:space="preserve">We also observe that the capacity follows a normalized </w:t>
      </w:r>
      <w:r w:rsidR="008E721F">
        <w:rPr>
          <w:sz w:val="20"/>
          <w:szCs w:val="20"/>
        </w:rPr>
        <w:t>distribution.</w:t>
      </w:r>
    </w:p>
    <w:p w14:paraId="03C1ACB7" w14:textId="77777777" w:rsidR="000A13DE" w:rsidRDefault="000A13DE">
      <w:pPr>
        <w:ind w:left="720"/>
        <w:rPr>
          <w:sz w:val="20"/>
          <w:szCs w:val="20"/>
        </w:rPr>
      </w:pPr>
    </w:p>
    <w:p w14:paraId="380B8BC6" w14:textId="77777777" w:rsidR="000A13DE" w:rsidRDefault="00000000">
      <w:pPr>
        <w:ind w:left="720"/>
        <w:rPr>
          <w:sz w:val="20"/>
          <w:szCs w:val="20"/>
        </w:rPr>
      </w:pPr>
      <w:r>
        <w:rPr>
          <w:noProof/>
          <w:sz w:val="20"/>
          <w:szCs w:val="20"/>
        </w:rPr>
        <w:drawing>
          <wp:inline distT="114300" distB="114300" distL="114300" distR="114300" wp14:anchorId="58268B55" wp14:editId="59BC2FF1">
            <wp:extent cx="3071813" cy="2515709"/>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3071813" cy="2515709"/>
                    </a:xfrm>
                    <a:prstGeom prst="rect">
                      <a:avLst/>
                    </a:prstGeom>
                    <a:ln/>
                  </pic:spPr>
                </pic:pic>
              </a:graphicData>
            </a:graphic>
          </wp:inline>
        </w:drawing>
      </w:r>
      <w:r>
        <w:rPr>
          <w:b/>
          <w:sz w:val="18"/>
          <w:szCs w:val="18"/>
        </w:rPr>
        <w:t>Graph 5 Num of cycles of Batteries</w:t>
      </w:r>
    </w:p>
    <w:p w14:paraId="2DFDF39D" w14:textId="77777777" w:rsidR="000A13DE" w:rsidRDefault="000A13DE">
      <w:pPr>
        <w:ind w:left="720"/>
        <w:rPr>
          <w:sz w:val="20"/>
          <w:szCs w:val="20"/>
        </w:rPr>
      </w:pPr>
    </w:p>
    <w:p w14:paraId="027788DC" w14:textId="77777777" w:rsidR="000A13DE" w:rsidRDefault="00000000">
      <w:pPr>
        <w:ind w:left="720"/>
        <w:rPr>
          <w:sz w:val="20"/>
          <w:szCs w:val="20"/>
        </w:rPr>
      </w:pPr>
      <w:r>
        <w:rPr>
          <w:sz w:val="20"/>
          <w:szCs w:val="20"/>
        </w:rPr>
        <w:t>We have observed that the number of cycles for each battery is different where the outlier is B0018 with it having the lowest number of cycles.</w:t>
      </w:r>
    </w:p>
    <w:p w14:paraId="3ECA0397" w14:textId="77777777" w:rsidR="000A13DE" w:rsidRDefault="00000000">
      <w:pPr>
        <w:ind w:left="720"/>
        <w:rPr>
          <w:sz w:val="20"/>
          <w:szCs w:val="20"/>
        </w:rPr>
      </w:pPr>
      <w:r>
        <w:rPr>
          <w:noProof/>
          <w:sz w:val="20"/>
          <w:szCs w:val="20"/>
        </w:rPr>
        <w:drawing>
          <wp:inline distT="114300" distB="114300" distL="114300" distR="114300" wp14:anchorId="23881841" wp14:editId="37173813">
            <wp:extent cx="2856686" cy="960437"/>
            <wp:effectExtent l="0" t="0" r="0" b="0"/>
            <wp:docPr id="1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2856686" cy="960437"/>
                    </a:xfrm>
                    <a:prstGeom prst="rect">
                      <a:avLst/>
                    </a:prstGeom>
                    <a:ln/>
                  </pic:spPr>
                </pic:pic>
              </a:graphicData>
            </a:graphic>
          </wp:inline>
        </w:drawing>
      </w:r>
    </w:p>
    <w:p w14:paraId="66F87D04" w14:textId="77777777" w:rsidR="000A13DE" w:rsidRDefault="000A13DE">
      <w:pPr>
        <w:ind w:left="720"/>
        <w:rPr>
          <w:sz w:val="20"/>
          <w:szCs w:val="20"/>
        </w:rPr>
      </w:pPr>
    </w:p>
    <w:p w14:paraId="65E0E608" w14:textId="77777777" w:rsidR="000A13DE" w:rsidRDefault="000A13DE">
      <w:pPr>
        <w:ind w:left="720"/>
        <w:rPr>
          <w:sz w:val="20"/>
          <w:szCs w:val="20"/>
        </w:rPr>
      </w:pPr>
    </w:p>
    <w:p w14:paraId="7FE5AA1A" w14:textId="77777777" w:rsidR="000A13DE" w:rsidRDefault="00000000">
      <w:pPr>
        <w:ind w:left="720"/>
        <w:rPr>
          <w:sz w:val="20"/>
          <w:szCs w:val="20"/>
        </w:rPr>
      </w:pPr>
      <w:r>
        <w:rPr>
          <w:noProof/>
          <w:sz w:val="20"/>
          <w:szCs w:val="20"/>
        </w:rPr>
        <w:drawing>
          <wp:inline distT="114300" distB="114300" distL="114300" distR="114300" wp14:anchorId="10CF0F2A" wp14:editId="72858510">
            <wp:extent cx="2840126" cy="1313966"/>
            <wp:effectExtent l="0" t="0" r="0" b="0"/>
            <wp:docPr id="1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t="-3171"/>
                    <a:stretch>
                      <a:fillRect/>
                    </a:stretch>
                  </pic:blipFill>
                  <pic:spPr>
                    <a:xfrm>
                      <a:off x="0" y="0"/>
                      <a:ext cx="2840126" cy="1313966"/>
                    </a:xfrm>
                    <a:prstGeom prst="rect">
                      <a:avLst/>
                    </a:prstGeom>
                    <a:ln/>
                  </pic:spPr>
                </pic:pic>
              </a:graphicData>
            </a:graphic>
          </wp:inline>
        </w:drawing>
      </w:r>
    </w:p>
    <w:p w14:paraId="28BBA88C" w14:textId="77777777" w:rsidR="000A13DE" w:rsidRDefault="00000000">
      <w:pPr>
        <w:ind w:left="720"/>
        <w:rPr>
          <w:sz w:val="20"/>
          <w:szCs w:val="20"/>
        </w:rPr>
      </w:pPr>
      <w:r>
        <w:rPr>
          <w:b/>
          <w:sz w:val="18"/>
          <w:szCs w:val="18"/>
        </w:rPr>
        <w:t>Graph 6 Voltage over time of Batteries</w:t>
      </w:r>
    </w:p>
    <w:p w14:paraId="423DDB80" w14:textId="77777777" w:rsidR="000A13DE" w:rsidRDefault="000A13DE">
      <w:pPr>
        <w:ind w:left="720"/>
        <w:rPr>
          <w:sz w:val="20"/>
          <w:szCs w:val="20"/>
        </w:rPr>
      </w:pPr>
    </w:p>
    <w:p w14:paraId="5A1A92C4" w14:textId="05DD5561" w:rsidR="000A13DE" w:rsidRDefault="00000000">
      <w:pPr>
        <w:ind w:left="720"/>
        <w:rPr>
          <w:sz w:val="20"/>
          <w:szCs w:val="20"/>
        </w:rPr>
      </w:pPr>
      <w:r>
        <w:rPr>
          <w:sz w:val="20"/>
          <w:szCs w:val="20"/>
        </w:rPr>
        <w:t xml:space="preserve">From the above graph we observe that the voltage of </w:t>
      </w:r>
      <w:r>
        <w:rPr>
          <w:sz w:val="20"/>
          <w:szCs w:val="20"/>
        </w:rPr>
        <w:lastRenderedPageBreak/>
        <w:t xml:space="preserve">the battery lowers with </w:t>
      </w:r>
      <w:r w:rsidR="00F65A94">
        <w:rPr>
          <w:sz w:val="20"/>
          <w:szCs w:val="20"/>
        </w:rPr>
        <w:t>time.</w:t>
      </w:r>
    </w:p>
    <w:p w14:paraId="487D5E2A" w14:textId="77777777" w:rsidR="000A13DE" w:rsidRDefault="00000000">
      <w:pPr>
        <w:ind w:left="720"/>
        <w:rPr>
          <w:sz w:val="20"/>
          <w:szCs w:val="20"/>
        </w:rPr>
      </w:pPr>
      <w:r>
        <w:rPr>
          <w:noProof/>
          <w:sz w:val="20"/>
          <w:szCs w:val="20"/>
        </w:rPr>
        <w:drawing>
          <wp:inline distT="114300" distB="114300" distL="114300" distR="114300" wp14:anchorId="074EA99B" wp14:editId="6FCD5D46">
            <wp:extent cx="2855308" cy="1009204"/>
            <wp:effectExtent l="0" t="0" r="0" b="0"/>
            <wp:docPr id="2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0"/>
                    <a:srcRect/>
                    <a:stretch>
                      <a:fillRect/>
                    </a:stretch>
                  </pic:blipFill>
                  <pic:spPr>
                    <a:xfrm>
                      <a:off x="0" y="0"/>
                      <a:ext cx="2855308" cy="1009204"/>
                    </a:xfrm>
                    <a:prstGeom prst="rect">
                      <a:avLst/>
                    </a:prstGeom>
                    <a:ln/>
                  </pic:spPr>
                </pic:pic>
              </a:graphicData>
            </a:graphic>
          </wp:inline>
        </w:drawing>
      </w:r>
    </w:p>
    <w:p w14:paraId="0C925FDB" w14:textId="77777777" w:rsidR="000A13DE" w:rsidRDefault="00000000">
      <w:pPr>
        <w:ind w:left="720"/>
        <w:rPr>
          <w:sz w:val="20"/>
          <w:szCs w:val="20"/>
        </w:rPr>
      </w:pPr>
      <w:r>
        <w:rPr>
          <w:noProof/>
          <w:sz w:val="20"/>
          <w:szCs w:val="20"/>
        </w:rPr>
        <w:drawing>
          <wp:inline distT="114300" distB="114300" distL="114300" distR="114300" wp14:anchorId="34802896" wp14:editId="33A1DA89">
            <wp:extent cx="2805113" cy="1265525"/>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2805113" cy="1265525"/>
                    </a:xfrm>
                    <a:prstGeom prst="rect">
                      <a:avLst/>
                    </a:prstGeom>
                    <a:ln/>
                  </pic:spPr>
                </pic:pic>
              </a:graphicData>
            </a:graphic>
          </wp:inline>
        </w:drawing>
      </w:r>
    </w:p>
    <w:p w14:paraId="66740BEE" w14:textId="106A5E42" w:rsidR="000A13DE" w:rsidRDefault="00000000">
      <w:pPr>
        <w:ind w:left="720"/>
        <w:rPr>
          <w:b/>
          <w:sz w:val="18"/>
          <w:szCs w:val="18"/>
        </w:rPr>
      </w:pPr>
      <w:r>
        <w:rPr>
          <w:b/>
          <w:sz w:val="18"/>
          <w:szCs w:val="18"/>
        </w:rPr>
        <w:t xml:space="preserve">Graph 7 Temperature Measured over time of </w:t>
      </w:r>
      <w:r w:rsidR="00F65A94">
        <w:rPr>
          <w:b/>
          <w:sz w:val="18"/>
          <w:szCs w:val="18"/>
        </w:rPr>
        <w:t>Batteries.</w:t>
      </w:r>
    </w:p>
    <w:p w14:paraId="0CFA8C38" w14:textId="77777777" w:rsidR="000A13DE" w:rsidRDefault="000A13DE">
      <w:pPr>
        <w:ind w:left="720"/>
        <w:rPr>
          <w:b/>
          <w:sz w:val="18"/>
          <w:szCs w:val="18"/>
        </w:rPr>
      </w:pPr>
    </w:p>
    <w:p w14:paraId="02E20342" w14:textId="57E0B13F" w:rsidR="000A13DE" w:rsidRDefault="00000000">
      <w:pPr>
        <w:ind w:left="720"/>
        <w:rPr>
          <w:sz w:val="20"/>
          <w:szCs w:val="20"/>
        </w:rPr>
      </w:pPr>
      <w:r>
        <w:rPr>
          <w:sz w:val="20"/>
          <w:szCs w:val="20"/>
        </w:rPr>
        <w:t xml:space="preserve">From the above graph we observe a prominent increase in temperature as the capacity of the battery degrades over </w:t>
      </w:r>
      <w:r w:rsidR="00F65A94">
        <w:rPr>
          <w:sz w:val="20"/>
          <w:szCs w:val="20"/>
        </w:rPr>
        <w:t>time.</w:t>
      </w:r>
    </w:p>
    <w:p w14:paraId="33A3B652" w14:textId="77777777" w:rsidR="000A13DE" w:rsidRDefault="000A13DE">
      <w:pPr>
        <w:ind w:left="720"/>
        <w:rPr>
          <w:sz w:val="20"/>
          <w:szCs w:val="20"/>
        </w:rPr>
      </w:pPr>
    </w:p>
    <w:p w14:paraId="2A963C3D" w14:textId="7971BA19" w:rsidR="000A13DE" w:rsidRDefault="00000000">
      <w:pPr>
        <w:ind w:left="720"/>
        <w:rPr>
          <w:sz w:val="20"/>
          <w:szCs w:val="20"/>
        </w:rPr>
      </w:pPr>
      <w:r>
        <w:rPr>
          <w:sz w:val="20"/>
          <w:szCs w:val="20"/>
        </w:rPr>
        <w:t xml:space="preserve">Moving forward to the correlation between different columns with the SOH of the battery we can see that certain values have a greater correlation with the SOH than </w:t>
      </w:r>
      <w:r w:rsidR="00F65A94">
        <w:rPr>
          <w:sz w:val="20"/>
          <w:szCs w:val="20"/>
        </w:rPr>
        <w:t>others.</w:t>
      </w:r>
      <w:r>
        <w:rPr>
          <w:sz w:val="20"/>
          <w:szCs w:val="20"/>
        </w:rPr>
        <w:t xml:space="preserve"> </w:t>
      </w:r>
    </w:p>
    <w:p w14:paraId="6091AF79" w14:textId="77777777" w:rsidR="000A13DE" w:rsidRDefault="00000000">
      <w:pPr>
        <w:ind w:left="720"/>
        <w:rPr>
          <w:sz w:val="20"/>
          <w:szCs w:val="20"/>
        </w:rPr>
      </w:pPr>
      <w:r>
        <w:rPr>
          <w:noProof/>
          <w:sz w:val="20"/>
          <w:szCs w:val="20"/>
        </w:rPr>
        <w:drawing>
          <wp:inline distT="114300" distB="114300" distL="114300" distR="114300" wp14:anchorId="63497DA7" wp14:editId="15665F3D">
            <wp:extent cx="2633663" cy="2574574"/>
            <wp:effectExtent l="0" t="0" r="0" b="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2633663" cy="2574574"/>
                    </a:xfrm>
                    <a:prstGeom prst="rect">
                      <a:avLst/>
                    </a:prstGeom>
                    <a:ln/>
                  </pic:spPr>
                </pic:pic>
              </a:graphicData>
            </a:graphic>
          </wp:inline>
        </w:drawing>
      </w:r>
    </w:p>
    <w:p w14:paraId="5005A174" w14:textId="77777777" w:rsidR="000A13DE" w:rsidRDefault="00000000">
      <w:pPr>
        <w:ind w:left="720"/>
        <w:rPr>
          <w:b/>
          <w:sz w:val="18"/>
          <w:szCs w:val="18"/>
        </w:rPr>
      </w:pPr>
      <w:r>
        <w:rPr>
          <w:b/>
          <w:sz w:val="18"/>
          <w:szCs w:val="18"/>
        </w:rPr>
        <w:t>Graph 8 Correlation of SOH with Cycle</w:t>
      </w:r>
    </w:p>
    <w:p w14:paraId="030FB995" w14:textId="77777777" w:rsidR="000A13DE" w:rsidRDefault="000A13DE">
      <w:pPr>
        <w:ind w:left="720"/>
        <w:rPr>
          <w:b/>
          <w:sz w:val="18"/>
          <w:szCs w:val="18"/>
        </w:rPr>
      </w:pPr>
    </w:p>
    <w:p w14:paraId="0D4F45D3" w14:textId="77777777" w:rsidR="000A13DE" w:rsidRDefault="00000000">
      <w:pPr>
        <w:ind w:left="720"/>
        <w:rPr>
          <w:sz w:val="20"/>
          <w:szCs w:val="20"/>
        </w:rPr>
      </w:pPr>
      <w:r>
        <w:rPr>
          <w:sz w:val="20"/>
          <w:szCs w:val="20"/>
        </w:rPr>
        <w:t>Based on the above graph we observe that the SOH is inversely correlated to the cycles which basically means that the SOH of the battery gets reduced with each charge and discharge cycle of the battery.</w:t>
      </w:r>
    </w:p>
    <w:p w14:paraId="35366814" w14:textId="77777777" w:rsidR="000A13DE" w:rsidRDefault="000A13DE">
      <w:pPr>
        <w:ind w:left="720"/>
        <w:rPr>
          <w:sz w:val="20"/>
          <w:szCs w:val="20"/>
        </w:rPr>
      </w:pPr>
    </w:p>
    <w:p w14:paraId="0343891F" w14:textId="77777777" w:rsidR="000A13DE" w:rsidRDefault="00000000">
      <w:pPr>
        <w:ind w:left="720"/>
        <w:rPr>
          <w:sz w:val="20"/>
          <w:szCs w:val="20"/>
        </w:rPr>
      </w:pPr>
      <w:r>
        <w:rPr>
          <w:noProof/>
          <w:sz w:val="20"/>
          <w:szCs w:val="20"/>
        </w:rPr>
        <w:drawing>
          <wp:inline distT="114300" distB="114300" distL="114300" distR="114300" wp14:anchorId="13606C66" wp14:editId="752B323C">
            <wp:extent cx="2909888" cy="2864703"/>
            <wp:effectExtent l="0" t="0" r="0" b="0"/>
            <wp:docPr id="2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3"/>
                    <a:srcRect/>
                    <a:stretch>
                      <a:fillRect/>
                    </a:stretch>
                  </pic:blipFill>
                  <pic:spPr>
                    <a:xfrm>
                      <a:off x="0" y="0"/>
                      <a:ext cx="2909888" cy="2864703"/>
                    </a:xfrm>
                    <a:prstGeom prst="rect">
                      <a:avLst/>
                    </a:prstGeom>
                    <a:ln/>
                  </pic:spPr>
                </pic:pic>
              </a:graphicData>
            </a:graphic>
          </wp:inline>
        </w:drawing>
      </w:r>
    </w:p>
    <w:p w14:paraId="50F027E4" w14:textId="77777777" w:rsidR="000A13DE" w:rsidRDefault="00000000">
      <w:pPr>
        <w:ind w:left="720"/>
        <w:rPr>
          <w:b/>
          <w:sz w:val="18"/>
          <w:szCs w:val="18"/>
        </w:rPr>
      </w:pPr>
      <w:r>
        <w:rPr>
          <w:b/>
          <w:sz w:val="18"/>
          <w:szCs w:val="18"/>
        </w:rPr>
        <w:t>Graph 9 Correlation of SOH with Capacity</w:t>
      </w:r>
    </w:p>
    <w:p w14:paraId="28372BD0" w14:textId="77777777" w:rsidR="000A13DE" w:rsidRDefault="000A13DE">
      <w:pPr>
        <w:ind w:left="720"/>
        <w:rPr>
          <w:b/>
          <w:sz w:val="18"/>
          <w:szCs w:val="18"/>
        </w:rPr>
      </w:pPr>
    </w:p>
    <w:p w14:paraId="6798926B" w14:textId="77777777" w:rsidR="000A13DE" w:rsidRDefault="00000000">
      <w:pPr>
        <w:ind w:left="720"/>
        <w:rPr>
          <w:sz w:val="20"/>
          <w:szCs w:val="20"/>
        </w:rPr>
      </w:pPr>
      <w:r>
        <w:rPr>
          <w:sz w:val="20"/>
          <w:szCs w:val="20"/>
        </w:rPr>
        <w:t>And we also observe that the SOH has a positive correlation with time. And we also know that the battery degrades over time even if it's not in use due to chemical reactions taking place inside the battery.</w:t>
      </w:r>
    </w:p>
    <w:p w14:paraId="6335F420" w14:textId="77777777" w:rsidR="000A13DE" w:rsidRDefault="000A13DE">
      <w:pPr>
        <w:ind w:left="720"/>
        <w:rPr>
          <w:sz w:val="20"/>
          <w:szCs w:val="20"/>
        </w:rPr>
      </w:pPr>
    </w:p>
    <w:p w14:paraId="27E366FD" w14:textId="77777777" w:rsidR="000A13DE" w:rsidRDefault="00000000">
      <w:pPr>
        <w:ind w:left="720"/>
        <w:rPr>
          <w:sz w:val="20"/>
          <w:szCs w:val="20"/>
        </w:rPr>
      </w:pPr>
      <w:r>
        <w:rPr>
          <w:sz w:val="20"/>
          <w:szCs w:val="20"/>
        </w:rPr>
        <w:t>For the RUL we observe that it also follows the patterns we observed with the SOH with it also having a negative correlation with cycles and a positive correlation with the capacity of the battery</w:t>
      </w:r>
    </w:p>
    <w:p w14:paraId="59F2B8F2" w14:textId="77777777" w:rsidR="000A13DE" w:rsidRDefault="00000000">
      <w:pPr>
        <w:ind w:left="720"/>
        <w:rPr>
          <w:sz w:val="20"/>
          <w:szCs w:val="20"/>
        </w:rPr>
      </w:pPr>
      <w:r>
        <w:rPr>
          <w:noProof/>
          <w:sz w:val="20"/>
          <w:szCs w:val="20"/>
        </w:rPr>
        <w:drawing>
          <wp:inline distT="114300" distB="114300" distL="114300" distR="114300" wp14:anchorId="153315F2" wp14:editId="63DD98FD">
            <wp:extent cx="2671763" cy="2549392"/>
            <wp:effectExtent l="0" t="0" r="0" b="0"/>
            <wp:docPr id="1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4"/>
                    <a:srcRect/>
                    <a:stretch>
                      <a:fillRect/>
                    </a:stretch>
                  </pic:blipFill>
                  <pic:spPr>
                    <a:xfrm>
                      <a:off x="0" y="0"/>
                      <a:ext cx="2671763" cy="2549392"/>
                    </a:xfrm>
                    <a:prstGeom prst="rect">
                      <a:avLst/>
                    </a:prstGeom>
                    <a:ln/>
                  </pic:spPr>
                </pic:pic>
              </a:graphicData>
            </a:graphic>
          </wp:inline>
        </w:drawing>
      </w:r>
    </w:p>
    <w:p w14:paraId="4FAE0F3A" w14:textId="77777777" w:rsidR="000A13DE" w:rsidRDefault="00000000">
      <w:pPr>
        <w:ind w:left="720"/>
        <w:rPr>
          <w:sz w:val="20"/>
          <w:szCs w:val="20"/>
        </w:rPr>
      </w:pPr>
      <w:r>
        <w:rPr>
          <w:noProof/>
          <w:sz w:val="20"/>
          <w:szCs w:val="20"/>
        </w:rPr>
        <w:lastRenderedPageBreak/>
        <w:drawing>
          <wp:inline distT="114300" distB="114300" distL="114300" distR="114300" wp14:anchorId="474304F7" wp14:editId="71225683">
            <wp:extent cx="2723978" cy="2598737"/>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5"/>
                    <a:srcRect/>
                    <a:stretch>
                      <a:fillRect/>
                    </a:stretch>
                  </pic:blipFill>
                  <pic:spPr>
                    <a:xfrm>
                      <a:off x="0" y="0"/>
                      <a:ext cx="2723978" cy="2598737"/>
                    </a:xfrm>
                    <a:prstGeom prst="rect">
                      <a:avLst/>
                    </a:prstGeom>
                    <a:ln/>
                  </pic:spPr>
                </pic:pic>
              </a:graphicData>
            </a:graphic>
          </wp:inline>
        </w:drawing>
      </w:r>
    </w:p>
    <w:p w14:paraId="638B12D0" w14:textId="77777777" w:rsidR="000A13DE" w:rsidRDefault="00000000">
      <w:pPr>
        <w:ind w:left="720"/>
        <w:rPr>
          <w:b/>
          <w:sz w:val="18"/>
          <w:szCs w:val="18"/>
        </w:rPr>
      </w:pPr>
      <w:r>
        <w:rPr>
          <w:b/>
          <w:sz w:val="18"/>
          <w:szCs w:val="18"/>
        </w:rPr>
        <w:t>Graph 10 Correlation of RuL with Capacity &amp; Cycle</w:t>
      </w:r>
    </w:p>
    <w:p w14:paraId="695DA13B" w14:textId="77777777" w:rsidR="000A13DE" w:rsidRDefault="000A13DE">
      <w:pPr>
        <w:ind w:left="720"/>
        <w:rPr>
          <w:sz w:val="20"/>
          <w:szCs w:val="20"/>
        </w:rPr>
      </w:pPr>
    </w:p>
    <w:p w14:paraId="47FF554F" w14:textId="0047302C" w:rsidR="000A13DE" w:rsidRDefault="00000000">
      <w:pPr>
        <w:ind w:left="720"/>
        <w:rPr>
          <w:sz w:val="20"/>
          <w:szCs w:val="20"/>
        </w:rPr>
      </w:pPr>
      <w:r>
        <w:rPr>
          <w:sz w:val="20"/>
          <w:szCs w:val="20"/>
        </w:rPr>
        <w:t xml:space="preserve">Apart from that we can also observe that the SOH and RUL have a strong positive correlation with each other which we may be able to capitalize on during the modeling </w:t>
      </w:r>
      <w:r w:rsidR="00F65A94">
        <w:rPr>
          <w:sz w:val="20"/>
          <w:szCs w:val="20"/>
        </w:rPr>
        <w:t>process.</w:t>
      </w:r>
    </w:p>
    <w:p w14:paraId="2978A1B9" w14:textId="77777777" w:rsidR="000A13DE" w:rsidRDefault="00000000">
      <w:pPr>
        <w:ind w:left="720"/>
        <w:rPr>
          <w:sz w:val="20"/>
          <w:szCs w:val="20"/>
        </w:rPr>
      </w:pPr>
      <w:r>
        <w:rPr>
          <w:noProof/>
          <w:sz w:val="20"/>
          <w:szCs w:val="20"/>
        </w:rPr>
        <w:drawing>
          <wp:inline distT="114300" distB="114300" distL="114300" distR="114300" wp14:anchorId="4D5DD72D" wp14:editId="2414AF4B">
            <wp:extent cx="2652713" cy="256886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a:stretch>
                      <a:fillRect/>
                    </a:stretch>
                  </pic:blipFill>
                  <pic:spPr>
                    <a:xfrm>
                      <a:off x="0" y="0"/>
                      <a:ext cx="2652713" cy="2568862"/>
                    </a:xfrm>
                    <a:prstGeom prst="rect">
                      <a:avLst/>
                    </a:prstGeom>
                    <a:ln/>
                  </pic:spPr>
                </pic:pic>
              </a:graphicData>
            </a:graphic>
          </wp:inline>
        </w:drawing>
      </w:r>
    </w:p>
    <w:p w14:paraId="13E110E0" w14:textId="77777777" w:rsidR="000A13DE" w:rsidRDefault="00000000">
      <w:pPr>
        <w:ind w:left="720"/>
        <w:rPr>
          <w:b/>
          <w:sz w:val="18"/>
          <w:szCs w:val="18"/>
        </w:rPr>
      </w:pPr>
      <w:r>
        <w:rPr>
          <w:b/>
          <w:sz w:val="18"/>
          <w:szCs w:val="18"/>
        </w:rPr>
        <w:t>Graph 11 Correlation of RuL with SOH</w:t>
      </w:r>
    </w:p>
    <w:p w14:paraId="3C510C9C" w14:textId="77777777" w:rsidR="000A13DE" w:rsidRDefault="000A13DE">
      <w:pPr>
        <w:ind w:left="720"/>
        <w:rPr>
          <w:b/>
          <w:sz w:val="18"/>
          <w:szCs w:val="18"/>
        </w:rPr>
      </w:pPr>
    </w:p>
    <w:p w14:paraId="0C5D8F19" w14:textId="46EC46EF" w:rsidR="000A13DE" w:rsidRDefault="00000000">
      <w:pPr>
        <w:ind w:left="720"/>
        <w:rPr>
          <w:sz w:val="20"/>
          <w:szCs w:val="20"/>
        </w:rPr>
      </w:pPr>
      <w:r>
        <w:rPr>
          <w:sz w:val="20"/>
          <w:szCs w:val="20"/>
        </w:rPr>
        <w:t xml:space="preserve">We then formed bar plots to look at the correlation of different </w:t>
      </w:r>
      <w:r w:rsidR="00F65A94">
        <w:rPr>
          <w:sz w:val="20"/>
          <w:szCs w:val="20"/>
        </w:rPr>
        <w:t>columns</w:t>
      </w:r>
      <w:r>
        <w:rPr>
          <w:sz w:val="20"/>
          <w:szCs w:val="20"/>
        </w:rPr>
        <w:t xml:space="preserve"> with the SOH of the </w:t>
      </w:r>
      <w:r w:rsidR="00F65A94">
        <w:rPr>
          <w:sz w:val="20"/>
          <w:szCs w:val="20"/>
        </w:rPr>
        <w:t>battery.</w:t>
      </w:r>
    </w:p>
    <w:p w14:paraId="7C475E10" w14:textId="77777777" w:rsidR="000A13DE" w:rsidRDefault="00000000">
      <w:pPr>
        <w:ind w:left="720"/>
        <w:rPr>
          <w:sz w:val="20"/>
          <w:szCs w:val="20"/>
        </w:rPr>
      </w:pPr>
      <w:r>
        <w:rPr>
          <w:noProof/>
          <w:sz w:val="20"/>
          <w:szCs w:val="20"/>
        </w:rPr>
        <w:drawing>
          <wp:inline distT="114300" distB="114300" distL="114300" distR="114300" wp14:anchorId="489590D6" wp14:editId="2CE22B40">
            <wp:extent cx="2595563" cy="1976506"/>
            <wp:effectExtent l="0" t="0" r="0" b="0"/>
            <wp:docPr id="9"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7"/>
                    <a:srcRect/>
                    <a:stretch>
                      <a:fillRect/>
                    </a:stretch>
                  </pic:blipFill>
                  <pic:spPr>
                    <a:xfrm>
                      <a:off x="0" y="0"/>
                      <a:ext cx="2595563" cy="1976506"/>
                    </a:xfrm>
                    <a:prstGeom prst="rect">
                      <a:avLst/>
                    </a:prstGeom>
                    <a:ln/>
                  </pic:spPr>
                </pic:pic>
              </a:graphicData>
            </a:graphic>
          </wp:inline>
        </w:drawing>
      </w:r>
    </w:p>
    <w:p w14:paraId="58F07D8D" w14:textId="77777777" w:rsidR="000A13DE" w:rsidRDefault="00000000">
      <w:pPr>
        <w:ind w:left="720"/>
        <w:rPr>
          <w:sz w:val="20"/>
          <w:szCs w:val="20"/>
        </w:rPr>
      </w:pPr>
      <w:r>
        <w:rPr>
          <w:b/>
          <w:sz w:val="18"/>
          <w:szCs w:val="18"/>
        </w:rPr>
        <w:t>Graph 12 Correlation of SOH</w:t>
      </w:r>
      <w:r>
        <w:rPr>
          <w:noProof/>
          <w:sz w:val="20"/>
          <w:szCs w:val="20"/>
        </w:rPr>
        <w:drawing>
          <wp:inline distT="114300" distB="114300" distL="114300" distR="114300" wp14:anchorId="7BA1F0FE" wp14:editId="0EA729B3">
            <wp:extent cx="2586038" cy="1959606"/>
            <wp:effectExtent l="0" t="0" r="0" b="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8"/>
                    <a:srcRect/>
                    <a:stretch>
                      <a:fillRect/>
                    </a:stretch>
                  </pic:blipFill>
                  <pic:spPr>
                    <a:xfrm>
                      <a:off x="0" y="0"/>
                      <a:ext cx="2586038" cy="1959606"/>
                    </a:xfrm>
                    <a:prstGeom prst="rect">
                      <a:avLst/>
                    </a:prstGeom>
                    <a:ln/>
                  </pic:spPr>
                </pic:pic>
              </a:graphicData>
            </a:graphic>
          </wp:inline>
        </w:drawing>
      </w:r>
    </w:p>
    <w:p w14:paraId="1D0D803D" w14:textId="77777777" w:rsidR="000A13DE" w:rsidRDefault="00000000">
      <w:pPr>
        <w:ind w:left="720"/>
        <w:rPr>
          <w:b/>
          <w:sz w:val="18"/>
          <w:szCs w:val="18"/>
        </w:rPr>
      </w:pPr>
      <w:r>
        <w:rPr>
          <w:b/>
          <w:sz w:val="18"/>
          <w:szCs w:val="18"/>
        </w:rPr>
        <w:t>Graph 13 Correlation of RuL</w:t>
      </w:r>
    </w:p>
    <w:p w14:paraId="29FD5ADC" w14:textId="77777777" w:rsidR="000A13DE" w:rsidRDefault="00000000">
      <w:pPr>
        <w:ind w:left="720"/>
        <w:rPr>
          <w:sz w:val="20"/>
          <w:szCs w:val="20"/>
        </w:rPr>
      </w:pPr>
      <w:r>
        <w:rPr>
          <w:sz w:val="20"/>
          <w:szCs w:val="20"/>
        </w:rPr>
        <w:br/>
        <w:t>Based on our analysis, we observed that the ambient temperature remained constant throughout the duration of the battery testing, as evidenced by its consistent value and lack of variability. Given the established impact of temperature on Lithium-Ion (Li-ion) battery performance and degradation, this controlled temperature environment limits our ability to explore correlations between temperature fluctuations and the State of Health (</w:t>
      </w:r>
      <w:proofErr w:type="spellStart"/>
      <w:r>
        <w:rPr>
          <w:sz w:val="20"/>
          <w:szCs w:val="20"/>
        </w:rPr>
        <w:t>SoH</w:t>
      </w:r>
      <w:proofErr w:type="spellEnd"/>
      <w:r>
        <w:rPr>
          <w:sz w:val="20"/>
          <w:szCs w:val="20"/>
        </w:rPr>
        <w:t xml:space="preserve">) or Remaining Useful Life (RUL) of the batteries. While it is well-documented that temperature variations can significantly influence Li-ion battery behavior, the absence of temperature changes in our dataset precludes the examination of such correlations. Therefore, to focus our analysis on factors directly pertinent to battery health and performance, we have decided to remove not only the ambient temperature column but also the datetime column and the time column from our dataset. This ensures that our analysis remains scientifically rigorous and aligned with the objectives of investigating the factors influencing battery </w:t>
      </w:r>
      <w:proofErr w:type="spellStart"/>
      <w:r>
        <w:rPr>
          <w:sz w:val="20"/>
          <w:szCs w:val="20"/>
        </w:rPr>
        <w:t>SoH</w:t>
      </w:r>
      <w:proofErr w:type="spellEnd"/>
      <w:r>
        <w:rPr>
          <w:sz w:val="20"/>
          <w:szCs w:val="20"/>
        </w:rPr>
        <w:t xml:space="preserve"> and RUL.</w:t>
      </w:r>
    </w:p>
    <w:p w14:paraId="77937453" w14:textId="0EB6DE21" w:rsidR="000A13DE" w:rsidRDefault="00F65A94">
      <w:pPr>
        <w:ind w:left="720"/>
        <w:rPr>
          <w:sz w:val="20"/>
          <w:szCs w:val="20"/>
        </w:rPr>
      </w:pPr>
      <w:r>
        <w:rPr>
          <w:sz w:val="20"/>
          <w:szCs w:val="20"/>
        </w:rPr>
        <w:t>Furthermore</w:t>
      </w:r>
      <w:r w:rsidR="00000000">
        <w:rPr>
          <w:sz w:val="20"/>
          <w:szCs w:val="20"/>
        </w:rPr>
        <w:t>, in addition to considering the impact of individual features on battery health metrics, it is imperative to assess the inter-correlation among variables within the dataset. By examining the correlation matrix, we can discern relationships between different parameters and identify redundancies or duplications that may exist. Removing redundant features is crucial as they contribute to model complexity without significantly enhancing predictive accuracy.</w:t>
      </w:r>
    </w:p>
    <w:p w14:paraId="6EE27C26" w14:textId="77777777" w:rsidR="000A13DE" w:rsidRDefault="000A13DE">
      <w:pPr>
        <w:ind w:left="720"/>
        <w:rPr>
          <w:sz w:val="20"/>
          <w:szCs w:val="20"/>
        </w:rPr>
      </w:pPr>
    </w:p>
    <w:p w14:paraId="01C1C282" w14:textId="77777777" w:rsidR="000A13DE" w:rsidRDefault="00000000">
      <w:pPr>
        <w:ind w:left="720"/>
        <w:rPr>
          <w:sz w:val="20"/>
          <w:szCs w:val="20"/>
        </w:rPr>
      </w:pPr>
      <w:r>
        <w:rPr>
          <w:sz w:val="20"/>
          <w:szCs w:val="20"/>
        </w:rPr>
        <w:t>In the realm of lithium-ion battery research, inter-correlation analysis plays a pivotal role in ensuring the robustness and efficiency of predictive models. This is particularly pertinent in battery health monitoring and predictive maintenance, where the selection of relevant features is paramount for accurate estimation of metrics such as State of Health (</w:t>
      </w:r>
      <w:proofErr w:type="spellStart"/>
      <w:r>
        <w:rPr>
          <w:sz w:val="20"/>
          <w:szCs w:val="20"/>
        </w:rPr>
        <w:t>SoH</w:t>
      </w:r>
      <w:proofErr w:type="spellEnd"/>
      <w:r>
        <w:rPr>
          <w:sz w:val="20"/>
          <w:szCs w:val="20"/>
        </w:rPr>
        <w:t>) and Remaining Useful Life (RUL).</w:t>
      </w:r>
    </w:p>
    <w:p w14:paraId="014F9CB8" w14:textId="77777777" w:rsidR="000A13DE" w:rsidRDefault="00000000">
      <w:pPr>
        <w:ind w:left="720"/>
        <w:rPr>
          <w:sz w:val="20"/>
          <w:szCs w:val="20"/>
        </w:rPr>
      </w:pPr>
      <w:r>
        <w:rPr>
          <w:noProof/>
          <w:sz w:val="20"/>
          <w:szCs w:val="20"/>
        </w:rPr>
        <w:lastRenderedPageBreak/>
        <w:drawing>
          <wp:inline distT="114300" distB="114300" distL="114300" distR="114300" wp14:anchorId="3DF78162" wp14:editId="5B2B5FC5">
            <wp:extent cx="2740852" cy="2236787"/>
            <wp:effectExtent l="0" t="0" r="0" b="0"/>
            <wp:docPr id="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9"/>
                    <a:srcRect/>
                    <a:stretch>
                      <a:fillRect/>
                    </a:stretch>
                  </pic:blipFill>
                  <pic:spPr>
                    <a:xfrm>
                      <a:off x="0" y="0"/>
                      <a:ext cx="2740852" cy="2236787"/>
                    </a:xfrm>
                    <a:prstGeom prst="rect">
                      <a:avLst/>
                    </a:prstGeom>
                    <a:ln/>
                  </pic:spPr>
                </pic:pic>
              </a:graphicData>
            </a:graphic>
          </wp:inline>
        </w:drawing>
      </w:r>
    </w:p>
    <w:p w14:paraId="663BE7C1" w14:textId="4027BF82" w:rsidR="000A13DE" w:rsidRDefault="00000000">
      <w:pPr>
        <w:ind w:left="720"/>
        <w:rPr>
          <w:b/>
          <w:sz w:val="18"/>
          <w:szCs w:val="18"/>
        </w:rPr>
      </w:pPr>
      <w:r>
        <w:rPr>
          <w:b/>
          <w:sz w:val="18"/>
          <w:szCs w:val="18"/>
        </w:rPr>
        <w:t xml:space="preserve">Graph 13 Inter Correlation of </w:t>
      </w:r>
      <w:r w:rsidR="00F65A94">
        <w:rPr>
          <w:b/>
          <w:sz w:val="18"/>
          <w:szCs w:val="18"/>
        </w:rPr>
        <w:t>columns.</w:t>
      </w:r>
    </w:p>
    <w:p w14:paraId="2336CEB2" w14:textId="77777777" w:rsidR="000A13DE" w:rsidRDefault="000A13DE">
      <w:pPr>
        <w:ind w:left="720"/>
        <w:rPr>
          <w:b/>
          <w:sz w:val="18"/>
          <w:szCs w:val="18"/>
        </w:rPr>
      </w:pPr>
    </w:p>
    <w:p w14:paraId="08A44581" w14:textId="77777777" w:rsidR="000A13DE" w:rsidRDefault="00000000">
      <w:pPr>
        <w:ind w:left="720"/>
        <w:rPr>
          <w:sz w:val="20"/>
          <w:szCs w:val="20"/>
        </w:rPr>
      </w:pPr>
      <w:r>
        <w:rPr>
          <w:sz w:val="20"/>
          <w:szCs w:val="20"/>
        </w:rPr>
        <w:t>By identifying and removing redundant features through correlation analysis, we streamline the modeling process, improve computational efficiency, and enhance the interpretability of the resulting predictive models. This ensures that our analysis remains focused on the most salient factors affecting battery health, thereby facilitating more accurate and actionable insights for battery management and maintenance.</w:t>
      </w:r>
    </w:p>
    <w:p w14:paraId="210B1A3E" w14:textId="77777777" w:rsidR="000A13DE" w:rsidRDefault="00000000">
      <w:pPr>
        <w:ind w:left="720"/>
        <w:rPr>
          <w:sz w:val="20"/>
          <w:szCs w:val="20"/>
        </w:rPr>
      </w:pPr>
      <w:r>
        <w:rPr>
          <w:sz w:val="20"/>
          <w:szCs w:val="20"/>
        </w:rPr>
        <w:t>Based on this we will be removing the voltage load column as it has a strong correlation with the current measured column which is to be expected as both are directly proportional to one another.</w:t>
      </w:r>
    </w:p>
    <w:p w14:paraId="41FA6EBA" w14:textId="77777777" w:rsidR="000A13DE" w:rsidRDefault="000A13DE">
      <w:pPr>
        <w:ind w:left="720"/>
        <w:rPr>
          <w:sz w:val="20"/>
          <w:szCs w:val="20"/>
        </w:rPr>
      </w:pPr>
    </w:p>
    <w:p w14:paraId="3F76A3DF" w14:textId="77777777" w:rsidR="000A13DE" w:rsidRDefault="00000000">
      <w:pPr>
        <w:pStyle w:val="Heading1"/>
        <w:numPr>
          <w:ilvl w:val="0"/>
          <w:numId w:val="8"/>
        </w:numPr>
      </w:pPr>
      <w:bookmarkStart w:id="10" w:name="_1d4v5cww6tq5" w:colFirst="0" w:colLast="0"/>
      <w:bookmarkStart w:id="11" w:name="_Toc164859824"/>
      <w:bookmarkEnd w:id="10"/>
      <w:r>
        <w:t>Modeling</w:t>
      </w:r>
      <w:bookmarkEnd w:id="11"/>
    </w:p>
    <w:p w14:paraId="457974BC" w14:textId="77777777" w:rsidR="000A13DE" w:rsidRDefault="00000000">
      <w:pPr>
        <w:ind w:left="720"/>
        <w:rPr>
          <w:sz w:val="20"/>
          <w:szCs w:val="20"/>
        </w:rPr>
      </w:pPr>
      <w:r>
        <w:rPr>
          <w:sz w:val="20"/>
          <w:szCs w:val="20"/>
        </w:rPr>
        <w:t xml:space="preserve">Building upon the insights gleaned from EDA, we embark on the modeling phase, where machine learning algorithms are employed to predict </w:t>
      </w:r>
      <w:proofErr w:type="spellStart"/>
      <w:r>
        <w:rPr>
          <w:sz w:val="20"/>
          <w:szCs w:val="20"/>
        </w:rPr>
        <w:t>SoH</w:t>
      </w:r>
      <w:proofErr w:type="spellEnd"/>
      <w:r>
        <w:rPr>
          <w:sz w:val="20"/>
          <w:szCs w:val="20"/>
        </w:rPr>
        <w:t xml:space="preserve"> and RUL accurately. By leveraging the rich dataset and advanced modeling techniques, we aim to develop robust predictive models capable of capturing the complex relationships between battery parameters and health metrics. Through iterative model refinement and validation, we endeavor to optimize model performance and generalizability, thereby empowering stakeholders with actionable insights for proactive battery management.</w:t>
      </w:r>
    </w:p>
    <w:p w14:paraId="5F801827" w14:textId="77777777" w:rsidR="000A13DE" w:rsidRDefault="00000000">
      <w:pPr>
        <w:ind w:left="720"/>
        <w:rPr>
          <w:sz w:val="20"/>
          <w:szCs w:val="20"/>
        </w:rPr>
      </w:pPr>
      <w:r>
        <w:rPr>
          <w:sz w:val="20"/>
          <w:szCs w:val="20"/>
        </w:rPr>
        <w:t>The first step we will be taking before starting the modeling process is to normalize our data using the Min-Max scaler.</w:t>
      </w:r>
    </w:p>
    <w:p w14:paraId="502B716D" w14:textId="77777777" w:rsidR="000A13DE" w:rsidRDefault="00000000">
      <w:pPr>
        <w:ind w:left="720"/>
        <w:rPr>
          <w:sz w:val="20"/>
          <w:szCs w:val="20"/>
        </w:rPr>
      </w:pPr>
      <w:r>
        <w:rPr>
          <w:sz w:val="20"/>
          <w:szCs w:val="20"/>
        </w:rPr>
        <w:t>The utilization of the Min-Max Scaler emerges as a pivotal step in our modeling endeavor, underscoring its significance in enhancing the efficacy and interpretability of our predictive models. By rescaling the feature space to a uniform range, typically between 0 and 1, the Min-Max Scaler facilitates the mitigation of potential issues stemming from disparate feature scales and magnitudes. This normalization process imbues our models with enhanced stability, convergence efficiency, and resistance to outliers, thereby fortifying their predictive prowess across diverse datasets and operating conditions.</w:t>
      </w:r>
    </w:p>
    <w:p w14:paraId="2DAB3399" w14:textId="77777777" w:rsidR="000A13DE" w:rsidRDefault="00000000">
      <w:pPr>
        <w:ind w:left="720"/>
        <w:rPr>
          <w:sz w:val="20"/>
          <w:szCs w:val="20"/>
        </w:rPr>
      </w:pPr>
      <w:r>
        <w:rPr>
          <w:sz w:val="20"/>
          <w:szCs w:val="20"/>
        </w:rPr>
        <w:t xml:space="preserve">In our methodology, we acknowledge the paramount importance of applying the Min-Max Scaler to both independent (features) and dependent (target) variables. By ensuring uniform scaling across all dimensions of </w:t>
      </w:r>
      <w:r>
        <w:rPr>
          <w:sz w:val="20"/>
          <w:szCs w:val="20"/>
        </w:rPr>
        <w:t>the dataset, we strive to engender models that exhibit heightened robustness, generalizability, and interpretability. This holistic normalization approach empowers our models to discern subtle patterns and relationships within the data while mitigating the risk of overfitting or underfitting.</w:t>
      </w:r>
    </w:p>
    <w:p w14:paraId="1BE7359F" w14:textId="77777777" w:rsidR="000A13DE" w:rsidRDefault="00000000">
      <w:pPr>
        <w:ind w:left="720"/>
        <w:rPr>
          <w:sz w:val="20"/>
          <w:szCs w:val="20"/>
        </w:rPr>
      </w:pPr>
      <w:r>
        <w:rPr>
          <w:sz w:val="20"/>
          <w:szCs w:val="20"/>
        </w:rPr>
        <w:t>Moving forward, we delineate a comprehensive strategy for implementing the Min-Max Scaler across our modeling pipeline. Specifically, we pledge to incorporate the Min-Max Scaler in the preprocessing stage, meticulously rescaling both input features and output targets (</w:t>
      </w:r>
      <w:proofErr w:type="spellStart"/>
      <w:r>
        <w:rPr>
          <w:sz w:val="20"/>
          <w:szCs w:val="20"/>
        </w:rPr>
        <w:t>SoH</w:t>
      </w:r>
      <w:proofErr w:type="spellEnd"/>
      <w:r>
        <w:rPr>
          <w:sz w:val="20"/>
          <w:szCs w:val="20"/>
        </w:rPr>
        <w:t xml:space="preserve"> and RUL). By adopting this standardized approach, we endeavor to evaluate the impact of feature scaling on model performance across an array of machine learning algorithms and evaluation metrics.</w:t>
      </w:r>
    </w:p>
    <w:p w14:paraId="1000E1B7" w14:textId="77777777" w:rsidR="000A13DE" w:rsidRDefault="00000000">
      <w:pPr>
        <w:ind w:left="720"/>
        <w:rPr>
          <w:sz w:val="20"/>
          <w:szCs w:val="20"/>
        </w:rPr>
      </w:pPr>
      <w:r>
        <w:rPr>
          <w:sz w:val="20"/>
          <w:szCs w:val="20"/>
        </w:rPr>
        <w:t>Through a systematic experimentation framework, we shall rigorously test and validate the efficacy of Min-Max scaling on diverse predictive models employed for both State of Health (</w:t>
      </w:r>
      <w:proofErr w:type="spellStart"/>
      <w:r>
        <w:rPr>
          <w:sz w:val="20"/>
          <w:szCs w:val="20"/>
        </w:rPr>
        <w:t>SoH</w:t>
      </w:r>
      <w:proofErr w:type="spellEnd"/>
      <w:r>
        <w:rPr>
          <w:sz w:val="20"/>
          <w:szCs w:val="20"/>
        </w:rPr>
        <w:t>) and Remaining Useful Life (RUL) estimation. By comparing the performance of models trained with and without Min-Max scaling, we aim to elucidate the nuanced effects of feature normalization on predictive accuracy, convergence speed, and robustness.</w:t>
      </w:r>
    </w:p>
    <w:p w14:paraId="0CDFF1DD" w14:textId="77777777" w:rsidR="000A13DE" w:rsidRDefault="00000000">
      <w:pPr>
        <w:ind w:left="720"/>
        <w:rPr>
          <w:sz w:val="20"/>
          <w:szCs w:val="20"/>
        </w:rPr>
      </w:pPr>
      <w:r>
        <w:rPr>
          <w:sz w:val="20"/>
          <w:szCs w:val="20"/>
        </w:rPr>
        <w:t>In essence, the adoption of the Min-Max Scaler represents a cornerstone in our quest for precision battery health prognostics. By harnessing the power of uniform feature scaling, we endeavor to unlock the latent potential of our predictive models, transcending the boundaries of conventional battery health monitoring and ushering in a new era of data-driven insights and actionable intelligence.</w:t>
      </w:r>
    </w:p>
    <w:p w14:paraId="064E7099" w14:textId="77777777" w:rsidR="000A13DE" w:rsidRDefault="000A13DE">
      <w:pPr>
        <w:ind w:left="720"/>
        <w:rPr>
          <w:sz w:val="20"/>
          <w:szCs w:val="20"/>
        </w:rPr>
      </w:pPr>
    </w:p>
    <w:p w14:paraId="0A4251BC" w14:textId="77777777" w:rsidR="000A13DE" w:rsidRDefault="00000000">
      <w:pPr>
        <w:ind w:left="720"/>
        <w:rPr>
          <w:sz w:val="20"/>
          <w:szCs w:val="20"/>
        </w:rPr>
      </w:pPr>
      <w:r>
        <w:rPr>
          <w:sz w:val="20"/>
          <w:szCs w:val="20"/>
        </w:rPr>
        <w:t>In the initial phase of our experimentation, we sought to gauge the performance of a simple Deep Neural Network (DNN) model in predicting the State of Health (</w:t>
      </w:r>
      <w:proofErr w:type="spellStart"/>
      <w:r>
        <w:rPr>
          <w:sz w:val="20"/>
          <w:szCs w:val="20"/>
        </w:rPr>
        <w:t>SoH</w:t>
      </w:r>
      <w:proofErr w:type="spellEnd"/>
      <w:r>
        <w:rPr>
          <w:sz w:val="20"/>
          <w:szCs w:val="20"/>
        </w:rPr>
        <w:t xml:space="preserve">) and Remaining Useful Life (RUL) of Lithium-Ion batteries. We meticulously trained and evaluated two distinct DNN models—one for </w:t>
      </w:r>
      <w:proofErr w:type="spellStart"/>
      <w:r>
        <w:rPr>
          <w:sz w:val="20"/>
          <w:szCs w:val="20"/>
        </w:rPr>
        <w:t>SoH</w:t>
      </w:r>
      <w:proofErr w:type="spellEnd"/>
      <w:r>
        <w:rPr>
          <w:sz w:val="20"/>
          <w:szCs w:val="20"/>
        </w:rPr>
        <w:t xml:space="preserve"> estimation and the other for RUL prediction—leveraging unseen data, i.e., a battery that was not part of the training dataset.</w:t>
      </w:r>
    </w:p>
    <w:p w14:paraId="2D465CF5" w14:textId="77777777" w:rsidR="000A13DE" w:rsidRDefault="000A13DE">
      <w:pPr>
        <w:ind w:left="720"/>
        <w:rPr>
          <w:sz w:val="20"/>
          <w:szCs w:val="20"/>
        </w:rPr>
      </w:pPr>
    </w:p>
    <w:p w14:paraId="7F68FDAA" w14:textId="77777777" w:rsidR="000A13DE" w:rsidRDefault="00000000">
      <w:pPr>
        <w:ind w:left="720"/>
        <w:rPr>
          <w:sz w:val="20"/>
          <w:szCs w:val="20"/>
        </w:rPr>
      </w:pPr>
      <w:r>
        <w:rPr>
          <w:sz w:val="20"/>
          <w:szCs w:val="20"/>
        </w:rPr>
        <w:t xml:space="preserve">Upon rigorous evaluation, our findings revealed promising outcomes for both </w:t>
      </w:r>
      <w:proofErr w:type="spellStart"/>
      <w:r>
        <w:rPr>
          <w:sz w:val="20"/>
          <w:szCs w:val="20"/>
        </w:rPr>
        <w:t>SoH</w:t>
      </w:r>
      <w:proofErr w:type="spellEnd"/>
      <w:r>
        <w:rPr>
          <w:sz w:val="20"/>
          <w:szCs w:val="20"/>
        </w:rPr>
        <w:t xml:space="preserve"> and RUL estimation, albeit with discernible variations in predictive accuracy. For the </w:t>
      </w:r>
      <w:proofErr w:type="spellStart"/>
      <w:r>
        <w:rPr>
          <w:sz w:val="20"/>
          <w:szCs w:val="20"/>
        </w:rPr>
        <w:t>SoH</w:t>
      </w:r>
      <w:proofErr w:type="spellEnd"/>
      <w:r>
        <w:rPr>
          <w:sz w:val="20"/>
          <w:szCs w:val="20"/>
        </w:rPr>
        <w:t xml:space="preserve"> model, we achieved a commendably low Mean Squared Error (MSE) of 0.0002952931920267384, indicative of the model's adeptness in capturing the underlying relationships between input features and </w:t>
      </w:r>
      <w:proofErr w:type="spellStart"/>
      <w:r>
        <w:rPr>
          <w:sz w:val="20"/>
          <w:szCs w:val="20"/>
        </w:rPr>
        <w:t>SoH</w:t>
      </w:r>
      <w:proofErr w:type="spellEnd"/>
      <w:r>
        <w:rPr>
          <w:sz w:val="20"/>
          <w:szCs w:val="20"/>
        </w:rPr>
        <w:t xml:space="preserve"> metrics. This remarkable precision underscores the efficacy of our DNN architecture in discerning subtle patterns and trends within the battery dataset, thereby furnishing reliable estimates of battery health status.</w:t>
      </w:r>
    </w:p>
    <w:p w14:paraId="79D85AB7" w14:textId="77777777" w:rsidR="000A13DE" w:rsidRDefault="00000000">
      <w:pPr>
        <w:ind w:left="720"/>
        <w:rPr>
          <w:sz w:val="20"/>
          <w:szCs w:val="20"/>
        </w:rPr>
      </w:pPr>
      <w:r>
        <w:rPr>
          <w:noProof/>
          <w:sz w:val="20"/>
          <w:szCs w:val="20"/>
        </w:rPr>
        <w:lastRenderedPageBreak/>
        <w:drawing>
          <wp:inline distT="114300" distB="114300" distL="114300" distR="114300" wp14:anchorId="2A05FA3C" wp14:editId="425D9854">
            <wp:extent cx="2730568" cy="2189163"/>
            <wp:effectExtent l="0" t="0" r="0" b="0"/>
            <wp:docPr id="2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0"/>
                    <a:srcRect/>
                    <a:stretch>
                      <a:fillRect/>
                    </a:stretch>
                  </pic:blipFill>
                  <pic:spPr>
                    <a:xfrm>
                      <a:off x="0" y="0"/>
                      <a:ext cx="2730568" cy="2189163"/>
                    </a:xfrm>
                    <a:prstGeom prst="rect">
                      <a:avLst/>
                    </a:prstGeom>
                    <a:ln/>
                  </pic:spPr>
                </pic:pic>
              </a:graphicData>
            </a:graphic>
          </wp:inline>
        </w:drawing>
      </w:r>
    </w:p>
    <w:p w14:paraId="7C1D1756" w14:textId="77777777" w:rsidR="000A13DE" w:rsidRDefault="00000000">
      <w:pPr>
        <w:ind w:left="720"/>
        <w:rPr>
          <w:b/>
          <w:sz w:val="18"/>
          <w:szCs w:val="18"/>
        </w:rPr>
      </w:pPr>
      <w:r>
        <w:rPr>
          <w:b/>
          <w:sz w:val="18"/>
          <w:szCs w:val="18"/>
        </w:rPr>
        <w:t>Graph 14 Predicted VS Actual values SOH DNN model</w:t>
      </w:r>
    </w:p>
    <w:p w14:paraId="03153E00" w14:textId="77777777" w:rsidR="000A13DE" w:rsidRDefault="000A13DE">
      <w:pPr>
        <w:ind w:left="720"/>
        <w:rPr>
          <w:b/>
          <w:sz w:val="18"/>
          <w:szCs w:val="18"/>
        </w:rPr>
      </w:pPr>
    </w:p>
    <w:p w14:paraId="60F82DEF" w14:textId="77777777" w:rsidR="000A13DE" w:rsidRDefault="00000000">
      <w:pPr>
        <w:ind w:left="720"/>
        <w:rPr>
          <w:sz w:val="20"/>
          <w:szCs w:val="20"/>
        </w:rPr>
      </w:pPr>
      <w:r>
        <w:rPr>
          <w:sz w:val="20"/>
          <w:szCs w:val="20"/>
        </w:rPr>
        <w:t>Similarly, in the realm of RUL estimation, our DNN model demonstrated promising results, yielding an MSE of 0.00025639907474135675. This indicates a high level of accuracy in predicting the remaining lifespan of Lithium-Ion batteries, with minimal discrepancy between the model predictions and the actual RUL values. The low MSE underscores the model's capacity to discern subtle degradation patterns and anticipate the future health status of the batteries with precision.</w:t>
      </w:r>
    </w:p>
    <w:p w14:paraId="2C0722EA" w14:textId="77777777" w:rsidR="000A13DE" w:rsidRDefault="00000000">
      <w:pPr>
        <w:ind w:left="720"/>
        <w:rPr>
          <w:sz w:val="20"/>
          <w:szCs w:val="20"/>
        </w:rPr>
      </w:pPr>
      <w:r>
        <w:rPr>
          <w:noProof/>
          <w:sz w:val="20"/>
          <w:szCs w:val="20"/>
        </w:rPr>
        <w:drawing>
          <wp:inline distT="114300" distB="114300" distL="114300" distR="114300" wp14:anchorId="1BA9A1C3" wp14:editId="55AF881C">
            <wp:extent cx="2586038" cy="2058426"/>
            <wp:effectExtent l="0" t="0" r="0" b="0"/>
            <wp:docPr id="1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1"/>
                    <a:srcRect/>
                    <a:stretch>
                      <a:fillRect/>
                    </a:stretch>
                  </pic:blipFill>
                  <pic:spPr>
                    <a:xfrm>
                      <a:off x="0" y="0"/>
                      <a:ext cx="2586038" cy="2058426"/>
                    </a:xfrm>
                    <a:prstGeom prst="rect">
                      <a:avLst/>
                    </a:prstGeom>
                    <a:ln/>
                  </pic:spPr>
                </pic:pic>
              </a:graphicData>
            </a:graphic>
          </wp:inline>
        </w:drawing>
      </w:r>
    </w:p>
    <w:p w14:paraId="28D32381" w14:textId="77777777" w:rsidR="000A13DE" w:rsidRDefault="00000000">
      <w:pPr>
        <w:ind w:left="720"/>
        <w:rPr>
          <w:b/>
          <w:sz w:val="18"/>
          <w:szCs w:val="18"/>
        </w:rPr>
      </w:pPr>
      <w:r>
        <w:rPr>
          <w:b/>
          <w:sz w:val="18"/>
          <w:szCs w:val="18"/>
        </w:rPr>
        <w:t>Graph 15 Predicted VS Actual values RuL DNN model</w:t>
      </w:r>
    </w:p>
    <w:p w14:paraId="4705E40E" w14:textId="77777777" w:rsidR="000A13DE" w:rsidRDefault="000A13DE">
      <w:pPr>
        <w:ind w:left="720"/>
        <w:rPr>
          <w:b/>
          <w:sz w:val="18"/>
          <w:szCs w:val="18"/>
        </w:rPr>
      </w:pPr>
    </w:p>
    <w:p w14:paraId="480ABEE8" w14:textId="77777777" w:rsidR="000A13DE" w:rsidRDefault="00000000">
      <w:pPr>
        <w:ind w:left="720"/>
        <w:rPr>
          <w:sz w:val="20"/>
          <w:szCs w:val="20"/>
        </w:rPr>
      </w:pPr>
      <w:r>
        <w:rPr>
          <w:sz w:val="20"/>
          <w:szCs w:val="20"/>
        </w:rPr>
        <w:t xml:space="preserve">It is important to emphasize that these MSE values were computed on unseen data, representing a separate battery dataset that was not part of the model training process. This underscores the generalizability and robustness of our DNN models, which exhibit consistent performance across diverse battery samples and operating conditions. By achieving low MSE values on unseen data, our models demonstrate their potential utility in real-world battery health monitoring applications, offering reliable insights into </w:t>
      </w:r>
      <w:proofErr w:type="spellStart"/>
      <w:r>
        <w:rPr>
          <w:sz w:val="20"/>
          <w:szCs w:val="20"/>
        </w:rPr>
        <w:t>SoH</w:t>
      </w:r>
      <w:proofErr w:type="spellEnd"/>
      <w:r>
        <w:rPr>
          <w:sz w:val="20"/>
          <w:szCs w:val="20"/>
        </w:rPr>
        <w:t xml:space="preserve"> and RUL estimation.</w:t>
      </w:r>
    </w:p>
    <w:p w14:paraId="5F4AB19B" w14:textId="77777777" w:rsidR="000A13DE" w:rsidRDefault="000A13DE">
      <w:pPr>
        <w:ind w:left="720"/>
        <w:rPr>
          <w:sz w:val="20"/>
          <w:szCs w:val="20"/>
        </w:rPr>
      </w:pPr>
    </w:p>
    <w:p w14:paraId="4F8C73A7" w14:textId="787F2E8C" w:rsidR="000A13DE" w:rsidRDefault="00000000">
      <w:pPr>
        <w:ind w:left="720"/>
        <w:rPr>
          <w:sz w:val="20"/>
          <w:szCs w:val="20"/>
        </w:rPr>
      </w:pPr>
      <w:r>
        <w:rPr>
          <w:sz w:val="20"/>
          <w:szCs w:val="20"/>
        </w:rPr>
        <w:t xml:space="preserve">These outcomes underscore the potential efficacy of DNN models in battery health prognostics, paving the way for future refinement and optimization endeavors. Moving forward, we envisage leveraging these preliminary findings as a springboard for exploring more sophisticated modeling architectures, feature engineering techniques, and optimization strategies aimed at further enhancing predictive accuracy and robustness. We also observe that the predicted values, </w:t>
      </w:r>
      <w:r>
        <w:rPr>
          <w:sz w:val="20"/>
          <w:szCs w:val="20"/>
        </w:rPr>
        <w:t xml:space="preserve">although noisy, somewhat follow the same trend as the actual </w:t>
      </w:r>
      <w:r w:rsidR="00F65A94">
        <w:rPr>
          <w:sz w:val="20"/>
          <w:szCs w:val="20"/>
        </w:rPr>
        <w:t>data. By</w:t>
      </w:r>
      <w:r>
        <w:rPr>
          <w:sz w:val="20"/>
          <w:szCs w:val="20"/>
        </w:rPr>
        <w:t xml:space="preserve"> iteratively refining our modeling approaches and embracing a data-driven paradigm, we aspire to develop cutting-edge solutions for proactive battery management and maintenance, ultimately fostering safer, more reliable battery-powered technologies.</w:t>
      </w:r>
    </w:p>
    <w:p w14:paraId="5A3DC088" w14:textId="77777777" w:rsidR="000A13DE" w:rsidRDefault="00000000">
      <w:pPr>
        <w:ind w:left="720"/>
        <w:rPr>
          <w:sz w:val="20"/>
          <w:szCs w:val="20"/>
        </w:rPr>
      </w:pPr>
      <w:r>
        <w:rPr>
          <w:sz w:val="20"/>
          <w:szCs w:val="20"/>
        </w:rPr>
        <w:t>In our subsequent experimentation phase, we adopted a novel approach to RUL prediction by integrating the State of Health (</w:t>
      </w:r>
      <w:proofErr w:type="spellStart"/>
      <w:r>
        <w:rPr>
          <w:sz w:val="20"/>
          <w:szCs w:val="20"/>
        </w:rPr>
        <w:t>SoH</w:t>
      </w:r>
      <w:proofErr w:type="spellEnd"/>
      <w:r>
        <w:rPr>
          <w:sz w:val="20"/>
          <w:szCs w:val="20"/>
        </w:rPr>
        <w:t xml:space="preserve">) information into the predictive model. The rationale behind this approach lies in leveraging the insights obtained from previously trained </w:t>
      </w:r>
      <w:proofErr w:type="spellStart"/>
      <w:r>
        <w:rPr>
          <w:sz w:val="20"/>
          <w:szCs w:val="20"/>
        </w:rPr>
        <w:t>SoH</w:t>
      </w:r>
      <w:proofErr w:type="spellEnd"/>
      <w:r>
        <w:rPr>
          <w:sz w:val="20"/>
          <w:szCs w:val="20"/>
        </w:rPr>
        <w:t xml:space="preserve"> prediction models to inform the RUL estimation process. By incorporating </w:t>
      </w:r>
      <w:proofErr w:type="spellStart"/>
      <w:r>
        <w:rPr>
          <w:sz w:val="20"/>
          <w:szCs w:val="20"/>
        </w:rPr>
        <w:t>SoH</w:t>
      </w:r>
      <w:proofErr w:type="spellEnd"/>
      <w:r>
        <w:rPr>
          <w:sz w:val="20"/>
          <w:szCs w:val="20"/>
        </w:rPr>
        <w:t xml:space="preserve"> as an additional input variable alongside other battery data, we hypothesized that the model could effectively capture the interplay between battery health status and remaining useful life.</w:t>
      </w:r>
    </w:p>
    <w:p w14:paraId="0E100CB5" w14:textId="77777777" w:rsidR="000A13DE" w:rsidRDefault="000A13DE">
      <w:pPr>
        <w:ind w:left="720"/>
        <w:rPr>
          <w:sz w:val="20"/>
          <w:szCs w:val="20"/>
        </w:rPr>
      </w:pPr>
    </w:p>
    <w:p w14:paraId="18C4336E" w14:textId="77777777" w:rsidR="000A13DE" w:rsidRDefault="00000000">
      <w:pPr>
        <w:ind w:left="720"/>
        <w:rPr>
          <w:sz w:val="20"/>
          <w:szCs w:val="20"/>
        </w:rPr>
      </w:pPr>
      <w:r>
        <w:rPr>
          <w:sz w:val="20"/>
          <w:szCs w:val="20"/>
        </w:rPr>
        <w:t xml:space="preserve">To test this hypothesis, we trained a new RUL prediction model using a feature set (X variable) that includes </w:t>
      </w:r>
      <w:proofErr w:type="spellStart"/>
      <w:r>
        <w:rPr>
          <w:sz w:val="20"/>
          <w:szCs w:val="20"/>
        </w:rPr>
        <w:t>SoH</w:t>
      </w:r>
      <w:proofErr w:type="spellEnd"/>
      <w:r>
        <w:rPr>
          <w:sz w:val="20"/>
          <w:szCs w:val="20"/>
        </w:rPr>
        <w:t xml:space="preserve"> alongside other relevant battery parameters. The model was trained on a diverse dataset, ensuring representation of various battery conditions and operational scenarios. Importantly, the training process was conducted using best practices in machine learning, including cross-validation techniques to mitigate overfitting and ensure model generalizability.</w:t>
      </w:r>
    </w:p>
    <w:p w14:paraId="39F5B4DD" w14:textId="77777777" w:rsidR="000A13DE" w:rsidRDefault="000A13DE">
      <w:pPr>
        <w:ind w:left="720"/>
        <w:rPr>
          <w:sz w:val="20"/>
          <w:szCs w:val="20"/>
        </w:rPr>
      </w:pPr>
    </w:p>
    <w:p w14:paraId="22285B14" w14:textId="77777777" w:rsidR="000A13DE" w:rsidRDefault="00000000">
      <w:pPr>
        <w:ind w:left="720"/>
        <w:rPr>
          <w:sz w:val="20"/>
          <w:szCs w:val="20"/>
        </w:rPr>
      </w:pPr>
      <w:r>
        <w:rPr>
          <w:sz w:val="20"/>
          <w:szCs w:val="20"/>
        </w:rPr>
        <w:t xml:space="preserve">Upon evaluation on unseen data—a separate battery dataset not used during model training—the RUL prediction model exhibited remarkable performance, achieving a Mean Squared Error (MSE) of 4.694983549792898e-08. This exceptionally low MSE underscores the model's accuracy in predicting the remaining lifespan of Lithium-Ion batteries based on the integrated </w:t>
      </w:r>
      <w:proofErr w:type="spellStart"/>
      <w:r>
        <w:rPr>
          <w:sz w:val="20"/>
          <w:szCs w:val="20"/>
        </w:rPr>
        <w:t>SoH</w:t>
      </w:r>
      <w:proofErr w:type="spellEnd"/>
      <w:r>
        <w:rPr>
          <w:sz w:val="20"/>
          <w:szCs w:val="20"/>
        </w:rPr>
        <w:t xml:space="preserve"> information. Moreover, the actual versus predicted RUL values closely followed a linear relationship, further validating the efficacy of the proposed approach.</w:t>
      </w:r>
    </w:p>
    <w:p w14:paraId="013ACB1D" w14:textId="77777777" w:rsidR="000A13DE" w:rsidRDefault="00000000">
      <w:pPr>
        <w:ind w:left="720"/>
        <w:rPr>
          <w:sz w:val="20"/>
          <w:szCs w:val="20"/>
        </w:rPr>
      </w:pPr>
      <w:r>
        <w:rPr>
          <w:noProof/>
          <w:sz w:val="20"/>
          <w:szCs w:val="20"/>
        </w:rPr>
        <w:drawing>
          <wp:inline distT="114300" distB="114300" distL="114300" distR="114300" wp14:anchorId="4A0584F2" wp14:editId="50CA0B89">
            <wp:extent cx="2893509" cy="2319796"/>
            <wp:effectExtent l="0" t="0" r="0" b="0"/>
            <wp:docPr id="1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2"/>
                    <a:srcRect/>
                    <a:stretch>
                      <a:fillRect/>
                    </a:stretch>
                  </pic:blipFill>
                  <pic:spPr>
                    <a:xfrm>
                      <a:off x="0" y="0"/>
                      <a:ext cx="2893509" cy="2319796"/>
                    </a:xfrm>
                    <a:prstGeom prst="rect">
                      <a:avLst/>
                    </a:prstGeom>
                    <a:ln/>
                  </pic:spPr>
                </pic:pic>
              </a:graphicData>
            </a:graphic>
          </wp:inline>
        </w:drawing>
      </w:r>
    </w:p>
    <w:p w14:paraId="478EB788" w14:textId="77777777" w:rsidR="000A13DE" w:rsidRDefault="000A13DE">
      <w:pPr>
        <w:ind w:left="720"/>
        <w:rPr>
          <w:sz w:val="20"/>
          <w:szCs w:val="20"/>
        </w:rPr>
      </w:pPr>
    </w:p>
    <w:p w14:paraId="4923A563" w14:textId="77777777" w:rsidR="000A13DE" w:rsidRDefault="00000000">
      <w:pPr>
        <w:ind w:left="720"/>
        <w:rPr>
          <w:b/>
          <w:sz w:val="18"/>
          <w:szCs w:val="18"/>
        </w:rPr>
      </w:pPr>
      <w:r>
        <w:rPr>
          <w:b/>
          <w:sz w:val="18"/>
          <w:szCs w:val="18"/>
        </w:rPr>
        <w:t>Graph 16 Predicted VS Actual values RUL DNN model</w:t>
      </w:r>
    </w:p>
    <w:p w14:paraId="778CA91E" w14:textId="77777777" w:rsidR="000A13DE" w:rsidRDefault="000A13DE">
      <w:pPr>
        <w:ind w:left="720"/>
        <w:rPr>
          <w:b/>
          <w:sz w:val="18"/>
          <w:szCs w:val="18"/>
        </w:rPr>
      </w:pPr>
    </w:p>
    <w:p w14:paraId="6A40E226" w14:textId="77777777" w:rsidR="000A13DE" w:rsidRDefault="00000000">
      <w:pPr>
        <w:ind w:left="720"/>
        <w:rPr>
          <w:sz w:val="20"/>
          <w:szCs w:val="20"/>
        </w:rPr>
      </w:pPr>
      <w:r>
        <w:rPr>
          <w:sz w:val="20"/>
          <w:szCs w:val="20"/>
        </w:rPr>
        <w:t xml:space="preserve">The observed alignment between actual and predicted RUL values, coupled with the negligible MSE, highlights the robustness and reliability of our integrated RUL prediction model. By effectively harnessing the insights gleaned from </w:t>
      </w:r>
      <w:proofErr w:type="spellStart"/>
      <w:r>
        <w:rPr>
          <w:sz w:val="20"/>
          <w:szCs w:val="20"/>
        </w:rPr>
        <w:t>SoH</w:t>
      </w:r>
      <w:proofErr w:type="spellEnd"/>
      <w:r>
        <w:rPr>
          <w:sz w:val="20"/>
          <w:szCs w:val="20"/>
        </w:rPr>
        <w:t xml:space="preserve"> prediction models, our approach demonstrates the ability to </w:t>
      </w:r>
      <w:r>
        <w:rPr>
          <w:sz w:val="20"/>
          <w:szCs w:val="20"/>
        </w:rPr>
        <w:lastRenderedPageBreak/>
        <w:t>enhance RUL estimation accuracy and precision. This innovative methodology holds promise for real-world battery health monitoring applications, offering a data-driven framework for proactive maintenance and lifecycle management of Lithium-Ion batteries.</w:t>
      </w:r>
    </w:p>
    <w:p w14:paraId="5630CE8E" w14:textId="77777777" w:rsidR="000A13DE" w:rsidRDefault="000A13DE">
      <w:pPr>
        <w:ind w:left="720"/>
        <w:rPr>
          <w:sz w:val="20"/>
          <w:szCs w:val="20"/>
        </w:rPr>
      </w:pPr>
    </w:p>
    <w:p w14:paraId="2970F601" w14:textId="77777777" w:rsidR="000A13DE" w:rsidRDefault="00000000">
      <w:pPr>
        <w:ind w:left="720"/>
        <w:rPr>
          <w:sz w:val="20"/>
          <w:szCs w:val="20"/>
        </w:rPr>
      </w:pPr>
      <w:r>
        <w:rPr>
          <w:sz w:val="20"/>
          <w:szCs w:val="20"/>
        </w:rPr>
        <w:t>In our pursuit of optimizing State of Health (</w:t>
      </w:r>
      <w:proofErr w:type="spellStart"/>
      <w:r>
        <w:rPr>
          <w:sz w:val="20"/>
          <w:szCs w:val="20"/>
        </w:rPr>
        <w:t>SoH</w:t>
      </w:r>
      <w:proofErr w:type="spellEnd"/>
      <w:r>
        <w:rPr>
          <w:sz w:val="20"/>
          <w:szCs w:val="20"/>
        </w:rPr>
        <w:t xml:space="preserve">) prediction accuracy, we conducted an extensive experimentation phase involving the evaluation of Deep Neural Network (DNN) and Long Short-Term Memory (LSTM) models. The objective was to compare the performance of these models against our baseline </w:t>
      </w:r>
      <w:proofErr w:type="spellStart"/>
      <w:r>
        <w:rPr>
          <w:sz w:val="20"/>
          <w:szCs w:val="20"/>
        </w:rPr>
        <w:t>SoH</w:t>
      </w:r>
      <w:proofErr w:type="spellEnd"/>
      <w:r>
        <w:rPr>
          <w:sz w:val="20"/>
          <w:szCs w:val="20"/>
        </w:rPr>
        <w:t xml:space="preserve"> prediction model and ascertain the most effective approach for enhancing prediction accuracy.</w:t>
      </w:r>
    </w:p>
    <w:p w14:paraId="6D9A44B9" w14:textId="77777777" w:rsidR="000A13DE" w:rsidRDefault="000A13DE">
      <w:pPr>
        <w:ind w:left="720"/>
        <w:rPr>
          <w:sz w:val="20"/>
          <w:szCs w:val="20"/>
        </w:rPr>
      </w:pPr>
    </w:p>
    <w:p w14:paraId="524B6E88" w14:textId="77777777" w:rsidR="000A13DE" w:rsidRDefault="00000000">
      <w:pPr>
        <w:ind w:left="720"/>
        <w:rPr>
          <w:sz w:val="20"/>
          <w:szCs w:val="20"/>
        </w:rPr>
      </w:pPr>
      <w:r>
        <w:rPr>
          <w:sz w:val="20"/>
          <w:szCs w:val="20"/>
        </w:rPr>
        <w:t>To facilitate fair comparisons and potentially improve model performance, we restructured our dataset to contain five samples per observation. This restructuring was motivated by the hypothesis that increased data granularity could lead to better representation of battery dynamics and, consequently, improved prediction accuracy.</w:t>
      </w:r>
    </w:p>
    <w:p w14:paraId="32DC4507" w14:textId="77777777" w:rsidR="000A13DE" w:rsidRDefault="000A13DE">
      <w:pPr>
        <w:ind w:left="720"/>
        <w:rPr>
          <w:sz w:val="20"/>
          <w:szCs w:val="20"/>
        </w:rPr>
      </w:pPr>
    </w:p>
    <w:p w14:paraId="4750ED6B" w14:textId="77777777" w:rsidR="000A13DE" w:rsidRDefault="00000000">
      <w:pPr>
        <w:ind w:left="720"/>
        <w:rPr>
          <w:sz w:val="20"/>
          <w:szCs w:val="20"/>
        </w:rPr>
      </w:pPr>
      <w:r>
        <w:rPr>
          <w:sz w:val="20"/>
          <w:szCs w:val="20"/>
        </w:rPr>
        <w:t xml:space="preserve">Upon training and evaluation of the DNN model, we obtained a Mean Squared Error (MSE) of 0.0018947740694984028. Similarly, the LSTM model yielded a MSE of 0.0002523532279329233. These results were compared against the baseline MSE of 0.0002952931920267384 obtained from our initial </w:t>
      </w:r>
      <w:proofErr w:type="spellStart"/>
      <w:r>
        <w:rPr>
          <w:sz w:val="20"/>
          <w:szCs w:val="20"/>
        </w:rPr>
        <w:t>SoH</w:t>
      </w:r>
      <w:proofErr w:type="spellEnd"/>
      <w:r>
        <w:rPr>
          <w:sz w:val="20"/>
          <w:szCs w:val="20"/>
        </w:rPr>
        <w:t xml:space="preserve"> prediction model.</w:t>
      </w:r>
    </w:p>
    <w:p w14:paraId="06B0ED7A" w14:textId="77777777" w:rsidR="000A13DE" w:rsidRDefault="00000000">
      <w:pPr>
        <w:ind w:left="720"/>
        <w:rPr>
          <w:sz w:val="20"/>
          <w:szCs w:val="20"/>
        </w:rPr>
      </w:pPr>
      <w:r>
        <w:rPr>
          <w:noProof/>
          <w:sz w:val="20"/>
          <w:szCs w:val="20"/>
        </w:rPr>
        <w:drawing>
          <wp:inline distT="114300" distB="114300" distL="114300" distR="114300" wp14:anchorId="72295584" wp14:editId="36C2A57C">
            <wp:extent cx="2659702" cy="2132347"/>
            <wp:effectExtent l="0" t="0" r="0" b="0"/>
            <wp:docPr id="2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3"/>
                    <a:srcRect/>
                    <a:stretch>
                      <a:fillRect/>
                    </a:stretch>
                  </pic:blipFill>
                  <pic:spPr>
                    <a:xfrm>
                      <a:off x="0" y="0"/>
                      <a:ext cx="2659702" cy="2132347"/>
                    </a:xfrm>
                    <a:prstGeom prst="rect">
                      <a:avLst/>
                    </a:prstGeom>
                    <a:ln/>
                  </pic:spPr>
                </pic:pic>
              </a:graphicData>
            </a:graphic>
          </wp:inline>
        </w:drawing>
      </w:r>
    </w:p>
    <w:p w14:paraId="4C931F5C" w14:textId="77777777" w:rsidR="000A13DE" w:rsidRDefault="00000000">
      <w:pPr>
        <w:ind w:left="720"/>
        <w:rPr>
          <w:b/>
          <w:sz w:val="18"/>
          <w:szCs w:val="18"/>
        </w:rPr>
      </w:pPr>
      <w:r>
        <w:rPr>
          <w:b/>
          <w:sz w:val="18"/>
          <w:szCs w:val="18"/>
        </w:rPr>
        <w:t>Graph 17 Predicted VS Actual values SOH DNN model</w:t>
      </w:r>
    </w:p>
    <w:p w14:paraId="4326F58C" w14:textId="77777777" w:rsidR="000A13DE" w:rsidRDefault="000A13DE">
      <w:pPr>
        <w:ind w:left="720"/>
        <w:rPr>
          <w:b/>
          <w:sz w:val="18"/>
          <w:szCs w:val="18"/>
        </w:rPr>
      </w:pPr>
    </w:p>
    <w:p w14:paraId="48A6CFA1" w14:textId="77777777" w:rsidR="000A13DE" w:rsidRDefault="000A13DE">
      <w:pPr>
        <w:ind w:left="720"/>
        <w:rPr>
          <w:b/>
          <w:sz w:val="18"/>
          <w:szCs w:val="18"/>
        </w:rPr>
      </w:pPr>
    </w:p>
    <w:p w14:paraId="4278302D" w14:textId="77777777" w:rsidR="000A13DE" w:rsidRDefault="000A13DE">
      <w:pPr>
        <w:ind w:left="720"/>
        <w:rPr>
          <w:b/>
          <w:sz w:val="18"/>
          <w:szCs w:val="18"/>
        </w:rPr>
      </w:pPr>
    </w:p>
    <w:p w14:paraId="17DCFC47" w14:textId="77777777" w:rsidR="000A13DE" w:rsidRDefault="000A13DE">
      <w:pPr>
        <w:ind w:left="720"/>
        <w:rPr>
          <w:sz w:val="20"/>
          <w:szCs w:val="20"/>
        </w:rPr>
      </w:pPr>
    </w:p>
    <w:p w14:paraId="13C6DFAD" w14:textId="77777777" w:rsidR="000A13DE" w:rsidRDefault="00000000">
      <w:pPr>
        <w:ind w:left="720"/>
        <w:rPr>
          <w:sz w:val="20"/>
          <w:szCs w:val="20"/>
        </w:rPr>
      </w:pPr>
      <w:r>
        <w:rPr>
          <w:noProof/>
          <w:sz w:val="20"/>
          <w:szCs w:val="20"/>
        </w:rPr>
        <w:drawing>
          <wp:inline distT="114300" distB="114300" distL="114300" distR="114300" wp14:anchorId="64535BB0" wp14:editId="6CF16060">
            <wp:extent cx="2595563" cy="2080925"/>
            <wp:effectExtent l="0" t="0" r="0" b="0"/>
            <wp:docPr id="4"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4"/>
                    <a:srcRect/>
                    <a:stretch>
                      <a:fillRect/>
                    </a:stretch>
                  </pic:blipFill>
                  <pic:spPr>
                    <a:xfrm>
                      <a:off x="0" y="0"/>
                      <a:ext cx="2595563" cy="2080925"/>
                    </a:xfrm>
                    <a:prstGeom prst="rect">
                      <a:avLst/>
                    </a:prstGeom>
                    <a:ln/>
                  </pic:spPr>
                </pic:pic>
              </a:graphicData>
            </a:graphic>
          </wp:inline>
        </w:drawing>
      </w:r>
    </w:p>
    <w:p w14:paraId="4F7FA5F2" w14:textId="77777777" w:rsidR="000A13DE" w:rsidRDefault="00000000">
      <w:pPr>
        <w:ind w:left="720"/>
        <w:rPr>
          <w:sz w:val="20"/>
          <w:szCs w:val="20"/>
        </w:rPr>
      </w:pPr>
      <w:r>
        <w:rPr>
          <w:b/>
          <w:sz w:val="18"/>
          <w:szCs w:val="18"/>
        </w:rPr>
        <w:t>Graph 18 Predicted VS Actual values SOH LSTM model</w:t>
      </w:r>
    </w:p>
    <w:p w14:paraId="6F0E144C" w14:textId="77777777" w:rsidR="000A13DE" w:rsidRDefault="000A13DE">
      <w:pPr>
        <w:ind w:left="720"/>
        <w:rPr>
          <w:sz w:val="20"/>
          <w:szCs w:val="20"/>
        </w:rPr>
      </w:pPr>
    </w:p>
    <w:p w14:paraId="0A2D8A38" w14:textId="77777777" w:rsidR="000A13DE" w:rsidRDefault="00000000">
      <w:pPr>
        <w:ind w:left="720"/>
        <w:rPr>
          <w:sz w:val="20"/>
          <w:szCs w:val="20"/>
        </w:rPr>
      </w:pPr>
      <w:r>
        <w:rPr>
          <w:sz w:val="20"/>
          <w:szCs w:val="20"/>
        </w:rPr>
        <w:t>Comparing the performance metrics, it's evident that both the DNN and LSTM models outperformed the baseline model in terms of MSE. Notably, the LSTM model demonstrated superior performance, achieving the lowest MSE among the tested models. This suggests that the LSTM architecture, with its ability to capture temporal dependencies and long-range dependencies in sequential data, may be more adept at capturing the nuanced patterns inherent in battery health dynamics.</w:t>
      </w:r>
    </w:p>
    <w:p w14:paraId="101C3B52" w14:textId="77777777" w:rsidR="000A13DE" w:rsidRDefault="000A13DE">
      <w:pPr>
        <w:ind w:left="720"/>
        <w:rPr>
          <w:sz w:val="20"/>
          <w:szCs w:val="20"/>
        </w:rPr>
      </w:pPr>
    </w:p>
    <w:p w14:paraId="261C7C60" w14:textId="77777777" w:rsidR="000A13DE" w:rsidRDefault="00000000">
      <w:pPr>
        <w:ind w:left="720"/>
        <w:rPr>
          <w:sz w:val="20"/>
          <w:szCs w:val="20"/>
        </w:rPr>
      </w:pPr>
      <w:r>
        <w:rPr>
          <w:sz w:val="20"/>
          <w:szCs w:val="20"/>
        </w:rPr>
        <w:t>Despite the promising performance of the LSTM model, it's essential to consider other factors such as model complexity, computational resources required, and interpretability. While the LSTM model offers superior prediction accuracy, it may also be more computationally intensive and complex to implement compared to the DNN model. Additionally, the interpretability of LSTM models may be lower due to their black-box nature compared to the more straightforward DNN architecture.</w:t>
      </w:r>
    </w:p>
    <w:p w14:paraId="2DDC4292" w14:textId="77777777" w:rsidR="000A13DE" w:rsidRDefault="000A13DE">
      <w:pPr>
        <w:ind w:left="720"/>
        <w:rPr>
          <w:sz w:val="20"/>
          <w:szCs w:val="20"/>
        </w:rPr>
      </w:pPr>
    </w:p>
    <w:p w14:paraId="75F2B0C1" w14:textId="77777777" w:rsidR="000A13DE" w:rsidRDefault="00000000">
      <w:pPr>
        <w:ind w:left="720"/>
        <w:rPr>
          <w:sz w:val="20"/>
          <w:szCs w:val="20"/>
        </w:rPr>
      </w:pPr>
      <w:r>
        <w:rPr>
          <w:sz w:val="20"/>
          <w:szCs w:val="20"/>
        </w:rPr>
        <w:t>Ultimately, the choice between the DNN and LSTM models depends on the specific requirements and constraints of the application. If prediction accuracy is paramount and computational resources are available, the LSTM model may be the preferred choice. However, if simplicity, efficiency, and interpretability are priorities, the DNN model may suffice, especially considering its competitive performance relative to the LSTM model.</w:t>
      </w:r>
    </w:p>
    <w:p w14:paraId="7A73D485" w14:textId="77777777" w:rsidR="000A13DE" w:rsidRDefault="000A13DE">
      <w:pPr>
        <w:ind w:left="720"/>
        <w:rPr>
          <w:sz w:val="20"/>
          <w:szCs w:val="20"/>
        </w:rPr>
      </w:pPr>
    </w:p>
    <w:p w14:paraId="48ACEE9F" w14:textId="77777777" w:rsidR="000A13DE" w:rsidRDefault="00000000">
      <w:pPr>
        <w:ind w:left="720"/>
        <w:rPr>
          <w:sz w:val="20"/>
          <w:szCs w:val="20"/>
        </w:rPr>
      </w:pPr>
      <w:r>
        <w:rPr>
          <w:sz w:val="20"/>
          <w:szCs w:val="20"/>
        </w:rPr>
        <w:t xml:space="preserve">In conclusion, while both the DNN and LSTM models show promise for improving </w:t>
      </w:r>
      <w:proofErr w:type="spellStart"/>
      <w:r>
        <w:rPr>
          <w:sz w:val="20"/>
          <w:szCs w:val="20"/>
        </w:rPr>
        <w:t>SoH</w:t>
      </w:r>
      <w:proofErr w:type="spellEnd"/>
      <w:r>
        <w:rPr>
          <w:sz w:val="20"/>
          <w:szCs w:val="20"/>
        </w:rPr>
        <w:t xml:space="preserve"> prediction accuracy, the LSTM model emerges as the preferred choice based on its superior performance in our experimental evaluation. However, careful consideration of other factors is essential to determine the most suitable approach for a given application context. Further research and experimentation may also be warranted to explore additional model architectures and optimization strategies for continued improvement in </w:t>
      </w:r>
      <w:proofErr w:type="spellStart"/>
      <w:r>
        <w:rPr>
          <w:sz w:val="20"/>
          <w:szCs w:val="20"/>
        </w:rPr>
        <w:t>SoH</w:t>
      </w:r>
      <w:proofErr w:type="spellEnd"/>
      <w:r>
        <w:rPr>
          <w:sz w:val="20"/>
          <w:szCs w:val="20"/>
        </w:rPr>
        <w:t xml:space="preserve"> prediction accuracy.</w:t>
      </w:r>
    </w:p>
    <w:p w14:paraId="2D4B30CA" w14:textId="77777777" w:rsidR="000A13DE" w:rsidRDefault="000A13DE">
      <w:pPr>
        <w:ind w:left="720"/>
        <w:rPr>
          <w:sz w:val="20"/>
          <w:szCs w:val="20"/>
        </w:rPr>
      </w:pPr>
    </w:p>
    <w:p w14:paraId="389B85DB" w14:textId="77777777" w:rsidR="000A13DE" w:rsidRDefault="00000000">
      <w:pPr>
        <w:pStyle w:val="Heading1"/>
        <w:numPr>
          <w:ilvl w:val="0"/>
          <w:numId w:val="1"/>
        </w:numPr>
      </w:pPr>
      <w:bookmarkStart w:id="12" w:name="_vxw7u4l8nxlk" w:colFirst="0" w:colLast="0"/>
      <w:bookmarkStart w:id="13" w:name="_Toc164859825"/>
      <w:bookmarkEnd w:id="12"/>
      <w:r>
        <w:t>Conclusion</w:t>
      </w:r>
      <w:bookmarkEnd w:id="13"/>
    </w:p>
    <w:p w14:paraId="416AFF8B" w14:textId="77777777" w:rsidR="000A13DE" w:rsidRDefault="000A13DE">
      <w:pPr>
        <w:ind w:left="1440"/>
        <w:rPr>
          <w:sz w:val="20"/>
          <w:szCs w:val="20"/>
        </w:rPr>
      </w:pPr>
    </w:p>
    <w:p w14:paraId="40DA614C" w14:textId="77777777" w:rsidR="000A13DE" w:rsidRDefault="00000000">
      <w:pPr>
        <w:ind w:left="720"/>
        <w:rPr>
          <w:sz w:val="20"/>
          <w:szCs w:val="20"/>
        </w:rPr>
      </w:pPr>
      <w:r>
        <w:rPr>
          <w:sz w:val="20"/>
          <w:szCs w:val="20"/>
        </w:rPr>
        <w:t>Our research endeavors culminate in a comprehensive analysis aimed at elucidating the factors influencing the predictive accuracy of battery State of Health (</w:t>
      </w:r>
      <w:proofErr w:type="spellStart"/>
      <w:r>
        <w:rPr>
          <w:sz w:val="20"/>
          <w:szCs w:val="20"/>
        </w:rPr>
        <w:t>SoH</w:t>
      </w:r>
      <w:proofErr w:type="spellEnd"/>
      <w:r>
        <w:rPr>
          <w:sz w:val="20"/>
          <w:szCs w:val="20"/>
        </w:rPr>
        <w:t>) and Remaining Useful Life (RUL) estimation. Beginning with the meticulous examination of a dataset comprising four Lithium-Ion batteries subjected to varied operational profiles, we embarked on a journey of exploration, experimentation, and model evaluation.</w:t>
      </w:r>
    </w:p>
    <w:p w14:paraId="14D3665F" w14:textId="77777777" w:rsidR="000A13DE" w:rsidRDefault="000A13DE">
      <w:pPr>
        <w:ind w:left="720"/>
        <w:rPr>
          <w:sz w:val="20"/>
          <w:szCs w:val="20"/>
        </w:rPr>
      </w:pPr>
    </w:p>
    <w:p w14:paraId="0D0B021D" w14:textId="77777777" w:rsidR="000A13DE" w:rsidRDefault="00000000">
      <w:pPr>
        <w:ind w:left="720"/>
        <w:rPr>
          <w:sz w:val="20"/>
          <w:szCs w:val="20"/>
        </w:rPr>
      </w:pPr>
      <w:r>
        <w:rPr>
          <w:sz w:val="20"/>
          <w:szCs w:val="20"/>
        </w:rPr>
        <w:t xml:space="preserve">The initial phase of our investigation involved Exploratory Data Analysis (EDA), wherein we meticulously scrutinized the dataset to discern underlying trends, patterns, and correlations. Through meticulous visualizations and statistical summaries, we uncovered crucial insights into battery behavior, degradation dynamics, and the interplay between </w:t>
      </w:r>
      <w:r>
        <w:rPr>
          <w:sz w:val="20"/>
          <w:szCs w:val="20"/>
        </w:rPr>
        <w:lastRenderedPageBreak/>
        <w:t xml:space="preserve">diverse operational parameters. Our analysis revealed notable correlations between </w:t>
      </w:r>
      <w:proofErr w:type="spellStart"/>
      <w:r>
        <w:rPr>
          <w:sz w:val="20"/>
          <w:szCs w:val="20"/>
        </w:rPr>
        <w:t>SoH</w:t>
      </w:r>
      <w:proofErr w:type="spellEnd"/>
      <w:r>
        <w:rPr>
          <w:sz w:val="20"/>
          <w:szCs w:val="20"/>
        </w:rPr>
        <w:t>, RUL, and key battery metrics, providing a solid foundation for subsequent modeling endeavors.</w:t>
      </w:r>
    </w:p>
    <w:p w14:paraId="7A5CBD77" w14:textId="77777777" w:rsidR="000A13DE" w:rsidRDefault="000A13DE">
      <w:pPr>
        <w:ind w:left="720"/>
        <w:rPr>
          <w:sz w:val="20"/>
          <w:szCs w:val="20"/>
        </w:rPr>
      </w:pPr>
    </w:p>
    <w:p w14:paraId="52DD8181" w14:textId="77777777" w:rsidR="000A13DE" w:rsidRDefault="00000000">
      <w:pPr>
        <w:ind w:left="720"/>
        <w:rPr>
          <w:sz w:val="20"/>
          <w:szCs w:val="20"/>
        </w:rPr>
      </w:pPr>
      <w:r>
        <w:rPr>
          <w:sz w:val="20"/>
          <w:szCs w:val="20"/>
        </w:rPr>
        <w:t xml:space="preserve">Building upon the insights gleaned from EDA, we embarked on the modeling phase, leveraging machine learning algorithms to develop predictive models for </w:t>
      </w:r>
      <w:proofErr w:type="spellStart"/>
      <w:r>
        <w:rPr>
          <w:sz w:val="20"/>
          <w:szCs w:val="20"/>
        </w:rPr>
        <w:t>SoH</w:t>
      </w:r>
      <w:proofErr w:type="spellEnd"/>
      <w:r>
        <w:rPr>
          <w:sz w:val="20"/>
          <w:szCs w:val="20"/>
        </w:rPr>
        <w:t xml:space="preserve"> and RUL estimation. Central to our modeling approach was the adoption of the Min-Max Scaler, a normalization technique aimed at enhancing model stability, convergence efficiency, and robustness. By rescaling both independent (features) and dependent (target) variables, we ensured uniform scaling across all dimensions of the dataset, thereby fortifying our models against potential issues stemming from disparate feature scales.</w:t>
      </w:r>
    </w:p>
    <w:p w14:paraId="16BE14B2" w14:textId="77777777" w:rsidR="000A13DE" w:rsidRDefault="000A13DE">
      <w:pPr>
        <w:rPr>
          <w:sz w:val="20"/>
          <w:szCs w:val="20"/>
        </w:rPr>
      </w:pPr>
    </w:p>
    <w:p w14:paraId="152CBA8C" w14:textId="77777777" w:rsidR="000A13DE" w:rsidRDefault="00000000">
      <w:pPr>
        <w:ind w:left="630"/>
        <w:rPr>
          <w:sz w:val="20"/>
          <w:szCs w:val="20"/>
        </w:rPr>
      </w:pPr>
      <w:r>
        <w:rPr>
          <w:sz w:val="20"/>
          <w:szCs w:val="20"/>
        </w:rPr>
        <w:t xml:space="preserve">In the initial phase of experimentation, we evaluated a simple Deep Neural Network (DNN) model for </w:t>
      </w:r>
      <w:proofErr w:type="spellStart"/>
      <w:r>
        <w:rPr>
          <w:sz w:val="20"/>
          <w:szCs w:val="20"/>
        </w:rPr>
        <w:t>SoH</w:t>
      </w:r>
      <w:proofErr w:type="spellEnd"/>
      <w:r>
        <w:rPr>
          <w:sz w:val="20"/>
          <w:szCs w:val="20"/>
        </w:rPr>
        <w:t xml:space="preserve"> and RUL prediction, achieving promising results with commendably low Mean Squared Error (MSE) values. Subsequently, we innovatively integrated </w:t>
      </w:r>
      <w:proofErr w:type="spellStart"/>
      <w:r>
        <w:rPr>
          <w:sz w:val="20"/>
          <w:szCs w:val="20"/>
        </w:rPr>
        <w:t>SoH</w:t>
      </w:r>
      <w:proofErr w:type="spellEnd"/>
      <w:r>
        <w:rPr>
          <w:sz w:val="20"/>
          <w:szCs w:val="20"/>
        </w:rPr>
        <w:t xml:space="preserve"> information into the RUL prediction model, demonstrating exceptional accuracy in predicting battery lifespan based on integrated health metrics. Our findings underscored the efficacy of leveraging </w:t>
      </w:r>
      <w:proofErr w:type="spellStart"/>
      <w:r>
        <w:rPr>
          <w:sz w:val="20"/>
          <w:szCs w:val="20"/>
        </w:rPr>
        <w:t>SoH</w:t>
      </w:r>
      <w:proofErr w:type="spellEnd"/>
      <w:r>
        <w:rPr>
          <w:sz w:val="20"/>
          <w:szCs w:val="20"/>
        </w:rPr>
        <w:t xml:space="preserve"> insights for enhancing RUL estimation accuracy, offering a data-driven framework for proactive battery management.</w:t>
      </w:r>
    </w:p>
    <w:p w14:paraId="6FFD4414" w14:textId="77777777" w:rsidR="000A13DE" w:rsidRDefault="000A13DE">
      <w:pPr>
        <w:ind w:left="630"/>
        <w:rPr>
          <w:sz w:val="20"/>
          <w:szCs w:val="20"/>
        </w:rPr>
      </w:pPr>
    </w:p>
    <w:p w14:paraId="6229AE72" w14:textId="77777777" w:rsidR="000A13DE" w:rsidRDefault="00000000">
      <w:pPr>
        <w:ind w:left="630"/>
        <w:rPr>
          <w:sz w:val="20"/>
          <w:szCs w:val="20"/>
        </w:rPr>
      </w:pPr>
      <w:r>
        <w:rPr>
          <w:sz w:val="20"/>
          <w:szCs w:val="20"/>
        </w:rPr>
        <w:t xml:space="preserve">Further experimentation involved the evaluation of DNN and Long Short-Term Memory (LSTM) models for </w:t>
      </w:r>
      <w:proofErr w:type="spellStart"/>
      <w:r>
        <w:rPr>
          <w:sz w:val="20"/>
          <w:szCs w:val="20"/>
        </w:rPr>
        <w:t>SoH</w:t>
      </w:r>
      <w:proofErr w:type="spellEnd"/>
      <w:r>
        <w:rPr>
          <w:sz w:val="20"/>
          <w:szCs w:val="20"/>
        </w:rPr>
        <w:t xml:space="preserve"> prediction, with the latter demonstrating superior performance in terms of MSE. While the LSTM model exhibited higher prediction accuracy, considerations regarding model complexity, computational resources, and interpretability necessitated a careful evaluation of the most suitable approach for a given application context.</w:t>
      </w:r>
    </w:p>
    <w:p w14:paraId="74163CED" w14:textId="77777777" w:rsidR="000A13DE" w:rsidRDefault="000A13DE">
      <w:pPr>
        <w:ind w:left="630"/>
        <w:rPr>
          <w:sz w:val="20"/>
          <w:szCs w:val="20"/>
        </w:rPr>
      </w:pPr>
    </w:p>
    <w:p w14:paraId="142C576C" w14:textId="77777777" w:rsidR="000A13DE" w:rsidRDefault="00000000">
      <w:pPr>
        <w:ind w:left="630"/>
        <w:rPr>
          <w:sz w:val="20"/>
          <w:szCs w:val="20"/>
        </w:rPr>
      </w:pPr>
      <w:r>
        <w:rPr>
          <w:sz w:val="20"/>
          <w:szCs w:val="20"/>
        </w:rPr>
        <w:t>In conclusion, our research contributes to advancing battery health prognostics through a rigorous and systematic exploration of predictive modeling techniques. The adoption of data-driven methodologies, advanced modeling architectures, and comprehensive evaluation frameworks underscores our commitment to delivering actionable insights for proactive battery management and maintenance. As we chart a path forward, further research and experimentation will be warranted to refine existing models, explore novel methodologies, and address emerging challenges in the field of battery health monitoring and predictive maintenance. Through collaborative efforts and interdisciplinary approaches, we aim to usher in a new era of reliability, efficiency, and sustainability in battery-powered technologies.</w:t>
      </w:r>
    </w:p>
    <w:p w14:paraId="04227F83" w14:textId="77777777" w:rsidR="000A13DE" w:rsidRDefault="000A13DE">
      <w:pPr>
        <w:tabs>
          <w:tab w:val="left" w:pos="964"/>
        </w:tabs>
        <w:ind w:left="630"/>
      </w:pPr>
    </w:p>
    <w:p w14:paraId="3A827DB0" w14:textId="77777777" w:rsidR="000A13DE" w:rsidRDefault="00000000">
      <w:pPr>
        <w:pStyle w:val="Heading1"/>
        <w:numPr>
          <w:ilvl w:val="0"/>
          <w:numId w:val="10"/>
        </w:numPr>
        <w:tabs>
          <w:tab w:val="left" w:pos="964"/>
        </w:tabs>
      </w:pPr>
      <w:bookmarkStart w:id="14" w:name="_y05yie5qa5na" w:colFirst="0" w:colLast="0"/>
      <w:bookmarkStart w:id="15" w:name="_Toc164859826"/>
      <w:bookmarkEnd w:id="14"/>
      <w:r>
        <w:t>Future Work</w:t>
      </w:r>
      <w:bookmarkEnd w:id="15"/>
    </w:p>
    <w:p w14:paraId="3B1C8C26" w14:textId="77777777" w:rsidR="000A13DE" w:rsidRDefault="000A13DE">
      <w:pPr>
        <w:tabs>
          <w:tab w:val="left" w:pos="964"/>
        </w:tabs>
        <w:ind w:left="540"/>
      </w:pPr>
    </w:p>
    <w:p w14:paraId="51396505" w14:textId="77777777" w:rsidR="000A13DE" w:rsidRDefault="00000000">
      <w:pPr>
        <w:tabs>
          <w:tab w:val="left" w:pos="964"/>
        </w:tabs>
        <w:ind w:left="540"/>
      </w:pPr>
      <w:r>
        <w:t xml:space="preserve">Moving forward, our research lays the groundwork for several avenues of future exploration and implementation aimed at advancing battery health monitoring and predictive maintenance. Key areas </w:t>
      </w:r>
      <w:r>
        <w:t>for future work include:</w:t>
      </w:r>
    </w:p>
    <w:p w14:paraId="21E55B24" w14:textId="77777777" w:rsidR="000A13DE" w:rsidRDefault="000A13DE">
      <w:pPr>
        <w:tabs>
          <w:tab w:val="left" w:pos="964"/>
        </w:tabs>
        <w:ind w:left="540"/>
      </w:pPr>
    </w:p>
    <w:p w14:paraId="76E64440" w14:textId="77777777" w:rsidR="000A13DE" w:rsidRDefault="00000000">
      <w:pPr>
        <w:tabs>
          <w:tab w:val="left" w:pos="964"/>
        </w:tabs>
        <w:ind w:left="540"/>
      </w:pPr>
      <w:r>
        <w:t xml:space="preserve">1. Implementation in Battery Management Systems (BMS): The predictive models developed in this study offer valuable insights into battery </w:t>
      </w:r>
      <w:proofErr w:type="spellStart"/>
      <w:r>
        <w:t>SoH</w:t>
      </w:r>
      <w:proofErr w:type="spellEnd"/>
      <w:r>
        <w:t xml:space="preserve"> and RUL estimation, which can be integrated into Battery Management Systems (BMS) for real-time monitoring and decision-making. By incorporating these models into BMS platforms, stakeholders can gain proactive visibility into battery health status, enabling timely interventions and preventive maintenance actions to mitigate risks and optimize performance.</w:t>
      </w:r>
    </w:p>
    <w:p w14:paraId="7AD532B9" w14:textId="77777777" w:rsidR="000A13DE" w:rsidRDefault="000A13DE">
      <w:pPr>
        <w:tabs>
          <w:tab w:val="left" w:pos="964"/>
        </w:tabs>
        <w:ind w:left="540"/>
      </w:pPr>
    </w:p>
    <w:p w14:paraId="6007DD90" w14:textId="77777777" w:rsidR="000A13DE" w:rsidRDefault="00000000">
      <w:pPr>
        <w:tabs>
          <w:tab w:val="left" w:pos="964"/>
        </w:tabs>
        <w:ind w:left="540"/>
      </w:pPr>
      <w:r>
        <w:t>2. Deployment for Preventive Maintenance:</w:t>
      </w:r>
    </w:p>
    <w:p w14:paraId="28CBCEFB" w14:textId="77777777" w:rsidR="000A13DE" w:rsidRDefault="00000000">
      <w:pPr>
        <w:tabs>
          <w:tab w:val="left" w:pos="964"/>
        </w:tabs>
        <w:ind w:left="540"/>
      </w:pPr>
      <w:r>
        <w:t xml:space="preserve"> The integration of predictive models into preventive maintenance strategies holds immense potential for enhancing the reliability and longevity of battery-powered systems. By leveraging predictive insights, maintenance schedules can be optimized based on the anticipated degradation trends, thereby reducing downtime, extending battery lifespan, and minimizing operational disruptions.</w:t>
      </w:r>
    </w:p>
    <w:p w14:paraId="2DD03BB7" w14:textId="77777777" w:rsidR="000A13DE" w:rsidRDefault="000A13DE">
      <w:pPr>
        <w:tabs>
          <w:tab w:val="left" w:pos="964"/>
        </w:tabs>
        <w:ind w:left="540"/>
      </w:pPr>
    </w:p>
    <w:p w14:paraId="288FAEBA" w14:textId="77777777" w:rsidR="000A13DE" w:rsidRDefault="00000000">
      <w:pPr>
        <w:tabs>
          <w:tab w:val="left" w:pos="964"/>
        </w:tabs>
        <w:ind w:left="540"/>
      </w:pPr>
      <w:r>
        <w:t>3. Safety Enhancement:</w:t>
      </w:r>
    </w:p>
    <w:p w14:paraId="2B2EE7D8" w14:textId="77777777" w:rsidR="000A13DE" w:rsidRDefault="00000000">
      <w:pPr>
        <w:tabs>
          <w:tab w:val="left" w:pos="964"/>
        </w:tabs>
        <w:ind w:left="540"/>
      </w:pPr>
      <w:r>
        <w:t>Battery safety remains a paramount concern in various applications, ranging from electric vehicles to renewable energy storage systems. The predictive models developed in this research can serve as early warning systems for identifying potential safety risks associated with battery degradation or malfunction. By proactively detecting anomalies and deviations from expected behavior, these models can facilitate prompt interventions to prevent safety incidents and safeguard critical infrastructure.</w:t>
      </w:r>
    </w:p>
    <w:p w14:paraId="41810DE1" w14:textId="77777777" w:rsidR="000A13DE" w:rsidRDefault="000A13DE">
      <w:pPr>
        <w:tabs>
          <w:tab w:val="left" w:pos="964"/>
        </w:tabs>
        <w:ind w:left="540"/>
      </w:pPr>
    </w:p>
    <w:p w14:paraId="0EFE445D" w14:textId="77777777" w:rsidR="000A13DE" w:rsidRDefault="00000000">
      <w:pPr>
        <w:tabs>
          <w:tab w:val="left" w:pos="964"/>
        </w:tabs>
        <w:ind w:left="540"/>
      </w:pPr>
      <w:r>
        <w:t>4. Continuous Model Refinement:</w:t>
      </w:r>
    </w:p>
    <w:p w14:paraId="4B914C2C" w14:textId="77777777" w:rsidR="000A13DE" w:rsidRDefault="00000000">
      <w:pPr>
        <w:tabs>
          <w:tab w:val="left" w:pos="964"/>
        </w:tabs>
        <w:ind w:left="540"/>
      </w:pPr>
      <w:r>
        <w:t>As battery technology evolves and new datasets become available, continuous model refinement and optimization are essential to ensure the relevance and accuracy of predictive models. Future research efforts should focus on incorporating additional features, exploring novel modeling architectures, and integrating domain-specific knowledge to enhance model performance and generalizability.</w:t>
      </w:r>
    </w:p>
    <w:p w14:paraId="20240A27" w14:textId="77777777" w:rsidR="000A13DE" w:rsidRDefault="000A13DE">
      <w:pPr>
        <w:tabs>
          <w:tab w:val="left" w:pos="964"/>
        </w:tabs>
        <w:ind w:left="540"/>
      </w:pPr>
    </w:p>
    <w:p w14:paraId="21A64FAA" w14:textId="77777777" w:rsidR="000A13DE" w:rsidRDefault="00000000">
      <w:pPr>
        <w:tabs>
          <w:tab w:val="left" w:pos="964"/>
        </w:tabs>
        <w:ind w:left="540"/>
      </w:pPr>
      <w:r>
        <w:t>5. Validation in Real-World Scenarios:</w:t>
      </w:r>
    </w:p>
    <w:p w14:paraId="044AE9E7" w14:textId="77777777" w:rsidR="000A13DE" w:rsidRDefault="00000000">
      <w:pPr>
        <w:tabs>
          <w:tab w:val="left" w:pos="964"/>
        </w:tabs>
        <w:ind w:left="540"/>
      </w:pPr>
      <w:r>
        <w:t>While our research demonstrates promising results under controlled laboratory conditions, further validation in real-world scenarios is crucial to assess the robustness and reliability of the predictive models. Collaborative partnerships with industry stakeholders and field trials in diverse application domains will provide valuable insights into the practical efficacy of the proposed methodologies.</w:t>
      </w:r>
    </w:p>
    <w:p w14:paraId="51A3455A" w14:textId="77777777" w:rsidR="00F65A94" w:rsidRDefault="00F65A94">
      <w:pPr>
        <w:tabs>
          <w:tab w:val="left" w:pos="964"/>
        </w:tabs>
        <w:ind w:left="540"/>
      </w:pPr>
    </w:p>
    <w:p w14:paraId="7DA3C164" w14:textId="77777777" w:rsidR="00F65A94" w:rsidRDefault="00F65A94">
      <w:pPr>
        <w:tabs>
          <w:tab w:val="left" w:pos="964"/>
        </w:tabs>
        <w:ind w:left="540"/>
      </w:pPr>
    </w:p>
    <w:p w14:paraId="48FBFEC9" w14:textId="77777777" w:rsidR="000A13DE" w:rsidRDefault="000A13DE">
      <w:pPr>
        <w:tabs>
          <w:tab w:val="left" w:pos="964"/>
        </w:tabs>
        <w:ind w:left="540"/>
      </w:pPr>
    </w:p>
    <w:p w14:paraId="066A43E2" w14:textId="77777777" w:rsidR="000A13DE" w:rsidRDefault="00000000">
      <w:pPr>
        <w:pStyle w:val="Heading1"/>
        <w:numPr>
          <w:ilvl w:val="0"/>
          <w:numId w:val="11"/>
        </w:numPr>
        <w:tabs>
          <w:tab w:val="left" w:pos="964"/>
        </w:tabs>
      </w:pPr>
      <w:bookmarkStart w:id="16" w:name="_jwo3m3rqu1u9" w:colFirst="0" w:colLast="0"/>
      <w:bookmarkStart w:id="17" w:name="_Toc164859827"/>
      <w:bookmarkEnd w:id="16"/>
      <w:r>
        <w:lastRenderedPageBreak/>
        <w:t>Summary</w:t>
      </w:r>
      <w:bookmarkEnd w:id="17"/>
    </w:p>
    <w:p w14:paraId="35BAE6EE" w14:textId="77777777" w:rsidR="000A13DE" w:rsidRDefault="000A13DE">
      <w:pPr>
        <w:tabs>
          <w:tab w:val="left" w:pos="964"/>
        </w:tabs>
        <w:ind w:left="540"/>
      </w:pPr>
    </w:p>
    <w:p w14:paraId="5E3A0A48" w14:textId="77777777" w:rsidR="000A13DE" w:rsidRDefault="00000000">
      <w:pPr>
        <w:tabs>
          <w:tab w:val="left" w:pos="964"/>
        </w:tabs>
        <w:ind w:left="540"/>
      </w:pPr>
      <w:r>
        <w:t>In summary, our research sets the stage for transformative advancements in battery health monitoring and predictive maintenance, with implications spanning multiple industries and applications. By leveraging data-driven insights and innovative modeling approaches, we can empower stakeholders with actionable intelligence for proactive battery management, safety enhancement, and operational optimization. As we embark on the next phase of our journey, collaboration, interdisciplinary research, and a steadfast commitment to innovation will be paramount in realizing the full potential of predictive battery health analytics.</w:t>
      </w:r>
    </w:p>
    <w:p w14:paraId="73A9537B" w14:textId="77777777" w:rsidR="000A13DE" w:rsidRDefault="000A13DE">
      <w:pPr>
        <w:tabs>
          <w:tab w:val="left" w:pos="964"/>
        </w:tabs>
      </w:pPr>
    </w:p>
    <w:p w14:paraId="41F48208" w14:textId="77777777" w:rsidR="000A13DE" w:rsidRDefault="00000000">
      <w:pPr>
        <w:pStyle w:val="Heading1"/>
        <w:numPr>
          <w:ilvl w:val="0"/>
          <w:numId w:val="5"/>
        </w:numPr>
        <w:tabs>
          <w:tab w:val="left" w:pos="964"/>
        </w:tabs>
        <w:spacing w:before="164"/>
        <w:rPr>
          <w:smallCaps/>
        </w:rPr>
      </w:pPr>
      <w:bookmarkStart w:id="18" w:name="_Toc164859828"/>
      <w:r>
        <w:rPr>
          <w:smallCaps/>
        </w:rPr>
        <w:t>References</w:t>
      </w:r>
      <w:bookmarkEnd w:id="18"/>
    </w:p>
    <w:p w14:paraId="5C2D398E" w14:textId="77777777" w:rsidR="000A13DE" w:rsidRDefault="00000000">
      <w:pPr>
        <w:spacing w:before="78" w:line="249" w:lineRule="auto"/>
        <w:ind w:left="485" w:right="268"/>
        <w:rPr>
          <w:sz w:val="20"/>
          <w:szCs w:val="20"/>
        </w:rPr>
      </w:pPr>
      <w:r>
        <w:rPr>
          <w:sz w:val="20"/>
          <w:szCs w:val="20"/>
        </w:rPr>
        <w:t>[1]</w:t>
      </w:r>
      <w:hyperlink r:id="rId35">
        <w:r>
          <w:rPr>
            <w:color w:val="1155CC"/>
            <w:sz w:val="20"/>
            <w:szCs w:val="20"/>
            <w:u w:val="single"/>
          </w:rPr>
          <w:t>https://www.researchgate.net/publication/362243347_Safety_Concerns_for_the_Management_of_End-of-Life_Lithium-Ion_Batteries</w:t>
        </w:r>
      </w:hyperlink>
    </w:p>
    <w:p w14:paraId="4E05F5D2" w14:textId="77777777" w:rsidR="000A13DE" w:rsidRDefault="000A13DE">
      <w:pPr>
        <w:spacing w:before="78" w:line="249" w:lineRule="auto"/>
        <w:ind w:left="485" w:right="268"/>
        <w:rPr>
          <w:sz w:val="20"/>
          <w:szCs w:val="20"/>
        </w:rPr>
      </w:pPr>
    </w:p>
    <w:p w14:paraId="55B44F15" w14:textId="77777777" w:rsidR="000A13DE" w:rsidRDefault="00000000">
      <w:pPr>
        <w:spacing w:before="78" w:line="249" w:lineRule="auto"/>
        <w:ind w:left="485" w:right="268"/>
        <w:rPr>
          <w:sz w:val="20"/>
          <w:szCs w:val="20"/>
        </w:rPr>
      </w:pPr>
      <w:r>
        <w:rPr>
          <w:sz w:val="20"/>
          <w:szCs w:val="20"/>
        </w:rPr>
        <w:t>[2]</w:t>
      </w:r>
      <w:hyperlink r:id="rId36">
        <w:r>
          <w:rPr>
            <w:color w:val="1155CC"/>
            <w:sz w:val="20"/>
            <w:szCs w:val="20"/>
            <w:u w:val="single"/>
          </w:rPr>
          <w:t>https://www.researchgate.net/publication/11640856_Issues_and_Challenges_Facing_Rechargeable_Lithium_Batteries</w:t>
        </w:r>
      </w:hyperlink>
    </w:p>
    <w:p w14:paraId="014AB1A6" w14:textId="77777777" w:rsidR="000A13DE" w:rsidRDefault="000A13DE">
      <w:pPr>
        <w:spacing w:before="78" w:line="249" w:lineRule="auto"/>
        <w:ind w:left="485" w:right="268"/>
        <w:rPr>
          <w:sz w:val="20"/>
          <w:szCs w:val="20"/>
        </w:rPr>
      </w:pPr>
    </w:p>
    <w:p w14:paraId="298DD8B1" w14:textId="77777777" w:rsidR="000A13DE" w:rsidRDefault="00000000">
      <w:pPr>
        <w:spacing w:before="78" w:line="249" w:lineRule="auto"/>
        <w:ind w:left="485" w:right="268"/>
        <w:rPr>
          <w:sz w:val="20"/>
          <w:szCs w:val="20"/>
        </w:rPr>
      </w:pPr>
      <w:r>
        <w:rPr>
          <w:sz w:val="20"/>
          <w:szCs w:val="20"/>
        </w:rPr>
        <w:t>[3]</w:t>
      </w:r>
      <w:hyperlink r:id="rId37">
        <w:r>
          <w:rPr>
            <w:color w:val="1155CC"/>
            <w:sz w:val="20"/>
            <w:szCs w:val="20"/>
            <w:u w:val="single"/>
          </w:rPr>
          <w:t>https://link.springer.com/chapter/10.1007/978-1-4020-6945-1_6</w:t>
        </w:r>
      </w:hyperlink>
    </w:p>
    <w:p w14:paraId="41BEB84C" w14:textId="77777777" w:rsidR="000A13DE" w:rsidRDefault="000A13DE">
      <w:pPr>
        <w:spacing w:before="78" w:line="249" w:lineRule="auto"/>
        <w:ind w:left="485" w:right="268"/>
        <w:rPr>
          <w:sz w:val="20"/>
          <w:szCs w:val="20"/>
        </w:rPr>
      </w:pPr>
    </w:p>
    <w:p w14:paraId="4CB11137" w14:textId="77777777" w:rsidR="000A13DE" w:rsidRDefault="00000000">
      <w:pPr>
        <w:spacing w:before="78" w:line="249" w:lineRule="auto"/>
        <w:ind w:left="485" w:right="268"/>
        <w:rPr>
          <w:sz w:val="20"/>
          <w:szCs w:val="20"/>
        </w:rPr>
      </w:pPr>
      <w:r>
        <w:rPr>
          <w:sz w:val="20"/>
          <w:szCs w:val="20"/>
        </w:rPr>
        <w:t>[4]</w:t>
      </w:r>
      <w:hyperlink r:id="rId38">
        <w:r>
          <w:rPr>
            <w:color w:val="1155CC"/>
            <w:sz w:val="20"/>
            <w:szCs w:val="20"/>
            <w:u w:val="single"/>
          </w:rPr>
          <w:t>https://www.kaggle.com/datasets/ignaciovinuales/battery-remaining-useful-life-rul</w:t>
        </w:r>
      </w:hyperlink>
    </w:p>
    <w:p w14:paraId="3FEE45CB" w14:textId="77777777" w:rsidR="000A13DE" w:rsidRDefault="000A13DE">
      <w:pPr>
        <w:spacing w:before="78" w:line="249" w:lineRule="auto"/>
        <w:ind w:left="485" w:right="268"/>
        <w:rPr>
          <w:sz w:val="20"/>
          <w:szCs w:val="20"/>
        </w:rPr>
      </w:pPr>
    </w:p>
    <w:p w14:paraId="32F85C48" w14:textId="77777777" w:rsidR="000A13DE" w:rsidRDefault="00000000">
      <w:pPr>
        <w:spacing w:before="78" w:line="249" w:lineRule="auto"/>
        <w:ind w:left="485" w:right="268"/>
        <w:rPr>
          <w:sz w:val="20"/>
          <w:szCs w:val="20"/>
        </w:rPr>
      </w:pPr>
      <w:r>
        <w:rPr>
          <w:sz w:val="20"/>
          <w:szCs w:val="20"/>
        </w:rPr>
        <w:t>[5]</w:t>
      </w:r>
      <w:hyperlink r:id="rId39">
        <w:r>
          <w:rPr>
            <w:color w:val="1155CC"/>
            <w:sz w:val="20"/>
            <w:szCs w:val="20"/>
            <w:u w:val="single"/>
          </w:rPr>
          <w:t>https://data.nasa.gov/dataset/Li-ion-Battery-Aging-Datasets/uj5r-zjdb/about_data</w:t>
        </w:r>
      </w:hyperlink>
    </w:p>
    <w:p w14:paraId="7CF90055" w14:textId="77777777" w:rsidR="000A13DE" w:rsidRDefault="000A13DE">
      <w:pPr>
        <w:spacing w:before="78" w:line="249" w:lineRule="auto"/>
        <w:ind w:left="485" w:right="268"/>
        <w:rPr>
          <w:sz w:val="20"/>
          <w:szCs w:val="20"/>
        </w:rPr>
      </w:pPr>
    </w:p>
    <w:p w14:paraId="778EB656" w14:textId="77777777" w:rsidR="000A13DE" w:rsidRDefault="00000000">
      <w:pPr>
        <w:spacing w:before="78" w:line="249" w:lineRule="auto"/>
        <w:ind w:left="485" w:right="268"/>
        <w:rPr>
          <w:sz w:val="20"/>
          <w:szCs w:val="20"/>
        </w:rPr>
      </w:pPr>
      <w:r>
        <w:rPr>
          <w:sz w:val="20"/>
          <w:szCs w:val="20"/>
        </w:rPr>
        <w:t>[6]</w:t>
      </w:r>
      <w:hyperlink r:id="rId40">
        <w:r>
          <w:rPr>
            <w:color w:val="1155CC"/>
            <w:sz w:val="20"/>
            <w:szCs w:val="20"/>
            <w:u w:val="single"/>
          </w:rPr>
          <w:t>https://www.sciencedirect.com/science/article/abs/pii/S1364032120303397</w:t>
        </w:r>
      </w:hyperlink>
    </w:p>
    <w:p w14:paraId="38F5EC04" w14:textId="77777777" w:rsidR="000A13DE" w:rsidRDefault="000A13DE">
      <w:pPr>
        <w:spacing w:before="78" w:line="249" w:lineRule="auto"/>
        <w:ind w:left="485" w:right="268"/>
        <w:rPr>
          <w:sz w:val="20"/>
          <w:szCs w:val="20"/>
        </w:rPr>
      </w:pPr>
    </w:p>
    <w:p w14:paraId="4D6C2926" w14:textId="77777777" w:rsidR="000A13DE" w:rsidRDefault="00000000">
      <w:pPr>
        <w:spacing w:before="78" w:line="249" w:lineRule="auto"/>
        <w:ind w:left="485" w:right="268"/>
        <w:rPr>
          <w:sz w:val="20"/>
          <w:szCs w:val="20"/>
        </w:rPr>
      </w:pPr>
      <w:r>
        <w:rPr>
          <w:sz w:val="20"/>
          <w:szCs w:val="20"/>
        </w:rPr>
        <w:t>[7]</w:t>
      </w:r>
      <w:hyperlink r:id="rId41">
        <w:r>
          <w:rPr>
            <w:color w:val="1155CC"/>
            <w:sz w:val="20"/>
            <w:szCs w:val="20"/>
            <w:u w:val="single"/>
          </w:rPr>
          <w:t>https://www.accure.net/battery-knowledge/blog-battery-aging</w:t>
        </w:r>
      </w:hyperlink>
    </w:p>
    <w:p w14:paraId="49736C86" w14:textId="77777777" w:rsidR="000A13DE" w:rsidRDefault="000A13DE">
      <w:pPr>
        <w:spacing w:before="78" w:line="249" w:lineRule="auto"/>
        <w:ind w:left="485" w:right="268"/>
        <w:rPr>
          <w:sz w:val="20"/>
          <w:szCs w:val="20"/>
        </w:rPr>
      </w:pPr>
    </w:p>
    <w:p w14:paraId="6C1722B9" w14:textId="77777777" w:rsidR="000A13DE" w:rsidRDefault="000A13DE">
      <w:pPr>
        <w:pBdr>
          <w:top w:val="nil"/>
          <w:left w:val="nil"/>
          <w:bottom w:val="nil"/>
          <w:right w:val="nil"/>
          <w:between w:val="nil"/>
        </w:pBdr>
        <w:spacing w:before="78" w:line="249" w:lineRule="auto"/>
        <w:ind w:left="485" w:right="268"/>
        <w:rPr>
          <w:sz w:val="20"/>
          <w:szCs w:val="20"/>
        </w:rPr>
      </w:pPr>
    </w:p>
    <w:sectPr w:rsidR="000A13DE">
      <w:type w:val="continuous"/>
      <w:pgSz w:w="11910" w:h="16840"/>
      <w:pgMar w:top="1000" w:right="840" w:bottom="1160" w:left="600" w:header="0" w:footer="967" w:gutter="0"/>
      <w:cols w:num="2" w:space="720" w:equalWidth="0">
        <w:col w:w="5215" w:space="40"/>
        <w:col w:w="5215" w:space="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75510" w14:textId="77777777" w:rsidR="002B02FC" w:rsidRDefault="002B02FC">
      <w:r>
        <w:separator/>
      </w:r>
    </w:p>
  </w:endnote>
  <w:endnote w:type="continuationSeparator" w:id="0">
    <w:p w14:paraId="310A4683" w14:textId="77777777" w:rsidR="002B02FC" w:rsidRDefault="002B02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B4D7F" w14:textId="77777777" w:rsidR="000A13DE" w:rsidRDefault="00000000">
    <w:pPr>
      <w:pBdr>
        <w:top w:val="nil"/>
        <w:left w:val="nil"/>
        <w:bottom w:val="nil"/>
        <w:right w:val="nil"/>
        <w:between w:val="nil"/>
      </w:pBdr>
      <w:spacing w:line="14" w:lineRule="auto"/>
      <w:rPr>
        <w:color w:val="000000"/>
        <w:sz w:val="20"/>
        <w:szCs w:val="20"/>
      </w:rPr>
    </w:pPr>
    <w:r>
      <w:rPr>
        <w:noProof/>
      </w:rPr>
      <mc:AlternateContent>
        <mc:Choice Requires="wps">
          <w:drawing>
            <wp:anchor distT="0" distB="0" distL="0" distR="0" simplePos="0" relativeHeight="251658240" behindDoc="1" locked="0" layoutInCell="1" hidden="0" allowOverlap="1" wp14:anchorId="0917F4A2" wp14:editId="7710B15B">
              <wp:simplePos x="0" y="0"/>
              <wp:positionH relativeFrom="column">
                <wp:posOffset>3289300</wp:posOffset>
              </wp:positionH>
              <wp:positionV relativeFrom="paragraph">
                <wp:posOffset>9931400</wp:posOffset>
              </wp:positionV>
              <wp:extent cx="225425" cy="177165"/>
              <wp:effectExtent l="0" t="0" r="0" b="0"/>
              <wp:wrapNone/>
              <wp:docPr id="1" name="Rectangle 1"/>
              <wp:cNvGraphicFramePr/>
              <a:graphic xmlns:a="http://schemas.openxmlformats.org/drawingml/2006/main">
                <a:graphicData uri="http://schemas.microsoft.com/office/word/2010/wordprocessingShape">
                  <wps:wsp>
                    <wps:cNvSpPr/>
                    <wps:spPr>
                      <a:xfrm>
                        <a:off x="5238050" y="3696180"/>
                        <a:ext cx="215900" cy="167640"/>
                      </a:xfrm>
                      <a:prstGeom prst="rect">
                        <a:avLst/>
                      </a:prstGeom>
                      <a:noFill/>
                      <a:ln>
                        <a:noFill/>
                      </a:ln>
                    </wps:spPr>
                    <wps:txbx>
                      <w:txbxContent>
                        <w:p w14:paraId="5670ED56" w14:textId="77777777" w:rsidR="000A13DE" w:rsidRDefault="00000000">
                          <w:pPr>
                            <w:spacing w:before="12"/>
                            <w:ind w:left="60" w:firstLine="60"/>
                            <w:textDirection w:val="btLr"/>
                          </w:pPr>
                          <w:r>
                            <w:rPr>
                              <w:b/>
                              <w:color w:val="000000"/>
                              <w:sz w:val="20"/>
                            </w:rPr>
                            <w:t xml:space="preserve"> PAGE 10</w:t>
                          </w:r>
                        </w:p>
                      </w:txbxContent>
                    </wps:txbx>
                    <wps:bodyPr spcFirstLastPara="1" wrap="square" lIns="0" tIns="0" rIns="0" bIns="0" anchor="t" anchorCtr="0">
                      <a:noAutofit/>
                    </wps:bodyPr>
                  </wps:wsp>
                </a:graphicData>
              </a:graphic>
            </wp:anchor>
          </w:drawing>
        </mc:Choice>
        <mc:Fallback>
          <w:pict>
            <v:rect w14:anchorId="0917F4A2" id="Rectangle 1" o:spid="_x0000_s1027" style="position:absolute;margin-left:259pt;margin-top:782pt;width:17.75pt;height:13.95pt;z-index:-251658240;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" filled="f" stroked="f">
              <v:textbox inset="0,0,0,0">
                <w:txbxContent>
                  <w:p w14:paraId="5670ED56" w14:textId="77777777" w:rsidR="000A13DE" w:rsidRDefault="00000000">
                    <w:pPr>
                      <w:spacing w:before="12"/>
                      <w:ind w:left="60" w:firstLine="60"/>
                      <w:textDirection w:val="btLr"/>
                    </w:pPr>
                    <w:r>
                      <w:rPr>
                        <w:b/>
                        <w:color w:val="000000"/>
                        <w:sz w:val="20"/>
                      </w:rPr>
                      <w:t xml:space="preserve"> PAGE 10</w:t>
                    </w:r>
                  </w:p>
                </w:txbxContent>
              </v:textbox>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B98F0" w14:textId="77777777" w:rsidR="002B02FC" w:rsidRDefault="002B02FC">
      <w:r>
        <w:separator/>
      </w:r>
    </w:p>
  </w:footnote>
  <w:footnote w:type="continuationSeparator" w:id="0">
    <w:p w14:paraId="385F3F64" w14:textId="77777777" w:rsidR="002B02FC" w:rsidRDefault="002B02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2595A"/>
    <w:multiLevelType w:val="multilevel"/>
    <w:tmpl w:val="59F80A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03289C"/>
    <w:multiLevelType w:val="multilevel"/>
    <w:tmpl w:val="44CC9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8545E4F"/>
    <w:multiLevelType w:val="multilevel"/>
    <w:tmpl w:val="97B0C2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5B336D"/>
    <w:multiLevelType w:val="multilevel"/>
    <w:tmpl w:val="375055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63C343E"/>
    <w:multiLevelType w:val="multilevel"/>
    <w:tmpl w:val="CFFA3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6920E9C"/>
    <w:multiLevelType w:val="multilevel"/>
    <w:tmpl w:val="480C4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D481904"/>
    <w:multiLevelType w:val="multilevel"/>
    <w:tmpl w:val="B4F6E9B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7" w15:restartNumberingAfterBreak="0">
    <w:nsid w:val="558B7ACB"/>
    <w:multiLevelType w:val="multilevel"/>
    <w:tmpl w:val="0C00B3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0A4151E"/>
    <w:multiLevelType w:val="multilevel"/>
    <w:tmpl w:val="A21805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1E6432F"/>
    <w:multiLevelType w:val="multilevel"/>
    <w:tmpl w:val="2636393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0" w15:restartNumberingAfterBreak="0">
    <w:nsid w:val="74C90F37"/>
    <w:multiLevelType w:val="multilevel"/>
    <w:tmpl w:val="C7908C2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2089568479">
    <w:abstractNumId w:val="9"/>
  </w:num>
  <w:num w:numId="2" w16cid:durableId="1178811599">
    <w:abstractNumId w:val="5"/>
  </w:num>
  <w:num w:numId="3" w16cid:durableId="1736706522">
    <w:abstractNumId w:val="7"/>
  </w:num>
  <w:num w:numId="4" w16cid:durableId="1321694170">
    <w:abstractNumId w:val="6"/>
  </w:num>
  <w:num w:numId="5" w16cid:durableId="145245742">
    <w:abstractNumId w:val="8"/>
  </w:num>
  <w:num w:numId="6" w16cid:durableId="1090543649">
    <w:abstractNumId w:val="0"/>
  </w:num>
  <w:num w:numId="7" w16cid:durableId="1908806433">
    <w:abstractNumId w:val="2"/>
  </w:num>
  <w:num w:numId="8" w16cid:durableId="584998002">
    <w:abstractNumId w:val="10"/>
  </w:num>
  <w:num w:numId="9" w16cid:durableId="1063411495">
    <w:abstractNumId w:val="1"/>
  </w:num>
  <w:num w:numId="10" w16cid:durableId="1953122137">
    <w:abstractNumId w:val="4"/>
  </w:num>
  <w:num w:numId="11" w16cid:durableId="15276736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13DE"/>
    <w:rsid w:val="000A13DE"/>
    <w:rsid w:val="002B02FC"/>
    <w:rsid w:val="00876175"/>
    <w:rsid w:val="008E721F"/>
    <w:rsid w:val="00933E5C"/>
    <w:rsid w:val="00A82B13"/>
    <w:rsid w:val="00A87CAE"/>
    <w:rsid w:val="00EB7747"/>
    <w:rsid w:val="00EE5A22"/>
    <w:rsid w:val="00F65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29B02"/>
  <w15:docId w15:val="{F4D1D0C4-81EB-49F3-8658-B308223DA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2"/>
        <w:szCs w:val="22"/>
        <w:lang w:val="en-US"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ind w:left="1205" w:hanging="632"/>
      <w:outlineLvl w:val="0"/>
    </w:pPr>
    <w:rPr>
      <w:b/>
      <w:sz w:val="20"/>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66"/>
      <w:ind w:left="255"/>
      <w:jc w:val="center"/>
    </w:pPr>
    <w:rPr>
      <w:b/>
      <w:sz w:val="48"/>
      <w:szCs w:val="4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A87CAE"/>
    <w:pPr>
      <w:widowControl/>
    </w:pPr>
    <w:rPr>
      <w:rFonts w:asciiTheme="minorHAnsi" w:eastAsiaTheme="minorEastAsia" w:hAnsiTheme="minorHAnsi" w:cstheme="minorBidi"/>
      <w:lang w:eastAsia="en-US"/>
    </w:rPr>
  </w:style>
  <w:style w:type="character" w:customStyle="1" w:styleId="NoSpacingChar">
    <w:name w:val="No Spacing Char"/>
    <w:basedOn w:val="DefaultParagraphFont"/>
    <w:link w:val="NoSpacing"/>
    <w:uiPriority w:val="1"/>
    <w:rsid w:val="00A87CAE"/>
    <w:rPr>
      <w:rFonts w:asciiTheme="minorHAnsi" w:eastAsiaTheme="minorEastAsia" w:hAnsiTheme="minorHAnsi" w:cstheme="minorBidi"/>
      <w:lang w:eastAsia="en-US"/>
    </w:rPr>
  </w:style>
  <w:style w:type="paragraph" w:styleId="TOCHeading">
    <w:name w:val="TOC Heading"/>
    <w:basedOn w:val="Heading1"/>
    <w:next w:val="Normal"/>
    <w:uiPriority w:val="39"/>
    <w:unhideWhenUsed/>
    <w:qFormat/>
    <w:rsid w:val="00EB7747"/>
    <w:pPr>
      <w:keepNext/>
      <w:keepLines/>
      <w:widowControl/>
      <w:spacing w:before="240" w:line="259" w:lineRule="auto"/>
      <w:ind w:left="0" w:firstLine="0"/>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EB7747"/>
    <w:pPr>
      <w:spacing w:after="100"/>
    </w:pPr>
  </w:style>
  <w:style w:type="character" w:styleId="Hyperlink">
    <w:name w:val="Hyperlink"/>
    <w:basedOn w:val="DefaultParagraphFont"/>
    <w:uiPriority w:val="99"/>
    <w:unhideWhenUsed/>
    <w:rsid w:val="00EB774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data.nasa.gov/dataset/Li-ion-Battery-Aging-Datasets/uj5r-zjdb/about_data" TargetMode="Externa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hyperlink" Target="https://www.accure.net/battery-knowledge/blog-battery-ag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link.springer.com/chapter/10.1007/978-1-4020-6945-1_6" TargetMode="External"/><Relationship Id="rId40" Type="http://schemas.openxmlformats.org/officeDocument/2006/relationships/hyperlink" Target="https://www.sciencedirect.com/science/article/abs/pii/S1364032120303397"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researchgate.net/publication/11640856_Issues_and_Challenges_Facing_Rechargeable_Lithium_Batteries"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www.researchgate.net/publication/362243347_Safety_Concerns_for_the_Management_of_End-of-Life_Lithium-Ion_Batteries" TargetMode="External"/><Relationship Id="rId43"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hyperlink" Target="https://www.kaggle.com/datasets/ignaciovinuales/battery-remaining-useful-life-ru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22C7F8D0FA446429461B605C3989023"/>
        <w:category>
          <w:name w:val="General"/>
          <w:gallery w:val="placeholder"/>
        </w:category>
        <w:types>
          <w:type w:val="bbPlcHdr"/>
        </w:types>
        <w:behaviors>
          <w:behavior w:val="content"/>
        </w:behaviors>
        <w:guid w:val="{3DE691AE-2C3E-41C2-BED7-D5CB4E4024FE}"/>
      </w:docPartPr>
      <w:docPartBody>
        <w:p w:rsidR="00000000" w:rsidRDefault="00FD0073" w:rsidP="00FD0073">
          <w:pPr>
            <w:pStyle w:val="322C7F8D0FA446429461B605C3989023"/>
          </w:pPr>
          <w:r>
            <w:rPr>
              <w:rFonts w:asciiTheme="majorHAnsi" w:eastAsiaTheme="majorEastAsia" w:hAnsiTheme="majorHAnsi" w:cstheme="majorBidi"/>
              <w:caps/>
              <w:color w:val="156082" w:themeColor="accent1"/>
              <w:sz w:val="80"/>
              <w:szCs w:val="80"/>
            </w:rPr>
            <w:t>[Document title]</w:t>
          </w:r>
        </w:p>
      </w:docPartBody>
    </w:docPart>
    <w:docPart>
      <w:docPartPr>
        <w:name w:val="86C7258F4C3E49CD96F2C9897EB65A9D"/>
        <w:category>
          <w:name w:val="General"/>
          <w:gallery w:val="placeholder"/>
        </w:category>
        <w:types>
          <w:type w:val="bbPlcHdr"/>
        </w:types>
        <w:behaviors>
          <w:behavior w:val="content"/>
        </w:behaviors>
        <w:guid w:val="{F3126361-7800-4F7C-9A12-89C7F47EB4E2}"/>
      </w:docPartPr>
      <w:docPartBody>
        <w:p w:rsidR="00000000" w:rsidRDefault="00FD0073" w:rsidP="00FD0073">
          <w:pPr>
            <w:pStyle w:val="86C7258F4C3E49CD96F2C9897EB65A9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Gungsuh">
    <w:charset w:val="81"/>
    <w:family w:val="roman"/>
    <w:pitch w:val="variable"/>
    <w:sig w:usb0="B00002AF" w:usb1="69D77CFB" w:usb2="00000030" w:usb3="00000000" w:csb0="0008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073"/>
    <w:rsid w:val="00DC5C40"/>
    <w:rsid w:val="00FD0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2C7F8D0FA446429461B605C3989023">
    <w:name w:val="322C7F8D0FA446429461B605C3989023"/>
    <w:rsid w:val="00FD0073"/>
  </w:style>
  <w:style w:type="paragraph" w:customStyle="1" w:styleId="86C7258F4C3E49CD96F2C9897EB65A9D">
    <w:name w:val="86C7258F4C3E49CD96F2C9897EB65A9D"/>
    <w:rsid w:val="00FD00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2024-04-24T00:00:00</PublishDate>
  <Abstract/>
  <CompanyAddress>Independent Project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DF8C20-1658-4B26-ACC9-F8CD36332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6827</Words>
  <Characters>38914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Estimating State of Health (SOH) and Remaining useful life (RUL) of Lithium-Ion Batteries: A Data-Driven Approach</dc:title>
  <dc:subject>Sameeran Raveenthiran</dc:subject>
  <dc:creator>sameeran hyoren</dc:creator>
  <cp:lastModifiedBy>sameeran hyoren</cp:lastModifiedBy>
  <cp:revision>3</cp:revision>
  <dcterms:created xsi:type="dcterms:W3CDTF">2024-04-24T13:03:00Z</dcterms:created>
  <dcterms:modified xsi:type="dcterms:W3CDTF">2024-04-24T13:07:00Z</dcterms:modified>
</cp:coreProperties>
</file>