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7AEC9" w14:textId="77777777" w:rsidR="007E141F" w:rsidRDefault="00EC1282" w:rsidP="00AF7396">
      <w:pPr>
        <w:pStyle w:val="Title"/>
      </w:pPr>
      <w:r>
        <w:t xml:space="preserve">                        </w:t>
      </w:r>
    </w:p>
    <w:p w14:paraId="5A93A6F7" w14:textId="77777777" w:rsidR="007E141F" w:rsidRDefault="007E141F" w:rsidP="00AF7396">
      <w:pPr>
        <w:pStyle w:val="Title"/>
      </w:pPr>
    </w:p>
    <w:p w14:paraId="5D2D2A56" w14:textId="77777777" w:rsidR="007E141F" w:rsidRDefault="007E141F" w:rsidP="00AF7396">
      <w:pPr>
        <w:pStyle w:val="Title"/>
      </w:pPr>
    </w:p>
    <w:p w14:paraId="20EBE0E2" w14:textId="77777777" w:rsidR="007E141F" w:rsidRDefault="007E141F" w:rsidP="00AF7396">
      <w:pPr>
        <w:pStyle w:val="Title"/>
      </w:pPr>
    </w:p>
    <w:p w14:paraId="03D5B90B" w14:textId="77777777" w:rsidR="007E141F" w:rsidRDefault="007E141F" w:rsidP="00AF7396">
      <w:pPr>
        <w:pStyle w:val="Title"/>
      </w:pPr>
    </w:p>
    <w:p w14:paraId="633691E7" w14:textId="77777777" w:rsidR="007E141F" w:rsidRDefault="007E141F" w:rsidP="00AF7396">
      <w:pPr>
        <w:pStyle w:val="Title"/>
      </w:pPr>
    </w:p>
    <w:p w14:paraId="0635FD04" w14:textId="77777777" w:rsidR="007E141F" w:rsidRDefault="007E141F" w:rsidP="00AF7396">
      <w:pPr>
        <w:pStyle w:val="Title"/>
      </w:pPr>
    </w:p>
    <w:p w14:paraId="1C7FEEC4" w14:textId="77777777" w:rsidR="002F0F95" w:rsidRPr="002F0F95" w:rsidRDefault="002F0F95" w:rsidP="002F0F95"/>
    <w:p w14:paraId="2920F73D" w14:textId="77777777" w:rsidR="002F0F95" w:rsidRPr="002F0F95" w:rsidRDefault="002F0F95" w:rsidP="002F0F95"/>
    <w:p w14:paraId="1544C879" w14:textId="572D76DE" w:rsidR="00245AF0" w:rsidRDefault="00EC1282" w:rsidP="00AF7396">
      <w:pPr>
        <w:pStyle w:val="Title"/>
      </w:pPr>
      <w:r>
        <w:t xml:space="preserve">   </w:t>
      </w:r>
      <w:r w:rsidR="00AF7396">
        <w:t>Probate Practice</w:t>
      </w:r>
    </w:p>
    <w:p w14:paraId="2808DD21" w14:textId="25575B5F" w:rsidR="002F0F95" w:rsidRDefault="002F0F95" w:rsidP="00245AF0">
      <w:pPr>
        <w:spacing w:line="360" w:lineRule="auto"/>
        <w:rPr>
          <w:rFonts w:ascii="Arial" w:hAnsi="Arial" w:cs="Arial"/>
          <w:b/>
          <w:bCs/>
          <w:sz w:val="22"/>
          <w:szCs w:val="22"/>
        </w:rPr>
      </w:pPr>
    </w:p>
    <w:p w14:paraId="70353D92" w14:textId="77777777" w:rsidR="007E141F" w:rsidRDefault="007E141F" w:rsidP="00245AF0">
      <w:pPr>
        <w:spacing w:line="360" w:lineRule="auto"/>
        <w:rPr>
          <w:rFonts w:ascii="Arial" w:hAnsi="Arial" w:cs="Arial"/>
          <w:b/>
          <w:bCs/>
          <w:sz w:val="22"/>
          <w:szCs w:val="22"/>
        </w:rPr>
      </w:pPr>
    </w:p>
    <w:p w14:paraId="0F53FA65" w14:textId="77777777" w:rsidR="007E141F" w:rsidRDefault="007E141F" w:rsidP="00245AF0">
      <w:pPr>
        <w:spacing w:line="360" w:lineRule="auto"/>
        <w:rPr>
          <w:rFonts w:ascii="Arial" w:hAnsi="Arial" w:cs="Arial"/>
          <w:b/>
          <w:bCs/>
          <w:sz w:val="22"/>
          <w:szCs w:val="22"/>
        </w:rPr>
      </w:pPr>
    </w:p>
    <w:p w14:paraId="685C4BF2" w14:textId="77777777" w:rsidR="00AF7396" w:rsidRDefault="00AF7396" w:rsidP="00245AF0">
      <w:pPr>
        <w:spacing w:line="360" w:lineRule="auto"/>
        <w:rPr>
          <w:rFonts w:ascii="Arial" w:hAnsi="Arial" w:cs="Arial"/>
          <w:b/>
          <w:bCs/>
          <w:sz w:val="22"/>
          <w:szCs w:val="22"/>
        </w:rPr>
      </w:pPr>
    </w:p>
    <w:p w14:paraId="0266DB6F" w14:textId="77777777" w:rsidR="00EC1282" w:rsidRDefault="00EC1282" w:rsidP="00245AF0">
      <w:pPr>
        <w:spacing w:line="360" w:lineRule="auto"/>
        <w:rPr>
          <w:rFonts w:ascii="Arial" w:hAnsi="Arial" w:cs="Arial"/>
          <w:b/>
          <w:bCs/>
          <w:sz w:val="22"/>
          <w:szCs w:val="22"/>
        </w:rPr>
      </w:pPr>
    </w:p>
    <w:p w14:paraId="0452FBA3" w14:textId="77777777" w:rsidR="00EC1282" w:rsidRDefault="00EC1282" w:rsidP="00245AF0">
      <w:pPr>
        <w:spacing w:line="360" w:lineRule="auto"/>
        <w:rPr>
          <w:rFonts w:ascii="Arial" w:hAnsi="Arial" w:cs="Arial"/>
          <w:b/>
          <w:bCs/>
          <w:sz w:val="22"/>
          <w:szCs w:val="22"/>
        </w:rPr>
      </w:pPr>
    </w:p>
    <w:p w14:paraId="684FE5AB" w14:textId="77777777" w:rsidR="00EC1282" w:rsidRDefault="00EC1282" w:rsidP="00245AF0">
      <w:pPr>
        <w:spacing w:line="360" w:lineRule="auto"/>
        <w:rPr>
          <w:rFonts w:ascii="Arial" w:hAnsi="Arial" w:cs="Arial"/>
          <w:b/>
          <w:bCs/>
          <w:sz w:val="22"/>
          <w:szCs w:val="22"/>
        </w:rPr>
      </w:pPr>
    </w:p>
    <w:p w14:paraId="6F4BCA3D" w14:textId="77777777" w:rsidR="00EC1282" w:rsidRDefault="00EC1282" w:rsidP="00245AF0">
      <w:pPr>
        <w:spacing w:line="360" w:lineRule="auto"/>
        <w:rPr>
          <w:rFonts w:ascii="Arial" w:hAnsi="Arial" w:cs="Arial"/>
          <w:b/>
          <w:bCs/>
          <w:sz w:val="22"/>
          <w:szCs w:val="22"/>
        </w:rPr>
      </w:pPr>
    </w:p>
    <w:p w14:paraId="46C2BF4F" w14:textId="77777777" w:rsidR="00EC1282" w:rsidRDefault="00EC1282" w:rsidP="00245AF0">
      <w:pPr>
        <w:spacing w:line="360" w:lineRule="auto"/>
        <w:rPr>
          <w:rFonts w:ascii="Arial" w:hAnsi="Arial" w:cs="Arial"/>
          <w:b/>
          <w:bCs/>
          <w:sz w:val="22"/>
          <w:szCs w:val="22"/>
        </w:rPr>
      </w:pPr>
    </w:p>
    <w:p w14:paraId="22398A43" w14:textId="77777777" w:rsidR="002F0F95" w:rsidRDefault="002F0F95" w:rsidP="00245AF0">
      <w:pPr>
        <w:spacing w:line="360" w:lineRule="auto"/>
        <w:rPr>
          <w:rFonts w:ascii="Arial" w:hAnsi="Arial" w:cs="Arial"/>
          <w:b/>
          <w:bCs/>
          <w:sz w:val="22"/>
          <w:szCs w:val="22"/>
        </w:rPr>
      </w:pPr>
    </w:p>
    <w:p w14:paraId="231BE022" w14:textId="77777777" w:rsidR="002F0F95" w:rsidRDefault="002F0F95" w:rsidP="00245AF0">
      <w:pPr>
        <w:spacing w:line="360" w:lineRule="auto"/>
        <w:rPr>
          <w:rFonts w:ascii="Arial" w:hAnsi="Arial" w:cs="Arial"/>
          <w:b/>
          <w:bCs/>
          <w:sz w:val="22"/>
          <w:szCs w:val="22"/>
        </w:rPr>
      </w:pPr>
    </w:p>
    <w:p w14:paraId="5D948CD2" w14:textId="77777777" w:rsidR="002F0F95" w:rsidRDefault="002F0F95" w:rsidP="00245AF0">
      <w:pPr>
        <w:spacing w:line="360" w:lineRule="auto"/>
        <w:rPr>
          <w:rFonts w:ascii="Arial" w:hAnsi="Arial" w:cs="Arial"/>
          <w:b/>
          <w:bCs/>
          <w:sz w:val="22"/>
          <w:szCs w:val="22"/>
        </w:rPr>
      </w:pPr>
    </w:p>
    <w:p w14:paraId="279A768F" w14:textId="77777777" w:rsidR="002F0F95" w:rsidRDefault="002F0F95" w:rsidP="00245AF0">
      <w:pPr>
        <w:spacing w:line="360" w:lineRule="auto"/>
        <w:rPr>
          <w:rFonts w:ascii="Arial" w:hAnsi="Arial" w:cs="Arial"/>
          <w:b/>
          <w:bCs/>
          <w:sz w:val="22"/>
          <w:szCs w:val="22"/>
        </w:rPr>
      </w:pPr>
    </w:p>
    <w:p w14:paraId="35296F1D" w14:textId="77777777" w:rsidR="002F0F95" w:rsidRDefault="002F0F95" w:rsidP="00245AF0">
      <w:pPr>
        <w:spacing w:line="360" w:lineRule="auto"/>
        <w:rPr>
          <w:rFonts w:ascii="Arial" w:hAnsi="Arial" w:cs="Arial"/>
          <w:b/>
          <w:bCs/>
          <w:sz w:val="22"/>
          <w:szCs w:val="22"/>
        </w:rPr>
      </w:pPr>
    </w:p>
    <w:p w14:paraId="54666D42" w14:textId="77777777" w:rsidR="00AF7396" w:rsidRPr="00911CEC" w:rsidRDefault="00AF7396" w:rsidP="00245AF0">
      <w:pPr>
        <w:spacing w:line="360" w:lineRule="auto"/>
        <w:rPr>
          <w:rFonts w:ascii="Arial" w:hAnsi="Arial" w:cs="Arial"/>
          <w:b/>
          <w:bCs/>
          <w:sz w:val="22"/>
          <w:szCs w:val="22"/>
        </w:rPr>
      </w:pPr>
    </w:p>
    <w:p w14:paraId="566090BD" w14:textId="561596BE" w:rsidR="00245AF0" w:rsidRPr="00911CEC" w:rsidRDefault="00245AF0" w:rsidP="00245AF0">
      <w:pPr>
        <w:spacing w:line="360" w:lineRule="auto"/>
        <w:rPr>
          <w:rFonts w:ascii="Arial" w:hAnsi="Arial" w:cs="Arial"/>
          <w:b/>
          <w:bCs/>
          <w:sz w:val="22"/>
          <w:szCs w:val="22"/>
        </w:rPr>
      </w:pPr>
      <w:r w:rsidRPr="00911CEC">
        <w:rPr>
          <w:rFonts w:ascii="Arial" w:hAnsi="Arial" w:cs="Arial"/>
          <w:b/>
          <w:bCs/>
          <w:sz w:val="22"/>
          <w:szCs w:val="22"/>
        </w:rPr>
        <w:t>TASK 1</w:t>
      </w:r>
    </w:p>
    <w:p w14:paraId="523E840F" w14:textId="5AE67698" w:rsidR="00245AF0" w:rsidRDefault="00245AF0" w:rsidP="00245AF0">
      <w:pPr>
        <w:spacing w:line="360" w:lineRule="auto"/>
        <w:rPr>
          <w:rFonts w:ascii="Arial" w:hAnsi="Arial" w:cs="Arial"/>
          <w:b/>
          <w:bCs/>
          <w:sz w:val="22"/>
          <w:szCs w:val="22"/>
        </w:rPr>
      </w:pPr>
      <w:r w:rsidRPr="00911CEC">
        <w:rPr>
          <w:rFonts w:ascii="Arial" w:hAnsi="Arial" w:cs="Arial"/>
          <w:b/>
          <w:bCs/>
          <w:sz w:val="22"/>
          <w:szCs w:val="22"/>
        </w:rPr>
        <w:t>Subject: Re: Case ref: DR-19384/04 – Probate Query</w:t>
      </w:r>
    </w:p>
    <w:p w14:paraId="26FE6301" w14:textId="77777777" w:rsidR="002F0F95" w:rsidRPr="00911CEC" w:rsidRDefault="002F0F95" w:rsidP="00245AF0">
      <w:pPr>
        <w:spacing w:line="360" w:lineRule="auto"/>
        <w:rPr>
          <w:rFonts w:ascii="Arial" w:hAnsi="Arial" w:cs="Arial"/>
          <w:sz w:val="22"/>
          <w:szCs w:val="22"/>
        </w:rPr>
      </w:pPr>
    </w:p>
    <w:p w14:paraId="435D02B9" w14:textId="77777777" w:rsidR="00245AF0" w:rsidRPr="00911CEC" w:rsidRDefault="00245AF0" w:rsidP="00245AF0">
      <w:pPr>
        <w:spacing w:line="360" w:lineRule="auto"/>
        <w:rPr>
          <w:rFonts w:ascii="Arial" w:hAnsi="Arial" w:cs="Arial"/>
          <w:sz w:val="22"/>
          <w:szCs w:val="22"/>
        </w:rPr>
      </w:pPr>
      <w:r w:rsidRPr="00911CEC">
        <w:rPr>
          <w:rFonts w:ascii="Arial" w:hAnsi="Arial" w:cs="Arial"/>
          <w:sz w:val="22"/>
          <w:szCs w:val="22"/>
        </w:rPr>
        <w:t>Dear David,</w:t>
      </w:r>
    </w:p>
    <w:p w14:paraId="59EE94F2" w14:textId="085C08F0" w:rsidR="00245AF0" w:rsidRPr="00911CEC" w:rsidRDefault="0084053B" w:rsidP="00245AF0">
      <w:pPr>
        <w:spacing w:line="360" w:lineRule="auto"/>
        <w:rPr>
          <w:rFonts w:ascii="Arial" w:hAnsi="Arial" w:cs="Arial"/>
          <w:sz w:val="22"/>
          <w:szCs w:val="22"/>
        </w:rPr>
      </w:pPr>
      <w:r w:rsidRPr="00911CEC">
        <w:rPr>
          <w:rFonts w:ascii="Arial" w:hAnsi="Arial" w:cs="Arial"/>
          <w:sz w:val="22"/>
          <w:szCs w:val="22"/>
        </w:rPr>
        <w:t>I</w:t>
      </w:r>
      <w:r w:rsidR="0079648B">
        <w:rPr>
          <w:rFonts w:ascii="Arial" w:hAnsi="Arial" w:cs="Arial"/>
          <w:sz w:val="22"/>
          <w:szCs w:val="22"/>
        </w:rPr>
        <w:t xml:space="preserve"> </w:t>
      </w:r>
      <w:r w:rsidRPr="00911CEC">
        <w:rPr>
          <w:rFonts w:ascii="Arial" w:hAnsi="Arial" w:cs="Arial"/>
          <w:sz w:val="22"/>
          <w:szCs w:val="22"/>
        </w:rPr>
        <w:t xml:space="preserve">hope that this message </w:t>
      </w:r>
      <w:r w:rsidR="00911CEC">
        <w:rPr>
          <w:rFonts w:ascii="Arial" w:hAnsi="Arial" w:cs="Arial"/>
          <w:sz w:val="22"/>
          <w:szCs w:val="22"/>
        </w:rPr>
        <w:t>graces you well.</w:t>
      </w:r>
      <w:r w:rsidR="0079648B">
        <w:rPr>
          <w:rFonts w:ascii="Arial" w:hAnsi="Arial" w:cs="Arial"/>
          <w:sz w:val="22"/>
          <w:szCs w:val="22"/>
        </w:rPr>
        <w:t xml:space="preserve"> I have reviewed the matters concerning Mrs. Juliet Spain’s estat</w:t>
      </w:r>
      <w:r w:rsidR="00B636E8">
        <w:rPr>
          <w:rFonts w:ascii="Arial" w:hAnsi="Arial" w:cs="Arial"/>
          <w:sz w:val="22"/>
          <w:szCs w:val="22"/>
        </w:rPr>
        <w:t xml:space="preserve">e, specifically regarding the monetary gifts and the ownership of the gold. </w:t>
      </w:r>
      <w:r w:rsidR="00911CEC">
        <w:rPr>
          <w:rFonts w:ascii="Arial" w:hAnsi="Arial" w:cs="Arial"/>
          <w:sz w:val="22"/>
          <w:szCs w:val="22"/>
        </w:rPr>
        <w:t xml:space="preserve">Below are my findings </w:t>
      </w:r>
      <w:r w:rsidR="00B636E8">
        <w:rPr>
          <w:rFonts w:ascii="Arial" w:hAnsi="Arial" w:cs="Arial"/>
          <w:sz w:val="22"/>
          <w:szCs w:val="22"/>
        </w:rPr>
        <w:t>and recommendations based on legal authorities.</w:t>
      </w:r>
    </w:p>
    <w:p w14:paraId="0484F39A" w14:textId="77777777" w:rsidR="0084053B" w:rsidRPr="00911CEC" w:rsidRDefault="0084053B" w:rsidP="00245AF0">
      <w:pPr>
        <w:spacing w:line="360" w:lineRule="auto"/>
        <w:rPr>
          <w:rFonts w:ascii="Arial" w:hAnsi="Arial" w:cs="Arial"/>
          <w:b/>
          <w:bCs/>
          <w:sz w:val="22"/>
          <w:szCs w:val="22"/>
        </w:rPr>
      </w:pPr>
    </w:p>
    <w:p w14:paraId="0C214B65" w14:textId="296A9DB3" w:rsidR="00245AF0" w:rsidRPr="00911CEC" w:rsidRDefault="00245AF0" w:rsidP="00245AF0">
      <w:pPr>
        <w:spacing w:line="360" w:lineRule="auto"/>
        <w:rPr>
          <w:rFonts w:ascii="Arial" w:hAnsi="Arial" w:cs="Arial"/>
          <w:b/>
          <w:bCs/>
          <w:sz w:val="22"/>
          <w:szCs w:val="22"/>
        </w:rPr>
      </w:pPr>
      <w:r w:rsidRPr="00911CEC">
        <w:rPr>
          <w:rFonts w:ascii="Arial" w:hAnsi="Arial" w:cs="Arial"/>
          <w:b/>
          <w:bCs/>
          <w:sz w:val="22"/>
          <w:szCs w:val="22"/>
        </w:rPr>
        <w:t>1. A</w:t>
      </w:r>
      <w:r w:rsidRPr="00E93748">
        <w:rPr>
          <w:rFonts w:ascii="Arial" w:hAnsi="Arial" w:cs="Arial"/>
          <w:b/>
          <w:bCs/>
          <w:sz w:val="22"/>
          <w:szCs w:val="22"/>
        </w:rPr>
        <w:t>cceptan</w:t>
      </w:r>
      <w:r w:rsidRPr="00911CEC">
        <w:rPr>
          <w:rFonts w:ascii="Arial" w:hAnsi="Arial" w:cs="Arial"/>
          <w:b/>
          <w:bCs/>
          <w:sz w:val="22"/>
          <w:szCs w:val="22"/>
        </w:rPr>
        <w:t>ce of Gifts to You and Myself</w:t>
      </w:r>
      <w:r w:rsidR="006D561C">
        <w:rPr>
          <w:rFonts w:ascii="Arial" w:hAnsi="Arial" w:cs="Arial"/>
          <w:b/>
          <w:bCs/>
          <w:sz w:val="22"/>
          <w:szCs w:val="22"/>
        </w:rPr>
        <w:t xml:space="preserve"> </w:t>
      </w:r>
    </w:p>
    <w:p w14:paraId="478BB430" w14:textId="77777777" w:rsidR="00E93748" w:rsidRDefault="000231F5" w:rsidP="0084053B">
      <w:pPr>
        <w:spacing w:line="360" w:lineRule="auto"/>
        <w:rPr>
          <w:rFonts w:ascii="Arial" w:hAnsi="Arial" w:cs="Arial"/>
          <w:sz w:val="22"/>
          <w:szCs w:val="22"/>
        </w:rPr>
      </w:pPr>
      <w:r>
        <w:rPr>
          <w:rFonts w:ascii="Arial" w:hAnsi="Arial" w:cs="Arial"/>
          <w:sz w:val="22"/>
          <w:szCs w:val="22"/>
        </w:rPr>
        <w:t xml:space="preserve">The acceptance of gifts from a client raises ethical questions </w:t>
      </w:r>
      <w:r w:rsidR="00DA1E82">
        <w:rPr>
          <w:rFonts w:ascii="Arial" w:hAnsi="Arial" w:cs="Arial"/>
          <w:sz w:val="22"/>
          <w:szCs w:val="22"/>
        </w:rPr>
        <w:t>under the</w:t>
      </w:r>
      <w:r w:rsidR="00DA1E82" w:rsidRPr="00985D8F">
        <w:rPr>
          <w:rFonts w:ascii="Arial" w:hAnsi="Arial" w:cs="Arial"/>
          <w:i/>
          <w:iCs/>
          <w:sz w:val="22"/>
          <w:szCs w:val="22"/>
        </w:rPr>
        <w:t xml:space="preserve"> Solicitors Regulation Authority (SRA) Code of Conduct (2019) </w:t>
      </w:r>
      <w:r w:rsidR="00DA1E82">
        <w:rPr>
          <w:rFonts w:ascii="Arial" w:hAnsi="Arial" w:cs="Arial"/>
          <w:sz w:val="22"/>
          <w:szCs w:val="22"/>
        </w:rPr>
        <w:t>and legal considerations regarding undue influence and testamentary capacity.</w:t>
      </w:r>
    </w:p>
    <w:p w14:paraId="536F9FA5" w14:textId="0813934C" w:rsidR="00DA1E82" w:rsidRDefault="00DA1E82" w:rsidP="0084053B">
      <w:pPr>
        <w:spacing w:line="360" w:lineRule="auto"/>
        <w:rPr>
          <w:rFonts w:ascii="Arial" w:hAnsi="Arial" w:cs="Arial"/>
          <w:sz w:val="22"/>
          <w:szCs w:val="22"/>
        </w:rPr>
      </w:pPr>
      <w:r>
        <w:rPr>
          <w:rFonts w:ascii="Arial" w:hAnsi="Arial" w:cs="Arial"/>
          <w:sz w:val="22"/>
          <w:szCs w:val="22"/>
        </w:rPr>
        <w:t xml:space="preserve"> </w:t>
      </w:r>
      <w:r w:rsidRPr="00985D8F">
        <w:rPr>
          <w:rFonts w:ascii="Arial" w:hAnsi="Arial" w:cs="Arial"/>
          <w:i/>
          <w:iCs/>
          <w:sz w:val="22"/>
          <w:szCs w:val="22"/>
        </w:rPr>
        <w:t>Rule 6.2</w:t>
      </w:r>
      <w:r>
        <w:rPr>
          <w:rFonts w:ascii="Arial" w:hAnsi="Arial" w:cs="Arial"/>
          <w:sz w:val="22"/>
          <w:szCs w:val="22"/>
        </w:rPr>
        <w:t xml:space="preserve"> Requires that if a substantial gift is made, the client should get independent legal advice. Although £1,000 may not be excessive, it is advisable to ensure proper documentation exists. The case of </w:t>
      </w:r>
      <w:bookmarkStart w:id="0" w:name="_Hlk192871836"/>
      <w:r w:rsidRPr="00985D8F">
        <w:rPr>
          <w:rFonts w:ascii="Arial" w:hAnsi="Arial" w:cs="Arial"/>
          <w:i/>
          <w:iCs/>
          <w:sz w:val="22"/>
          <w:szCs w:val="22"/>
        </w:rPr>
        <w:t xml:space="preserve">Re </w:t>
      </w:r>
      <w:r w:rsidR="00985D8F">
        <w:rPr>
          <w:rFonts w:ascii="Arial" w:hAnsi="Arial" w:cs="Arial"/>
          <w:i/>
          <w:iCs/>
          <w:sz w:val="22"/>
          <w:szCs w:val="22"/>
        </w:rPr>
        <w:t>A</w:t>
      </w:r>
      <w:r w:rsidRPr="00985D8F">
        <w:rPr>
          <w:rFonts w:ascii="Arial" w:hAnsi="Arial" w:cs="Arial"/>
          <w:i/>
          <w:iCs/>
          <w:sz w:val="22"/>
          <w:szCs w:val="22"/>
        </w:rPr>
        <w:t xml:space="preserve"> Solicitor [1958] 1 WLR 982</w:t>
      </w:r>
      <w:r>
        <w:rPr>
          <w:rFonts w:ascii="Arial" w:hAnsi="Arial" w:cs="Arial"/>
          <w:sz w:val="22"/>
          <w:szCs w:val="22"/>
        </w:rPr>
        <w:t xml:space="preserve"> </w:t>
      </w:r>
      <w:bookmarkEnd w:id="0"/>
      <w:r>
        <w:rPr>
          <w:rFonts w:ascii="Arial" w:hAnsi="Arial" w:cs="Arial"/>
          <w:sz w:val="22"/>
          <w:szCs w:val="22"/>
        </w:rPr>
        <w:t>reinforces that a solicitor receiving gifts from a client must be prepared to justify their pr</w:t>
      </w:r>
      <w:r w:rsidR="00E93748">
        <w:rPr>
          <w:rFonts w:ascii="Arial" w:hAnsi="Arial" w:cs="Arial"/>
          <w:sz w:val="22"/>
          <w:szCs w:val="22"/>
        </w:rPr>
        <w:t>opriety.</w:t>
      </w:r>
    </w:p>
    <w:p w14:paraId="18EBF9D9" w14:textId="5480D9FA" w:rsidR="00DA1E82" w:rsidRPr="00E93748" w:rsidRDefault="00E93748" w:rsidP="0084053B">
      <w:pPr>
        <w:spacing w:line="360" w:lineRule="auto"/>
        <w:rPr>
          <w:rFonts w:ascii="Arial" w:hAnsi="Arial" w:cs="Arial"/>
          <w:b/>
          <w:bCs/>
        </w:rPr>
      </w:pPr>
      <w:r>
        <w:rPr>
          <w:rFonts w:ascii="Arial" w:hAnsi="Arial" w:cs="Arial"/>
          <w:b/>
          <w:bCs/>
        </w:rPr>
        <w:t>Undue Influence and Testamentary Capacity</w:t>
      </w:r>
    </w:p>
    <w:p w14:paraId="3FB803F5" w14:textId="64052A3C" w:rsidR="00DA1E82" w:rsidRDefault="00E93748" w:rsidP="0084053B">
      <w:pPr>
        <w:spacing w:line="360" w:lineRule="auto"/>
        <w:rPr>
          <w:rFonts w:ascii="Arial" w:hAnsi="Arial" w:cs="Arial"/>
          <w:sz w:val="22"/>
          <w:szCs w:val="22"/>
        </w:rPr>
      </w:pPr>
      <w:r>
        <w:rPr>
          <w:rFonts w:ascii="Arial" w:hAnsi="Arial" w:cs="Arial"/>
          <w:sz w:val="22"/>
          <w:szCs w:val="22"/>
        </w:rPr>
        <w:t xml:space="preserve">While Mrs. Spain’s medical report confirmed her mental capacity in 2018, testamentary capacity is assessed at the time the gift was made. The key authority setting out the test for mental capacity in gift-making, is </w:t>
      </w:r>
      <w:bookmarkStart w:id="1" w:name="_Hlk192871880"/>
      <w:r w:rsidRPr="00985D8F">
        <w:rPr>
          <w:rFonts w:ascii="Arial" w:hAnsi="Arial" w:cs="Arial"/>
          <w:i/>
          <w:iCs/>
          <w:sz w:val="22"/>
          <w:szCs w:val="22"/>
        </w:rPr>
        <w:t xml:space="preserve">Banks v </w:t>
      </w:r>
      <w:r w:rsidR="00AB224C" w:rsidRPr="00985D8F">
        <w:rPr>
          <w:rFonts w:ascii="Arial" w:hAnsi="Arial" w:cs="Arial"/>
          <w:i/>
          <w:iCs/>
          <w:sz w:val="22"/>
          <w:szCs w:val="22"/>
        </w:rPr>
        <w:t>Goodfellow (</w:t>
      </w:r>
      <w:r w:rsidRPr="00985D8F">
        <w:rPr>
          <w:rFonts w:ascii="Arial" w:hAnsi="Arial" w:cs="Arial"/>
          <w:i/>
          <w:iCs/>
          <w:sz w:val="22"/>
          <w:szCs w:val="22"/>
        </w:rPr>
        <w:t>1870) LR 5 QB 549</w:t>
      </w:r>
      <w:r>
        <w:rPr>
          <w:rFonts w:ascii="Arial" w:hAnsi="Arial" w:cs="Arial"/>
          <w:sz w:val="22"/>
          <w:szCs w:val="22"/>
        </w:rPr>
        <w:t>.</w:t>
      </w:r>
      <w:bookmarkEnd w:id="1"/>
    </w:p>
    <w:p w14:paraId="769112F7" w14:textId="182EF384" w:rsidR="00E93748" w:rsidRDefault="00E93748" w:rsidP="0084053B">
      <w:pPr>
        <w:spacing w:line="360" w:lineRule="auto"/>
        <w:rPr>
          <w:rFonts w:ascii="Arial" w:hAnsi="Arial" w:cs="Arial"/>
          <w:sz w:val="22"/>
          <w:szCs w:val="22"/>
        </w:rPr>
      </w:pPr>
      <w:r>
        <w:rPr>
          <w:rFonts w:ascii="Arial" w:hAnsi="Arial" w:cs="Arial"/>
          <w:sz w:val="22"/>
          <w:szCs w:val="22"/>
        </w:rPr>
        <w:t>Additionally, the doctrine of undue influence applies when a person in a position of trust receives a gift.</w:t>
      </w:r>
      <w:r w:rsidR="00AB224C">
        <w:rPr>
          <w:rFonts w:ascii="Arial" w:hAnsi="Arial" w:cs="Arial"/>
          <w:sz w:val="22"/>
          <w:szCs w:val="22"/>
        </w:rPr>
        <w:t xml:space="preserve"> There are two types of undue influence:</w:t>
      </w:r>
    </w:p>
    <w:p w14:paraId="14239EA5" w14:textId="49AE8189" w:rsidR="00AB224C" w:rsidRDefault="00AB224C" w:rsidP="00AB224C">
      <w:pPr>
        <w:pStyle w:val="ListParagraph"/>
        <w:numPr>
          <w:ilvl w:val="0"/>
          <w:numId w:val="13"/>
        </w:numPr>
        <w:spacing w:line="360" w:lineRule="auto"/>
        <w:rPr>
          <w:rFonts w:ascii="Arial" w:hAnsi="Arial" w:cs="Arial"/>
          <w:sz w:val="22"/>
          <w:szCs w:val="22"/>
        </w:rPr>
      </w:pPr>
      <w:r>
        <w:rPr>
          <w:rFonts w:ascii="Arial" w:hAnsi="Arial" w:cs="Arial"/>
          <w:sz w:val="22"/>
          <w:szCs w:val="22"/>
        </w:rPr>
        <w:t xml:space="preserve">Presumed undue influence- Applies when the relationship inherently suggests influence (e.g., Solicitor-Client). This is seen in </w:t>
      </w:r>
      <w:bookmarkStart w:id="2" w:name="_Hlk192871929"/>
      <w:r w:rsidRPr="00985D8F">
        <w:rPr>
          <w:rFonts w:ascii="Arial" w:hAnsi="Arial" w:cs="Arial"/>
          <w:i/>
          <w:iCs/>
          <w:sz w:val="22"/>
          <w:szCs w:val="22"/>
        </w:rPr>
        <w:t>Re Craig [1971] 2 AII ER 390</w:t>
      </w:r>
      <w:bookmarkEnd w:id="2"/>
      <w:r>
        <w:rPr>
          <w:rFonts w:ascii="Arial" w:hAnsi="Arial" w:cs="Arial"/>
          <w:sz w:val="22"/>
          <w:szCs w:val="22"/>
        </w:rPr>
        <w:t>, where a Solicitor receiving gifts was deemed improper due to the nature of the relationship.</w:t>
      </w:r>
    </w:p>
    <w:p w14:paraId="5B579C68" w14:textId="5A1BDF7A" w:rsidR="00AB224C" w:rsidRDefault="00AB224C" w:rsidP="00AB224C">
      <w:pPr>
        <w:pStyle w:val="ListParagraph"/>
        <w:numPr>
          <w:ilvl w:val="0"/>
          <w:numId w:val="13"/>
        </w:numPr>
        <w:spacing w:line="360" w:lineRule="auto"/>
        <w:rPr>
          <w:rFonts w:ascii="Arial" w:hAnsi="Arial" w:cs="Arial"/>
          <w:sz w:val="22"/>
          <w:szCs w:val="22"/>
        </w:rPr>
      </w:pPr>
      <w:r>
        <w:rPr>
          <w:rFonts w:ascii="Arial" w:hAnsi="Arial" w:cs="Arial"/>
          <w:sz w:val="22"/>
          <w:szCs w:val="22"/>
        </w:rPr>
        <w:lastRenderedPageBreak/>
        <w:t xml:space="preserve">Actual undue influence- occurs if there is coercion or manipulation </w:t>
      </w:r>
      <w:r w:rsidR="00CF7F86">
        <w:rPr>
          <w:rFonts w:ascii="Arial" w:hAnsi="Arial" w:cs="Arial"/>
          <w:sz w:val="22"/>
          <w:szCs w:val="22"/>
        </w:rPr>
        <w:t>(Re</w:t>
      </w:r>
      <w:r w:rsidRPr="00985D8F">
        <w:rPr>
          <w:rFonts w:ascii="Arial" w:hAnsi="Arial" w:cs="Arial"/>
          <w:i/>
          <w:iCs/>
          <w:sz w:val="22"/>
          <w:szCs w:val="22"/>
        </w:rPr>
        <w:t xml:space="preserve"> Beaney [1978]1 WLR 770</w:t>
      </w:r>
      <w:r w:rsidR="00985D8F">
        <w:rPr>
          <w:rFonts w:ascii="Arial" w:hAnsi="Arial" w:cs="Arial"/>
          <w:sz w:val="22"/>
          <w:szCs w:val="22"/>
        </w:rPr>
        <w:t xml:space="preserve"> ).</w:t>
      </w:r>
      <w:r w:rsidR="00985D8F">
        <w:rPr>
          <w:rFonts w:ascii="Arial" w:hAnsi="Arial" w:cs="Arial"/>
          <w:i/>
          <w:iCs/>
          <w:sz w:val="22"/>
          <w:szCs w:val="22"/>
        </w:rPr>
        <w:t xml:space="preserve"> </w:t>
      </w:r>
    </w:p>
    <w:p w14:paraId="6127A88B" w14:textId="3A4F0149" w:rsidR="00AB224C" w:rsidRDefault="00AB224C" w:rsidP="00AB224C">
      <w:pPr>
        <w:spacing w:line="360" w:lineRule="auto"/>
        <w:rPr>
          <w:rFonts w:ascii="Arial" w:hAnsi="Arial" w:cs="Arial"/>
          <w:b/>
          <w:bCs/>
          <w:sz w:val="22"/>
          <w:szCs w:val="22"/>
        </w:rPr>
      </w:pPr>
      <w:r w:rsidRPr="00AB224C">
        <w:rPr>
          <w:rFonts w:ascii="Arial" w:hAnsi="Arial" w:cs="Arial"/>
          <w:b/>
          <w:bCs/>
          <w:sz w:val="22"/>
          <w:szCs w:val="22"/>
        </w:rPr>
        <w:t>Recommended Action</w:t>
      </w:r>
    </w:p>
    <w:p w14:paraId="4AD64DD7" w14:textId="701FC8A3" w:rsidR="00AB224C" w:rsidRPr="000C2D79" w:rsidRDefault="000C2D79" w:rsidP="000C2D79">
      <w:pPr>
        <w:pStyle w:val="ListParagraph"/>
        <w:numPr>
          <w:ilvl w:val="0"/>
          <w:numId w:val="14"/>
        </w:numPr>
        <w:spacing w:line="360" w:lineRule="auto"/>
        <w:rPr>
          <w:rFonts w:ascii="Arial" w:hAnsi="Arial" w:cs="Arial"/>
          <w:b/>
          <w:bCs/>
          <w:sz w:val="22"/>
          <w:szCs w:val="22"/>
        </w:rPr>
      </w:pPr>
      <w:r>
        <w:rPr>
          <w:rFonts w:ascii="Arial" w:hAnsi="Arial" w:cs="Arial"/>
          <w:sz w:val="22"/>
          <w:szCs w:val="22"/>
        </w:rPr>
        <w:t xml:space="preserve"> </w:t>
      </w:r>
      <w:r w:rsidR="00AB224C" w:rsidRPr="000C2D79">
        <w:rPr>
          <w:rFonts w:ascii="Arial" w:hAnsi="Arial" w:cs="Arial"/>
          <w:sz w:val="22"/>
          <w:szCs w:val="22"/>
        </w:rPr>
        <w:t>We should obtain a copy of any signed documentation regarding these gifts</w:t>
      </w:r>
    </w:p>
    <w:p w14:paraId="54ED2CB0" w14:textId="0EC4D3EE" w:rsidR="00AB224C" w:rsidRPr="00EE47E0" w:rsidRDefault="00AB224C" w:rsidP="00AB224C">
      <w:pPr>
        <w:pStyle w:val="ListParagraph"/>
        <w:numPr>
          <w:ilvl w:val="0"/>
          <w:numId w:val="14"/>
        </w:numPr>
        <w:spacing w:line="360" w:lineRule="auto"/>
        <w:rPr>
          <w:rFonts w:ascii="Arial" w:hAnsi="Arial" w:cs="Arial"/>
          <w:b/>
          <w:bCs/>
          <w:sz w:val="22"/>
          <w:szCs w:val="22"/>
        </w:rPr>
      </w:pPr>
      <w:r>
        <w:rPr>
          <w:rFonts w:ascii="Arial" w:hAnsi="Arial" w:cs="Arial"/>
          <w:sz w:val="22"/>
          <w:szCs w:val="22"/>
        </w:rPr>
        <w:t xml:space="preserve">If Mrs. </w:t>
      </w:r>
      <w:r w:rsidR="00EE47E0">
        <w:rPr>
          <w:rFonts w:ascii="Arial" w:hAnsi="Arial" w:cs="Arial"/>
          <w:sz w:val="22"/>
          <w:szCs w:val="22"/>
        </w:rPr>
        <w:t>Spain</w:t>
      </w:r>
      <w:r>
        <w:rPr>
          <w:rFonts w:ascii="Arial" w:hAnsi="Arial" w:cs="Arial"/>
          <w:sz w:val="22"/>
          <w:szCs w:val="22"/>
        </w:rPr>
        <w:t xml:space="preserve"> did not obtain</w:t>
      </w:r>
      <w:r w:rsidR="00EE47E0">
        <w:rPr>
          <w:rFonts w:ascii="Arial" w:hAnsi="Arial" w:cs="Arial"/>
          <w:sz w:val="22"/>
          <w:szCs w:val="22"/>
        </w:rPr>
        <w:t xml:space="preserve"> independent legal advice, we should decline the gifts to comply with SRA rules.</w:t>
      </w:r>
    </w:p>
    <w:p w14:paraId="7D9F4B57" w14:textId="248F2305" w:rsidR="00EE47E0" w:rsidRPr="00AB224C" w:rsidRDefault="00EE47E0" w:rsidP="00AB224C">
      <w:pPr>
        <w:pStyle w:val="ListParagraph"/>
        <w:numPr>
          <w:ilvl w:val="0"/>
          <w:numId w:val="14"/>
        </w:numPr>
        <w:spacing w:line="360" w:lineRule="auto"/>
        <w:rPr>
          <w:rFonts w:ascii="Arial" w:hAnsi="Arial" w:cs="Arial"/>
          <w:b/>
          <w:bCs/>
          <w:sz w:val="22"/>
          <w:szCs w:val="22"/>
        </w:rPr>
      </w:pPr>
      <w:r>
        <w:rPr>
          <w:rFonts w:ascii="Arial" w:hAnsi="Arial" w:cs="Arial"/>
          <w:sz w:val="22"/>
          <w:szCs w:val="22"/>
        </w:rPr>
        <w:t>If necessary, a retrospective assessment of Mrs. Spain capacity at the time of the gift could be sought from a medical professional.</w:t>
      </w:r>
    </w:p>
    <w:p w14:paraId="2E8671E5" w14:textId="77777777" w:rsidR="0084053B" w:rsidRPr="00911CEC" w:rsidRDefault="0084053B" w:rsidP="0084053B">
      <w:pPr>
        <w:spacing w:line="360" w:lineRule="auto"/>
        <w:rPr>
          <w:rFonts w:ascii="Arial" w:hAnsi="Arial" w:cs="Arial"/>
          <w:b/>
          <w:bCs/>
          <w:sz w:val="22"/>
          <w:szCs w:val="22"/>
        </w:rPr>
      </w:pPr>
    </w:p>
    <w:p w14:paraId="023CC0DC" w14:textId="38AEA4EB" w:rsidR="00245AF0" w:rsidRPr="00911CEC" w:rsidRDefault="00245AF0" w:rsidP="00245AF0">
      <w:pPr>
        <w:spacing w:line="360" w:lineRule="auto"/>
        <w:rPr>
          <w:rFonts w:ascii="Arial" w:hAnsi="Arial" w:cs="Arial"/>
          <w:b/>
          <w:bCs/>
          <w:sz w:val="22"/>
          <w:szCs w:val="22"/>
        </w:rPr>
      </w:pPr>
      <w:r w:rsidRPr="00911CEC">
        <w:rPr>
          <w:rFonts w:ascii="Arial" w:hAnsi="Arial" w:cs="Arial"/>
          <w:b/>
          <w:bCs/>
          <w:sz w:val="22"/>
          <w:szCs w:val="22"/>
        </w:rPr>
        <w:t xml:space="preserve">2. </w:t>
      </w:r>
      <w:r w:rsidR="00EE47E0">
        <w:rPr>
          <w:rFonts w:ascii="Arial" w:hAnsi="Arial" w:cs="Arial"/>
          <w:b/>
          <w:bCs/>
          <w:sz w:val="22"/>
          <w:szCs w:val="22"/>
        </w:rPr>
        <w:t>Ownership of the Gold and Transfer.</w:t>
      </w:r>
    </w:p>
    <w:p w14:paraId="1F8C2D66" w14:textId="6A193146" w:rsidR="0084053B" w:rsidRDefault="00803983" w:rsidP="0084053B">
      <w:pPr>
        <w:spacing w:line="360" w:lineRule="auto"/>
        <w:rPr>
          <w:rFonts w:ascii="Arial" w:hAnsi="Arial" w:cs="Arial"/>
          <w:sz w:val="22"/>
          <w:szCs w:val="22"/>
        </w:rPr>
      </w:pPr>
      <w:r>
        <w:rPr>
          <w:rFonts w:ascii="Arial" w:hAnsi="Arial" w:cs="Arial"/>
          <w:sz w:val="22"/>
          <w:szCs w:val="22"/>
        </w:rPr>
        <w:t xml:space="preserve">2.1 </w:t>
      </w:r>
      <w:r w:rsidR="0084053B" w:rsidRPr="00911CEC">
        <w:rPr>
          <w:rFonts w:ascii="Arial" w:hAnsi="Arial" w:cs="Arial"/>
          <w:sz w:val="22"/>
          <w:szCs w:val="22"/>
        </w:rPr>
        <w:t xml:space="preserve">Despite Fiona’s assertion that her mother provided for the gold as a “private legacy,” there is no mention of this in the will, and it means the gold forms part of the residuary estate under the </w:t>
      </w:r>
      <w:r w:rsidR="0084053B" w:rsidRPr="00E32553">
        <w:rPr>
          <w:rFonts w:ascii="Arial" w:hAnsi="Arial" w:cs="Arial"/>
          <w:i/>
          <w:iCs/>
          <w:sz w:val="22"/>
          <w:szCs w:val="22"/>
        </w:rPr>
        <w:t>Administration of Estates Act 1925</w:t>
      </w:r>
      <w:r w:rsidR="0084053B" w:rsidRPr="00911CEC">
        <w:rPr>
          <w:rFonts w:ascii="Arial" w:hAnsi="Arial" w:cs="Arial"/>
          <w:sz w:val="22"/>
          <w:szCs w:val="22"/>
        </w:rPr>
        <w:t>.</w:t>
      </w:r>
    </w:p>
    <w:p w14:paraId="4B0EDAA8" w14:textId="250ED357" w:rsidR="00803983" w:rsidRDefault="00803983" w:rsidP="0084053B">
      <w:pPr>
        <w:spacing w:line="360" w:lineRule="auto"/>
        <w:rPr>
          <w:rFonts w:ascii="Arial" w:hAnsi="Arial" w:cs="Arial"/>
          <w:sz w:val="22"/>
          <w:szCs w:val="22"/>
        </w:rPr>
      </w:pPr>
      <w:r>
        <w:rPr>
          <w:rFonts w:ascii="Arial" w:hAnsi="Arial" w:cs="Arial"/>
          <w:sz w:val="22"/>
          <w:szCs w:val="22"/>
        </w:rPr>
        <w:t xml:space="preserve">The case of </w:t>
      </w:r>
      <w:bookmarkStart w:id="3" w:name="_Hlk192872312"/>
      <w:r w:rsidRPr="00985D8F">
        <w:rPr>
          <w:rFonts w:ascii="Arial" w:hAnsi="Arial" w:cs="Arial"/>
          <w:i/>
          <w:iCs/>
          <w:sz w:val="22"/>
          <w:szCs w:val="22"/>
        </w:rPr>
        <w:t>Re Dennis [1981] 2 AII ER140</w:t>
      </w:r>
      <w:r>
        <w:rPr>
          <w:rFonts w:ascii="Arial" w:hAnsi="Arial" w:cs="Arial"/>
          <w:sz w:val="22"/>
          <w:szCs w:val="22"/>
        </w:rPr>
        <w:t xml:space="preserve"> </w:t>
      </w:r>
      <w:bookmarkEnd w:id="3"/>
      <w:r>
        <w:rPr>
          <w:rFonts w:ascii="Arial" w:hAnsi="Arial" w:cs="Arial"/>
          <w:sz w:val="22"/>
          <w:szCs w:val="22"/>
        </w:rPr>
        <w:t>establishes that for a gift to be legally binding outside of a will, there must be clear evidence of the deceased’s intent</w:t>
      </w:r>
      <w:r w:rsidR="00360D1F">
        <w:rPr>
          <w:rFonts w:ascii="Arial" w:hAnsi="Arial" w:cs="Arial"/>
          <w:sz w:val="22"/>
          <w:szCs w:val="22"/>
        </w:rPr>
        <w:t>.</w:t>
      </w:r>
      <w:r w:rsidR="001E7EF6" w:rsidRPr="00985D8F">
        <w:rPr>
          <w:rFonts w:ascii="Arial" w:hAnsi="Arial" w:cs="Arial"/>
          <w:i/>
          <w:iCs/>
          <w:sz w:val="22"/>
          <w:szCs w:val="22"/>
        </w:rPr>
        <w:t xml:space="preserve"> </w:t>
      </w:r>
      <w:bookmarkStart w:id="4" w:name="_Hlk192872371"/>
      <w:r w:rsidRPr="00985D8F">
        <w:rPr>
          <w:rFonts w:ascii="Arial" w:hAnsi="Arial" w:cs="Arial"/>
          <w:i/>
          <w:iCs/>
          <w:sz w:val="22"/>
          <w:szCs w:val="22"/>
        </w:rPr>
        <w:t xml:space="preserve">Jones v Lock [1865] 1 Ch App 25 </w:t>
      </w:r>
      <w:bookmarkEnd w:id="4"/>
      <w:r>
        <w:rPr>
          <w:rFonts w:ascii="Arial" w:hAnsi="Arial" w:cs="Arial"/>
          <w:sz w:val="22"/>
          <w:szCs w:val="22"/>
        </w:rPr>
        <w:t>held that a verbal statement of intent alone is insufficient to</w:t>
      </w:r>
      <w:r w:rsidR="00383BA0">
        <w:rPr>
          <w:rFonts w:ascii="Arial" w:hAnsi="Arial" w:cs="Arial"/>
          <w:sz w:val="22"/>
          <w:szCs w:val="22"/>
        </w:rPr>
        <w:t xml:space="preserve"> transfer</w:t>
      </w:r>
      <w:r>
        <w:rPr>
          <w:rFonts w:ascii="Arial" w:hAnsi="Arial" w:cs="Arial"/>
          <w:sz w:val="22"/>
          <w:szCs w:val="22"/>
        </w:rPr>
        <w:t xml:space="preserve"> ownership of an asset.</w:t>
      </w:r>
    </w:p>
    <w:p w14:paraId="1AD3541A" w14:textId="19F923F9" w:rsidR="00C756DB" w:rsidRDefault="00C756DB" w:rsidP="00C756DB">
      <w:pPr>
        <w:spacing w:line="360" w:lineRule="auto"/>
        <w:rPr>
          <w:rFonts w:ascii="Arial" w:hAnsi="Arial" w:cs="Arial"/>
          <w:sz w:val="22"/>
          <w:szCs w:val="22"/>
        </w:rPr>
      </w:pPr>
      <w:r>
        <w:rPr>
          <w:rFonts w:ascii="Arial" w:hAnsi="Arial" w:cs="Arial"/>
          <w:sz w:val="22"/>
          <w:szCs w:val="22"/>
        </w:rPr>
        <w:t>Although</w:t>
      </w:r>
      <w:r w:rsidRPr="00911CEC">
        <w:rPr>
          <w:rFonts w:ascii="Arial" w:hAnsi="Arial" w:cs="Arial"/>
          <w:sz w:val="22"/>
          <w:szCs w:val="22"/>
        </w:rPr>
        <w:t xml:space="preserve"> Fiona is a reliable character, transferring the gold secretly from her siblings poses a danger </w:t>
      </w:r>
      <w:r>
        <w:rPr>
          <w:rFonts w:ascii="Arial" w:hAnsi="Arial" w:cs="Arial"/>
          <w:sz w:val="22"/>
          <w:szCs w:val="22"/>
        </w:rPr>
        <w:t>to the estate being</w:t>
      </w:r>
      <w:r w:rsidRPr="00911CEC">
        <w:rPr>
          <w:rFonts w:ascii="Arial" w:hAnsi="Arial" w:cs="Arial"/>
          <w:sz w:val="22"/>
          <w:szCs w:val="22"/>
        </w:rPr>
        <w:t xml:space="preserve"> contested by Eric and James.</w:t>
      </w:r>
    </w:p>
    <w:p w14:paraId="3649917A" w14:textId="1A139DDB" w:rsidR="00803983" w:rsidRDefault="00803983" w:rsidP="0084053B">
      <w:pPr>
        <w:spacing w:line="360" w:lineRule="auto"/>
        <w:rPr>
          <w:rFonts w:ascii="Arial" w:hAnsi="Arial" w:cs="Arial"/>
          <w:sz w:val="22"/>
          <w:szCs w:val="22"/>
        </w:rPr>
      </w:pPr>
      <w:r>
        <w:rPr>
          <w:rFonts w:ascii="Arial" w:hAnsi="Arial" w:cs="Arial"/>
          <w:sz w:val="22"/>
          <w:szCs w:val="22"/>
        </w:rPr>
        <w:t>Since there is no documentary evidence supporting Fiona’s claim</w:t>
      </w:r>
      <w:r w:rsidR="001807A3">
        <w:rPr>
          <w:rFonts w:ascii="Arial" w:hAnsi="Arial" w:cs="Arial"/>
          <w:sz w:val="22"/>
          <w:szCs w:val="22"/>
        </w:rPr>
        <w:t xml:space="preserve"> at this moment</w:t>
      </w:r>
      <w:r>
        <w:rPr>
          <w:rFonts w:ascii="Arial" w:hAnsi="Arial" w:cs="Arial"/>
          <w:sz w:val="22"/>
          <w:szCs w:val="22"/>
        </w:rPr>
        <w:t>, the Gold must legally form part of the estate.</w:t>
      </w:r>
      <w:r w:rsidR="00EF07F9">
        <w:rPr>
          <w:rFonts w:ascii="Arial" w:hAnsi="Arial" w:cs="Arial"/>
          <w:sz w:val="22"/>
          <w:szCs w:val="22"/>
        </w:rPr>
        <w:t xml:space="preserve"> </w:t>
      </w:r>
    </w:p>
    <w:p w14:paraId="113257B0" w14:textId="23CD67CB" w:rsidR="00803983" w:rsidRPr="000C2D79" w:rsidRDefault="000C2D79" w:rsidP="000C2D79">
      <w:pPr>
        <w:spacing w:line="360" w:lineRule="auto"/>
        <w:rPr>
          <w:rFonts w:ascii="Arial" w:hAnsi="Arial" w:cs="Arial"/>
          <w:b/>
          <w:bCs/>
          <w:sz w:val="22"/>
          <w:szCs w:val="22"/>
        </w:rPr>
      </w:pPr>
      <w:r>
        <w:rPr>
          <w:rFonts w:ascii="Arial" w:hAnsi="Arial" w:cs="Arial"/>
          <w:b/>
          <w:bCs/>
          <w:sz w:val="22"/>
          <w:szCs w:val="22"/>
        </w:rPr>
        <w:t xml:space="preserve">2.2 </w:t>
      </w:r>
      <w:r w:rsidR="00803983" w:rsidRPr="000C2D79">
        <w:rPr>
          <w:rFonts w:ascii="Arial" w:hAnsi="Arial" w:cs="Arial"/>
          <w:b/>
          <w:bCs/>
          <w:sz w:val="22"/>
          <w:szCs w:val="22"/>
        </w:rPr>
        <w:t>Confidentiality and Ethical Obligations</w:t>
      </w:r>
      <w:r w:rsidR="00EF07F9">
        <w:rPr>
          <w:rFonts w:ascii="Arial" w:hAnsi="Arial" w:cs="Arial"/>
          <w:b/>
          <w:bCs/>
          <w:sz w:val="22"/>
          <w:szCs w:val="22"/>
        </w:rPr>
        <w:t xml:space="preserve"> </w:t>
      </w:r>
    </w:p>
    <w:p w14:paraId="3016A226" w14:textId="60B05D02" w:rsidR="00803983" w:rsidRPr="000C2D79" w:rsidRDefault="00803983" w:rsidP="000C2D79">
      <w:pPr>
        <w:spacing w:line="360" w:lineRule="auto"/>
        <w:rPr>
          <w:rFonts w:ascii="Arial" w:hAnsi="Arial" w:cs="Arial"/>
          <w:sz w:val="22"/>
          <w:szCs w:val="22"/>
        </w:rPr>
      </w:pPr>
      <w:r w:rsidRPr="000C2D79">
        <w:rPr>
          <w:rFonts w:ascii="Arial" w:hAnsi="Arial" w:cs="Arial"/>
          <w:sz w:val="22"/>
          <w:szCs w:val="22"/>
        </w:rPr>
        <w:t xml:space="preserve">Fiona’s request to keep this matter ‘secret’ conflicts with our fiduciary duties under the SRA Code of Conduct </w:t>
      </w:r>
      <w:r w:rsidRPr="002F0F95">
        <w:rPr>
          <w:rFonts w:ascii="Arial" w:hAnsi="Arial" w:cs="Arial"/>
          <w:i/>
          <w:iCs/>
          <w:sz w:val="22"/>
          <w:szCs w:val="22"/>
        </w:rPr>
        <w:t>(Principle 1 &amp; 5)</w:t>
      </w:r>
      <w:r w:rsidR="002F0F95">
        <w:rPr>
          <w:rFonts w:ascii="Arial" w:hAnsi="Arial" w:cs="Arial"/>
          <w:i/>
          <w:iCs/>
          <w:sz w:val="22"/>
          <w:szCs w:val="22"/>
        </w:rPr>
        <w:t>.</w:t>
      </w:r>
    </w:p>
    <w:p w14:paraId="22E29ED8" w14:textId="79722522" w:rsidR="00803983" w:rsidRPr="000C2D79" w:rsidRDefault="00803983" w:rsidP="000C2D79">
      <w:pPr>
        <w:spacing w:line="360" w:lineRule="auto"/>
        <w:rPr>
          <w:rFonts w:ascii="Arial" w:hAnsi="Arial" w:cs="Arial"/>
          <w:sz w:val="22"/>
          <w:szCs w:val="22"/>
        </w:rPr>
      </w:pPr>
      <w:r w:rsidRPr="000C2D79">
        <w:rPr>
          <w:rFonts w:ascii="Arial" w:hAnsi="Arial" w:cs="Arial"/>
          <w:sz w:val="22"/>
          <w:szCs w:val="22"/>
        </w:rPr>
        <w:t xml:space="preserve">In </w:t>
      </w:r>
      <w:r w:rsidRPr="00985D8F">
        <w:rPr>
          <w:rFonts w:ascii="Arial" w:hAnsi="Arial" w:cs="Arial"/>
          <w:i/>
          <w:iCs/>
          <w:sz w:val="22"/>
          <w:szCs w:val="22"/>
        </w:rPr>
        <w:t>Cowcher v Cowcher</w:t>
      </w:r>
      <w:r w:rsidR="002746DE" w:rsidRPr="00985D8F">
        <w:rPr>
          <w:rFonts w:ascii="Arial" w:hAnsi="Arial" w:cs="Arial"/>
          <w:i/>
          <w:iCs/>
          <w:sz w:val="22"/>
          <w:szCs w:val="22"/>
        </w:rPr>
        <w:t xml:space="preserve"> [1972] 1 WLR 425</w:t>
      </w:r>
      <w:r w:rsidR="002746DE" w:rsidRPr="000C2D79">
        <w:rPr>
          <w:rFonts w:ascii="Arial" w:hAnsi="Arial" w:cs="Arial"/>
          <w:sz w:val="22"/>
          <w:szCs w:val="22"/>
        </w:rPr>
        <w:t>, the court emphasized that solicitors must act impartially in estate matters.</w:t>
      </w:r>
    </w:p>
    <w:p w14:paraId="47D09742" w14:textId="6674D81A" w:rsidR="000C2D79" w:rsidRPr="001E7EF6" w:rsidRDefault="002746DE" w:rsidP="001E7EF6">
      <w:pPr>
        <w:spacing w:line="360" w:lineRule="auto"/>
        <w:rPr>
          <w:rFonts w:ascii="Arial" w:hAnsi="Arial" w:cs="Arial"/>
          <w:b/>
          <w:bCs/>
          <w:sz w:val="22"/>
          <w:szCs w:val="22"/>
        </w:rPr>
      </w:pPr>
      <w:r w:rsidRPr="000C2D79">
        <w:rPr>
          <w:rFonts w:ascii="Arial" w:hAnsi="Arial" w:cs="Arial"/>
          <w:b/>
          <w:bCs/>
          <w:sz w:val="22"/>
          <w:szCs w:val="22"/>
        </w:rPr>
        <w:t>Recommended Action</w:t>
      </w:r>
    </w:p>
    <w:p w14:paraId="26642161" w14:textId="77777777" w:rsidR="001E7EF6" w:rsidRDefault="001E7EF6" w:rsidP="001E7EF6">
      <w:pPr>
        <w:pStyle w:val="ListParagraph"/>
        <w:spacing w:line="360" w:lineRule="auto"/>
        <w:ind w:left="1452"/>
        <w:rPr>
          <w:rFonts w:ascii="Arial" w:hAnsi="Arial" w:cs="Arial"/>
          <w:sz w:val="22"/>
          <w:szCs w:val="22"/>
        </w:rPr>
      </w:pPr>
    </w:p>
    <w:p w14:paraId="576CA6C8" w14:textId="467A0F11" w:rsidR="001E7EF6" w:rsidRDefault="001E7EF6" w:rsidP="001E7EF6">
      <w:pPr>
        <w:pStyle w:val="ListParagraph"/>
        <w:numPr>
          <w:ilvl w:val="0"/>
          <w:numId w:val="16"/>
        </w:numPr>
        <w:spacing w:line="360" w:lineRule="auto"/>
        <w:rPr>
          <w:rFonts w:ascii="Arial" w:hAnsi="Arial" w:cs="Arial"/>
          <w:sz w:val="22"/>
          <w:szCs w:val="22"/>
        </w:rPr>
      </w:pPr>
      <w:r w:rsidRPr="00911CEC">
        <w:rPr>
          <w:rFonts w:ascii="Arial" w:hAnsi="Arial" w:cs="Arial"/>
          <w:sz w:val="22"/>
          <w:szCs w:val="22"/>
        </w:rPr>
        <w:lastRenderedPageBreak/>
        <w:t xml:space="preserve">Openness: While Fiona wanted to keep the gold inheritance a secret, it is important to disclose this to all the heirs and be transparent about the decision. If Fiona is genuine in her claim, it could be encapsulated through a family agreement that is put in writing. This would also give fairness, </w:t>
      </w:r>
      <w:r>
        <w:rPr>
          <w:rFonts w:ascii="Arial" w:hAnsi="Arial" w:cs="Arial"/>
          <w:sz w:val="22"/>
          <w:szCs w:val="22"/>
        </w:rPr>
        <w:t>which</w:t>
      </w:r>
      <w:r w:rsidRPr="00911CEC">
        <w:rPr>
          <w:rFonts w:ascii="Arial" w:hAnsi="Arial" w:cs="Arial"/>
          <w:sz w:val="22"/>
          <w:szCs w:val="22"/>
        </w:rPr>
        <w:t xml:space="preserve"> would help to eliminate possible future arguments on the division of property.</w:t>
      </w:r>
    </w:p>
    <w:p w14:paraId="5D89D66D" w14:textId="77777777" w:rsidR="001E7EF6" w:rsidRPr="001E7EF6" w:rsidRDefault="001E7EF6" w:rsidP="001E7EF6">
      <w:pPr>
        <w:pStyle w:val="ListParagraph"/>
        <w:spacing w:line="360" w:lineRule="auto"/>
        <w:ind w:left="1452"/>
        <w:rPr>
          <w:rFonts w:ascii="Arial" w:hAnsi="Arial" w:cs="Arial"/>
          <w:sz w:val="22"/>
          <w:szCs w:val="22"/>
        </w:rPr>
      </w:pPr>
    </w:p>
    <w:p w14:paraId="3FAF7CA2" w14:textId="11CB84ED" w:rsidR="00212EBE" w:rsidRPr="00212EBE" w:rsidRDefault="000C2D79" w:rsidP="00212EBE">
      <w:pPr>
        <w:pStyle w:val="ListParagraph"/>
        <w:numPr>
          <w:ilvl w:val="0"/>
          <w:numId w:val="16"/>
        </w:numPr>
        <w:spacing w:line="360" w:lineRule="auto"/>
        <w:rPr>
          <w:rFonts w:ascii="Arial" w:hAnsi="Arial" w:cs="Arial"/>
          <w:sz w:val="22"/>
          <w:szCs w:val="22"/>
        </w:rPr>
      </w:pPr>
      <w:r>
        <w:rPr>
          <w:rFonts w:ascii="Arial" w:hAnsi="Arial" w:cs="Arial"/>
          <w:sz w:val="22"/>
          <w:szCs w:val="22"/>
        </w:rPr>
        <w:t>If Fiona can provide evidence ( such as a written note or a signed declaration from Mrs. Spain), we can assess whether a constructive trust applies (</w:t>
      </w:r>
      <w:bookmarkStart w:id="5" w:name="_Hlk192872512"/>
      <w:r w:rsidRPr="00985D8F">
        <w:rPr>
          <w:rFonts w:ascii="Arial" w:hAnsi="Arial" w:cs="Arial"/>
          <w:i/>
          <w:iCs/>
          <w:sz w:val="22"/>
          <w:szCs w:val="22"/>
        </w:rPr>
        <w:t>Gissing v Gissing [1971] AC 886</w:t>
      </w:r>
      <w:bookmarkEnd w:id="5"/>
      <w:r>
        <w:rPr>
          <w:rFonts w:ascii="Arial" w:hAnsi="Arial" w:cs="Arial"/>
          <w:sz w:val="22"/>
          <w:szCs w:val="22"/>
        </w:rPr>
        <w:t>).</w:t>
      </w:r>
    </w:p>
    <w:p w14:paraId="479F2732" w14:textId="77777777" w:rsidR="00212EBE" w:rsidRPr="00212EBE" w:rsidRDefault="00212EBE" w:rsidP="00212EBE">
      <w:pPr>
        <w:pStyle w:val="ListParagraph"/>
        <w:spacing w:line="360" w:lineRule="auto"/>
        <w:ind w:left="1452"/>
        <w:rPr>
          <w:rFonts w:ascii="Arial" w:hAnsi="Arial" w:cs="Arial"/>
          <w:sz w:val="22"/>
          <w:szCs w:val="22"/>
        </w:rPr>
      </w:pPr>
    </w:p>
    <w:p w14:paraId="02ED962A" w14:textId="214A1302" w:rsidR="001E7EF6" w:rsidRPr="00360D1F" w:rsidRDefault="000C2D79" w:rsidP="00360D1F">
      <w:pPr>
        <w:pStyle w:val="ListParagraph"/>
        <w:numPr>
          <w:ilvl w:val="0"/>
          <w:numId w:val="16"/>
        </w:numPr>
        <w:spacing w:line="360" w:lineRule="auto"/>
        <w:rPr>
          <w:rFonts w:ascii="Arial" w:hAnsi="Arial" w:cs="Arial"/>
          <w:sz w:val="22"/>
          <w:szCs w:val="22"/>
        </w:rPr>
      </w:pPr>
      <w:r>
        <w:rPr>
          <w:rFonts w:ascii="Arial" w:hAnsi="Arial" w:cs="Arial"/>
          <w:sz w:val="22"/>
          <w:szCs w:val="22"/>
        </w:rPr>
        <w:t>If no such evidence exists, the gold must be distributed under the residuary clause of the will.</w:t>
      </w:r>
    </w:p>
    <w:p w14:paraId="02B15884" w14:textId="608B16E4" w:rsidR="000C2D79" w:rsidRDefault="000C2D79" w:rsidP="000C2D79">
      <w:pPr>
        <w:spacing w:line="360" w:lineRule="auto"/>
        <w:rPr>
          <w:rFonts w:ascii="Arial" w:hAnsi="Arial" w:cs="Arial"/>
          <w:b/>
          <w:bCs/>
          <w:sz w:val="22"/>
          <w:szCs w:val="22"/>
        </w:rPr>
      </w:pPr>
      <w:r>
        <w:rPr>
          <w:rFonts w:ascii="Arial" w:hAnsi="Arial" w:cs="Arial"/>
          <w:b/>
          <w:bCs/>
          <w:sz w:val="22"/>
          <w:szCs w:val="22"/>
        </w:rPr>
        <w:t>Conclusion</w:t>
      </w:r>
    </w:p>
    <w:p w14:paraId="4D255E48" w14:textId="2593575E" w:rsidR="001807A3" w:rsidRPr="00911CEC" w:rsidRDefault="001807A3" w:rsidP="001807A3">
      <w:pPr>
        <w:spacing w:line="360" w:lineRule="auto"/>
        <w:rPr>
          <w:rFonts w:ascii="Arial" w:hAnsi="Arial" w:cs="Arial"/>
          <w:sz w:val="22"/>
          <w:szCs w:val="22"/>
        </w:rPr>
      </w:pPr>
      <w:r w:rsidRPr="00911CEC">
        <w:rPr>
          <w:rFonts w:ascii="Arial" w:hAnsi="Arial" w:cs="Arial"/>
          <w:sz w:val="22"/>
          <w:szCs w:val="22"/>
        </w:rPr>
        <w:t xml:space="preserve">While the gifts </w:t>
      </w:r>
      <w:r>
        <w:rPr>
          <w:rFonts w:ascii="Arial" w:hAnsi="Arial" w:cs="Arial"/>
          <w:sz w:val="22"/>
          <w:szCs w:val="22"/>
        </w:rPr>
        <w:t>to</w:t>
      </w:r>
      <w:r w:rsidRPr="00911CEC">
        <w:rPr>
          <w:rFonts w:ascii="Arial" w:hAnsi="Arial" w:cs="Arial"/>
          <w:sz w:val="22"/>
          <w:szCs w:val="22"/>
        </w:rPr>
        <w:t xml:space="preserve"> you, and to me are clear, the gold inheritance poses some challenges in the best way that it shall be distributed fairly to avoid major conflict. </w:t>
      </w:r>
      <w:r>
        <w:rPr>
          <w:rFonts w:ascii="Arial" w:hAnsi="Arial" w:cs="Arial"/>
          <w:sz w:val="22"/>
          <w:szCs w:val="22"/>
        </w:rPr>
        <w:t>In</w:t>
      </w:r>
      <w:r w:rsidRPr="00911CEC">
        <w:rPr>
          <w:rFonts w:ascii="Arial" w:hAnsi="Arial" w:cs="Arial"/>
          <w:sz w:val="22"/>
          <w:szCs w:val="22"/>
        </w:rPr>
        <w:t xml:space="preserve"> Wintle v Nye case, it </w:t>
      </w:r>
      <w:r w:rsidR="00696C37">
        <w:rPr>
          <w:rFonts w:ascii="Arial" w:hAnsi="Arial" w:cs="Arial"/>
          <w:sz w:val="22"/>
          <w:szCs w:val="22"/>
        </w:rPr>
        <w:t>was</w:t>
      </w:r>
      <w:r w:rsidRPr="00911CEC">
        <w:rPr>
          <w:rFonts w:ascii="Arial" w:hAnsi="Arial" w:cs="Arial"/>
          <w:sz w:val="22"/>
          <w:szCs w:val="22"/>
        </w:rPr>
        <w:t xml:space="preserve"> stated that any gift made under rather doubtful circumstances and the gift which have not been mentioned in the will at all</w:t>
      </w:r>
      <w:r>
        <w:rPr>
          <w:rFonts w:ascii="Arial" w:hAnsi="Arial" w:cs="Arial"/>
          <w:sz w:val="22"/>
          <w:szCs w:val="22"/>
        </w:rPr>
        <w:t xml:space="preserve"> may potentially trigger a </w:t>
      </w:r>
      <w:r w:rsidRPr="00911CEC">
        <w:rPr>
          <w:rFonts w:ascii="Arial" w:hAnsi="Arial" w:cs="Arial"/>
          <w:sz w:val="22"/>
          <w:szCs w:val="22"/>
        </w:rPr>
        <w:t xml:space="preserve">future legal </w:t>
      </w:r>
      <w:r w:rsidR="00212EBE">
        <w:rPr>
          <w:rFonts w:ascii="Arial" w:hAnsi="Arial" w:cs="Arial"/>
          <w:sz w:val="22"/>
          <w:szCs w:val="22"/>
        </w:rPr>
        <w:t>concern</w:t>
      </w:r>
      <w:r w:rsidRPr="00911CEC">
        <w:rPr>
          <w:rFonts w:ascii="Arial" w:hAnsi="Arial" w:cs="Arial"/>
          <w:sz w:val="22"/>
          <w:szCs w:val="22"/>
        </w:rPr>
        <w:t xml:space="preserve">. To address this issue effectively, transparency must form a central part of </w:t>
      </w:r>
      <w:r>
        <w:rPr>
          <w:rFonts w:ascii="Arial" w:hAnsi="Arial" w:cs="Arial"/>
          <w:sz w:val="22"/>
          <w:szCs w:val="22"/>
        </w:rPr>
        <w:t>our approach.</w:t>
      </w:r>
    </w:p>
    <w:p w14:paraId="2D9ED649" w14:textId="3DE4DE61" w:rsidR="001807A3" w:rsidRPr="00911CEC" w:rsidRDefault="001807A3" w:rsidP="001807A3">
      <w:pPr>
        <w:spacing w:line="360" w:lineRule="auto"/>
        <w:rPr>
          <w:rFonts w:ascii="Arial" w:hAnsi="Arial" w:cs="Arial"/>
          <w:sz w:val="22"/>
          <w:szCs w:val="22"/>
        </w:rPr>
      </w:pPr>
      <w:r w:rsidRPr="00911CEC">
        <w:rPr>
          <w:rFonts w:ascii="Arial" w:hAnsi="Arial" w:cs="Arial"/>
          <w:sz w:val="22"/>
          <w:szCs w:val="22"/>
        </w:rPr>
        <w:t xml:space="preserve">If you </w:t>
      </w:r>
      <w:r>
        <w:rPr>
          <w:rFonts w:ascii="Arial" w:hAnsi="Arial" w:cs="Arial"/>
          <w:sz w:val="22"/>
          <w:szCs w:val="22"/>
        </w:rPr>
        <w:t>need</w:t>
      </w:r>
      <w:r w:rsidRPr="00911CEC">
        <w:rPr>
          <w:rFonts w:ascii="Arial" w:hAnsi="Arial" w:cs="Arial"/>
          <w:sz w:val="22"/>
          <w:szCs w:val="22"/>
        </w:rPr>
        <w:t xml:space="preserve"> me to do </w:t>
      </w:r>
      <w:r w:rsidR="00696C37">
        <w:rPr>
          <w:rFonts w:ascii="Arial" w:hAnsi="Arial" w:cs="Arial"/>
          <w:sz w:val="22"/>
          <w:szCs w:val="22"/>
        </w:rPr>
        <w:t>anything</w:t>
      </w:r>
      <w:r w:rsidRPr="00911CEC">
        <w:rPr>
          <w:rFonts w:ascii="Arial" w:hAnsi="Arial" w:cs="Arial"/>
          <w:sz w:val="22"/>
          <w:szCs w:val="22"/>
        </w:rPr>
        <w:t xml:space="preserve"> further or if you have</w:t>
      </w:r>
      <w:r w:rsidR="00696C37">
        <w:rPr>
          <w:rFonts w:ascii="Arial" w:hAnsi="Arial" w:cs="Arial"/>
          <w:sz w:val="22"/>
          <w:szCs w:val="22"/>
        </w:rPr>
        <w:t xml:space="preserve"> any</w:t>
      </w:r>
      <w:r w:rsidRPr="00911CEC">
        <w:rPr>
          <w:rFonts w:ascii="Arial" w:hAnsi="Arial" w:cs="Arial"/>
          <w:sz w:val="22"/>
          <w:szCs w:val="22"/>
        </w:rPr>
        <w:t xml:space="preserve"> questions </w:t>
      </w:r>
      <w:r>
        <w:rPr>
          <w:rFonts w:ascii="Arial" w:hAnsi="Arial" w:cs="Arial"/>
          <w:sz w:val="22"/>
          <w:szCs w:val="22"/>
        </w:rPr>
        <w:t>or</w:t>
      </w:r>
      <w:r w:rsidRPr="00911CEC">
        <w:rPr>
          <w:rFonts w:ascii="Arial" w:hAnsi="Arial" w:cs="Arial"/>
          <w:sz w:val="22"/>
          <w:szCs w:val="22"/>
        </w:rPr>
        <w:t xml:space="preserve"> concerns, please do not hesitate to inform me.</w:t>
      </w:r>
    </w:p>
    <w:p w14:paraId="620F9A18" w14:textId="18860601" w:rsidR="00C756DB" w:rsidRDefault="00C756DB" w:rsidP="000C2D79">
      <w:pPr>
        <w:spacing w:line="360" w:lineRule="auto"/>
        <w:rPr>
          <w:rFonts w:ascii="Arial" w:hAnsi="Arial" w:cs="Arial"/>
          <w:sz w:val="22"/>
          <w:szCs w:val="22"/>
        </w:rPr>
      </w:pPr>
    </w:p>
    <w:p w14:paraId="0D87E419" w14:textId="77777777" w:rsidR="00C756DB" w:rsidRDefault="00C756DB" w:rsidP="000C2D79">
      <w:pPr>
        <w:spacing w:line="360" w:lineRule="auto"/>
        <w:rPr>
          <w:rFonts w:ascii="Arial" w:hAnsi="Arial" w:cs="Arial"/>
          <w:sz w:val="22"/>
          <w:szCs w:val="22"/>
        </w:rPr>
      </w:pPr>
    </w:p>
    <w:p w14:paraId="6F755479" w14:textId="104875AA" w:rsidR="00C756DB" w:rsidRDefault="00C756DB" w:rsidP="000C2D79">
      <w:pPr>
        <w:spacing w:line="360" w:lineRule="auto"/>
        <w:rPr>
          <w:rFonts w:ascii="Arial" w:hAnsi="Arial" w:cs="Arial"/>
          <w:sz w:val="22"/>
          <w:szCs w:val="22"/>
        </w:rPr>
      </w:pPr>
      <w:r>
        <w:rPr>
          <w:rFonts w:ascii="Arial" w:hAnsi="Arial" w:cs="Arial"/>
          <w:sz w:val="22"/>
          <w:szCs w:val="22"/>
        </w:rPr>
        <w:t>Best regards,</w:t>
      </w:r>
    </w:p>
    <w:p w14:paraId="352EE23D" w14:textId="4A05E3D5" w:rsidR="00C756DB" w:rsidRDefault="00C756DB" w:rsidP="000C2D79">
      <w:pPr>
        <w:spacing w:line="360" w:lineRule="auto"/>
        <w:rPr>
          <w:rFonts w:ascii="Arial" w:hAnsi="Arial" w:cs="Arial"/>
          <w:sz w:val="22"/>
          <w:szCs w:val="22"/>
        </w:rPr>
      </w:pPr>
      <w:r>
        <w:rPr>
          <w:rFonts w:ascii="Arial" w:hAnsi="Arial" w:cs="Arial"/>
          <w:sz w:val="22"/>
          <w:szCs w:val="22"/>
        </w:rPr>
        <w:t>Mihaela Gavrila</w:t>
      </w:r>
    </w:p>
    <w:p w14:paraId="73B3232D" w14:textId="10A14ADE" w:rsidR="00C756DB" w:rsidRDefault="00C756DB" w:rsidP="000C2D79">
      <w:pPr>
        <w:spacing w:line="360" w:lineRule="auto"/>
        <w:rPr>
          <w:rFonts w:ascii="Arial" w:hAnsi="Arial" w:cs="Arial"/>
          <w:sz w:val="22"/>
          <w:szCs w:val="22"/>
        </w:rPr>
      </w:pPr>
      <w:r>
        <w:rPr>
          <w:rFonts w:ascii="Arial" w:hAnsi="Arial" w:cs="Arial"/>
          <w:sz w:val="22"/>
          <w:szCs w:val="22"/>
        </w:rPr>
        <w:t xml:space="preserve">Trainee Solicitor </w:t>
      </w:r>
    </w:p>
    <w:p w14:paraId="27B13A17" w14:textId="44FB7CB1" w:rsidR="00C756DB" w:rsidRPr="000C2D79" w:rsidRDefault="00C756DB" w:rsidP="000C2D79">
      <w:pPr>
        <w:spacing w:line="360" w:lineRule="auto"/>
        <w:rPr>
          <w:rFonts w:ascii="Arial" w:hAnsi="Arial" w:cs="Arial"/>
          <w:sz w:val="22"/>
          <w:szCs w:val="22"/>
        </w:rPr>
      </w:pPr>
      <w:r>
        <w:rPr>
          <w:rFonts w:ascii="Arial" w:hAnsi="Arial" w:cs="Arial"/>
          <w:sz w:val="22"/>
          <w:szCs w:val="22"/>
        </w:rPr>
        <w:t>Blue light Law LLP</w:t>
      </w:r>
    </w:p>
    <w:p w14:paraId="1CE05951" w14:textId="77777777" w:rsidR="00245AF0" w:rsidRDefault="00245AF0" w:rsidP="00C707DE">
      <w:pPr>
        <w:spacing w:line="360" w:lineRule="auto"/>
        <w:rPr>
          <w:rFonts w:ascii="Arial" w:hAnsi="Arial" w:cs="Arial"/>
          <w:sz w:val="22"/>
          <w:szCs w:val="22"/>
        </w:rPr>
      </w:pPr>
    </w:p>
    <w:p w14:paraId="67CFF940" w14:textId="77777777" w:rsidR="007E141F" w:rsidRDefault="007E141F" w:rsidP="00C707DE">
      <w:pPr>
        <w:spacing w:line="360" w:lineRule="auto"/>
        <w:rPr>
          <w:rFonts w:ascii="Arial" w:hAnsi="Arial" w:cs="Arial"/>
          <w:sz w:val="22"/>
          <w:szCs w:val="22"/>
        </w:rPr>
      </w:pPr>
    </w:p>
    <w:p w14:paraId="1F839F55" w14:textId="77777777" w:rsidR="007E141F" w:rsidRDefault="007E141F" w:rsidP="00C707DE">
      <w:pPr>
        <w:spacing w:line="360" w:lineRule="auto"/>
        <w:rPr>
          <w:rFonts w:ascii="Arial" w:hAnsi="Arial" w:cs="Arial"/>
          <w:sz w:val="22"/>
          <w:szCs w:val="22"/>
        </w:rPr>
      </w:pPr>
    </w:p>
    <w:p w14:paraId="4AC08189" w14:textId="77777777" w:rsidR="007E141F" w:rsidRDefault="007E141F" w:rsidP="00C707DE">
      <w:pPr>
        <w:spacing w:line="360" w:lineRule="auto"/>
        <w:rPr>
          <w:rFonts w:ascii="Arial" w:hAnsi="Arial" w:cs="Arial"/>
          <w:sz w:val="22"/>
          <w:szCs w:val="22"/>
        </w:rPr>
      </w:pPr>
    </w:p>
    <w:p w14:paraId="75675AB6" w14:textId="77777777" w:rsidR="00911CEC" w:rsidRPr="00911CEC" w:rsidRDefault="00911CEC" w:rsidP="00C707DE">
      <w:pPr>
        <w:spacing w:line="360" w:lineRule="auto"/>
        <w:rPr>
          <w:rFonts w:ascii="Arial" w:hAnsi="Arial" w:cs="Arial"/>
          <w:sz w:val="22"/>
          <w:szCs w:val="22"/>
        </w:rPr>
      </w:pPr>
    </w:p>
    <w:p w14:paraId="529441B0" w14:textId="258100DA" w:rsidR="00C707DE" w:rsidRPr="00911CEC" w:rsidRDefault="00245AF0" w:rsidP="00C707DE">
      <w:pPr>
        <w:spacing w:line="360" w:lineRule="auto"/>
        <w:rPr>
          <w:rFonts w:ascii="Arial" w:hAnsi="Arial" w:cs="Arial"/>
          <w:b/>
          <w:bCs/>
          <w:sz w:val="22"/>
          <w:szCs w:val="22"/>
        </w:rPr>
      </w:pPr>
      <w:r w:rsidRPr="00911CEC">
        <w:rPr>
          <w:rFonts w:ascii="Arial" w:hAnsi="Arial" w:cs="Arial"/>
          <w:b/>
          <w:bCs/>
          <w:sz w:val="22"/>
          <w:szCs w:val="22"/>
        </w:rPr>
        <w:t>TASK 2:</w:t>
      </w:r>
    </w:p>
    <w:p w14:paraId="0F1C5E5E" w14:textId="37805B20" w:rsidR="00BC30FB" w:rsidRPr="00911CEC" w:rsidRDefault="00BC30FB" w:rsidP="00C707DE">
      <w:pPr>
        <w:spacing w:line="360" w:lineRule="auto"/>
        <w:rPr>
          <w:rFonts w:ascii="Arial" w:hAnsi="Arial" w:cs="Arial"/>
          <w:b/>
          <w:bCs/>
          <w:sz w:val="22"/>
          <w:szCs w:val="22"/>
        </w:rPr>
      </w:pPr>
      <w:r w:rsidRPr="00911CEC">
        <w:rPr>
          <w:rFonts w:ascii="Arial" w:hAnsi="Arial" w:cs="Arial"/>
          <w:b/>
          <w:bCs/>
          <w:sz w:val="22"/>
          <w:szCs w:val="22"/>
        </w:rPr>
        <w:t>Article</w:t>
      </w:r>
    </w:p>
    <w:p w14:paraId="16B1B307" w14:textId="51AEF656" w:rsidR="008E22AA" w:rsidRPr="008E22AA" w:rsidRDefault="00C707DE" w:rsidP="00C707DE">
      <w:pPr>
        <w:spacing w:line="360" w:lineRule="auto"/>
        <w:rPr>
          <w:rFonts w:ascii="Arial" w:hAnsi="Arial" w:cs="Arial"/>
          <w:b/>
          <w:bCs/>
          <w:sz w:val="22"/>
          <w:szCs w:val="22"/>
        </w:rPr>
      </w:pPr>
      <w:r w:rsidRPr="00911CEC">
        <w:rPr>
          <w:rFonts w:ascii="Arial" w:hAnsi="Arial" w:cs="Arial"/>
          <w:b/>
          <w:bCs/>
          <w:sz w:val="22"/>
          <w:szCs w:val="22"/>
        </w:rPr>
        <w:t>Proposed Reforms to Inheritance Tax: Changes to Agricultural and Business Property Reliefs</w:t>
      </w:r>
    </w:p>
    <w:p w14:paraId="602D5DBD" w14:textId="3BF1916C" w:rsidR="00911CEC" w:rsidRPr="00911CEC" w:rsidRDefault="00911CEC" w:rsidP="00911CEC">
      <w:pPr>
        <w:spacing w:line="360" w:lineRule="auto"/>
        <w:rPr>
          <w:rFonts w:ascii="Arial" w:hAnsi="Arial" w:cs="Arial"/>
          <w:sz w:val="22"/>
          <w:szCs w:val="22"/>
        </w:rPr>
      </w:pPr>
      <w:r w:rsidRPr="00911CEC">
        <w:rPr>
          <w:rFonts w:ascii="Arial" w:hAnsi="Arial" w:cs="Arial"/>
          <w:sz w:val="22"/>
          <w:szCs w:val="22"/>
        </w:rPr>
        <w:t>In October 2024</w:t>
      </w:r>
      <w:r>
        <w:rPr>
          <w:rFonts w:ascii="Arial" w:hAnsi="Arial" w:cs="Arial"/>
          <w:sz w:val="22"/>
          <w:szCs w:val="22"/>
        </w:rPr>
        <w:t>, the UK government unveiled major changes to the Inheritance Tax (IHT) and, more specifically,</w:t>
      </w:r>
      <w:r w:rsidRPr="00911CEC">
        <w:rPr>
          <w:rFonts w:ascii="Arial" w:hAnsi="Arial" w:cs="Arial"/>
          <w:sz w:val="22"/>
          <w:szCs w:val="22"/>
        </w:rPr>
        <w:t xml:space="preserve"> a restriction of the 100% relief of APR and BPR to £1m total value of an estate from April 2026. The goal of this reform is to eliminate tax evasion, close loopholes and make proper taxation of agricultural and business entities.</w:t>
      </w:r>
    </w:p>
    <w:p w14:paraId="4771F340" w14:textId="03D54356" w:rsidR="00911CEC" w:rsidRPr="00911CEC" w:rsidRDefault="00911CEC" w:rsidP="00911CEC">
      <w:pPr>
        <w:spacing w:line="360" w:lineRule="auto"/>
        <w:rPr>
          <w:rFonts w:ascii="Arial" w:hAnsi="Arial" w:cs="Arial"/>
          <w:sz w:val="22"/>
          <w:szCs w:val="22"/>
        </w:rPr>
      </w:pPr>
      <w:r w:rsidRPr="00911CEC">
        <w:rPr>
          <w:rFonts w:ascii="Arial" w:hAnsi="Arial" w:cs="Arial"/>
          <w:sz w:val="22"/>
          <w:szCs w:val="22"/>
        </w:rPr>
        <w:t>Currently, IHT is levied at 40% on estates above £325,000</w:t>
      </w:r>
      <w:r>
        <w:rPr>
          <w:rFonts w:ascii="Arial" w:hAnsi="Arial" w:cs="Arial"/>
          <w:sz w:val="22"/>
          <w:szCs w:val="22"/>
        </w:rPr>
        <w:t xml:space="preserve">, and few reliefs are in place. These include converting the unused portion of the nil-rate band between spouses and raising the threshold for passing a primary residence to descendants to £500,000 (Seely &amp; Keep, 2024). Both APR and BPR </w:t>
      </w:r>
      <w:r w:rsidRPr="00911CEC">
        <w:rPr>
          <w:rFonts w:ascii="Arial" w:hAnsi="Arial" w:cs="Arial"/>
          <w:sz w:val="22"/>
          <w:szCs w:val="22"/>
        </w:rPr>
        <w:t>award 100% relief on agricultural and business assets, substantially decreasing the tax base of such estates.</w:t>
      </w:r>
    </w:p>
    <w:p w14:paraId="798DC50C" w14:textId="77777777" w:rsidR="00911CEC" w:rsidRPr="00911CEC" w:rsidRDefault="00911CEC" w:rsidP="00911CEC">
      <w:pPr>
        <w:spacing w:line="360" w:lineRule="auto"/>
        <w:rPr>
          <w:rFonts w:ascii="Arial" w:hAnsi="Arial" w:cs="Arial"/>
          <w:sz w:val="22"/>
          <w:szCs w:val="22"/>
        </w:rPr>
      </w:pPr>
      <w:r w:rsidRPr="00911CEC">
        <w:rPr>
          <w:rFonts w:ascii="Arial" w:hAnsi="Arial" w:cs="Arial"/>
          <w:sz w:val="22"/>
          <w:szCs w:val="22"/>
        </w:rPr>
        <w:t>The changes will reduce the combined worth of AP and BP, which is claimed by many applicants, by setting its limit at £1 million for agriculture and business purposes under APR and BPR. Any estates in excess of this will have their reliefs cut, which will create partial taxation for most big farmland and business property. This change is intended to reduce the abuse of these reliefs by individuals with high levels of income while supporting small businesses and genuine farming ventures (Advani &amp; Sturrock, 2023).</w:t>
      </w:r>
    </w:p>
    <w:p w14:paraId="5FD08778" w14:textId="5FC9CD63" w:rsidR="00C707DE" w:rsidRDefault="00911CEC" w:rsidP="00911CEC">
      <w:pPr>
        <w:spacing w:line="360" w:lineRule="auto"/>
        <w:rPr>
          <w:rFonts w:ascii="Arial" w:hAnsi="Arial" w:cs="Arial"/>
          <w:sz w:val="22"/>
          <w:szCs w:val="22"/>
        </w:rPr>
      </w:pPr>
      <w:r w:rsidRPr="00911CEC">
        <w:rPr>
          <w:rFonts w:ascii="Arial" w:hAnsi="Arial" w:cs="Arial"/>
          <w:sz w:val="22"/>
          <w:szCs w:val="22"/>
        </w:rPr>
        <w:t xml:space="preserve">The need to reform this area stems from </w:t>
      </w:r>
      <w:r>
        <w:rPr>
          <w:rFonts w:ascii="Arial" w:hAnsi="Arial" w:cs="Arial"/>
          <w:sz w:val="22"/>
          <w:szCs w:val="22"/>
        </w:rPr>
        <w:t xml:space="preserve">the apprehension that more wealth is now shielded by these reliefs. In </w:t>
      </w:r>
      <w:r w:rsidRPr="00911CEC">
        <w:rPr>
          <w:rFonts w:ascii="Arial" w:hAnsi="Arial" w:cs="Arial"/>
          <w:sz w:val="22"/>
          <w:szCs w:val="22"/>
        </w:rPr>
        <w:t>2020/21, only 3.73% of UK estates paid IHT, but the wealth beyond tax was £28.75 billion (Seely &amp; Keep, 2024). The government seeks to make this process fair by using the new cap to allow only deserving estates to benefit from these reliefs.</w:t>
      </w:r>
    </w:p>
    <w:p w14:paraId="774DDEFF" w14:textId="77777777" w:rsidR="00911CEC" w:rsidRPr="00911CEC" w:rsidRDefault="00911CEC" w:rsidP="00911CEC">
      <w:pPr>
        <w:spacing w:line="360" w:lineRule="auto"/>
        <w:rPr>
          <w:rFonts w:ascii="Arial" w:hAnsi="Arial" w:cs="Arial"/>
          <w:sz w:val="22"/>
          <w:szCs w:val="22"/>
        </w:rPr>
      </w:pPr>
    </w:p>
    <w:p w14:paraId="45FBB0A5" w14:textId="77777777" w:rsidR="00C707DE" w:rsidRPr="00911CEC" w:rsidRDefault="00C707DE" w:rsidP="00C707DE">
      <w:pPr>
        <w:spacing w:line="360" w:lineRule="auto"/>
        <w:rPr>
          <w:rFonts w:ascii="Arial" w:hAnsi="Arial" w:cs="Arial"/>
          <w:i/>
          <w:iCs/>
          <w:sz w:val="22"/>
          <w:szCs w:val="22"/>
        </w:rPr>
      </w:pPr>
      <w:r w:rsidRPr="00911CEC">
        <w:rPr>
          <w:noProof/>
        </w:rPr>
        <w:lastRenderedPageBreak/>
        <w:drawing>
          <wp:inline distT="0" distB="0" distL="0" distR="0" wp14:anchorId="2832A892" wp14:editId="5F868867">
            <wp:extent cx="3948989" cy="2257168"/>
            <wp:effectExtent l="0" t="0" r="0" b="0"/>
            <wp:docPr id="167087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70764" name=""/>
                    <pic:cNvPicPr/>
                  </pic:nvPicPr>
                  <pic:blipFill>
                    <a:blip r:embed="rId8"/>
                    <a:stretch>
                      <a:fillRect/>
                    </a:stretch>
                  </pic:blipFill>
                  <pic:spPr>
                    <a:xfrm>
                      <a:off x="0" y="0"/>
                      <a:ext cx="3961768" cy="2264472"/>
                    </a:xfrm>
                    <a:prstGeom prst="rect">
                      <a:avLst/>
                    </a:prstGeom>
                  </pic:spPr>
                </pic:pic>
              </a:graphicData>
            </a:graphic>
          </wp:inline>
        </w:drawing>
      </w:r>
    </w:p>
    <w:p w14:paraId="646043B0" w14:textId="4F60B63B" w:rsidR="00C707DE" w:rsidRPr="00911CEC" w:rsidRDefault="00C707DE" w:rsidP="00C707DE">
      <w:pPr>
        <w:spacing w:line="360" w:lineRule="auto"/>
        <w:rPr>
          <w:rFonts w:ascii="Arial" w:hAnsi="Arial" w:cs="Arial"/>
          <w:sz w:val="22"/>
          <w:szCs w:val="22"/>
        </w:rPr>
      </w:pPr>
      <w:r w:rsidRPr="00911CEC">
        <w:rPr>
          <w:rFonts w:ascii="Arial" w:hAnsi="Arial" w:cs="Arial"/>
          <w:sz w:val="22"/>
          <w:szCs w:val="22"/>
        </w:rPr>
        <w:br/>
      </w:r>
      <w:r w:rsidRPr="00911CEC">
        <w:rPr>
          <w:rFonts w:ascii="Arial" w:hAnsi="Arial" w:cs="Arial"/>
          <w:i/>
          <w:iCs/>
          <w:sz w:val="22"/>
          <w:szCs w:val="22"/>
        </w:rPr>
        <w:t>Figure 1: Average effective tax rate of taxpaying estates and share of notified estates of at least £300,000, by lower-limit net value, 2020–21</w:t>
      </w:r>
      <w:r w:rsidRPr="00911CEC">
        <w:rPr>
          <w:rFonts w:ascii="Arial" w:hAnsi="Arial" w:cs="Arial"/>
          <w:sz w:val="22"/>
          <w:szCs w:val="22"/>
        </w:rPr>
        <w:br/>
        <w:t>Source: Advani &amp; Sturrock (2023).</w:t>
      </w:r>
    </w:p>
    <w:p w14:paraId="187EF4FC" w14:textId="6C9B055C"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These changes may </w:t>
      </w:r>
      <w:r w:rsidR="00911CEC">
        <w:rPr>
          <w:rFonts w:ascii="Arial" w:hAnsi="Arial" w:cs="Arial"/>
          <w:sz w:val="22"/>
          <w:szCs w:val="22"/>
        </w:rPr>
        <w:t xml:space="preserve">increase the tax brackets for individuals with large estates. Business owners </w:t>
      </w:r>
      <w:r w:rsidRPr="00911CEC">
        <w:rPr>
          <w:rFonts w:ascii="Arial" w:hAnsi="Arial" w:cs="Arial"/>
          <w:sz w:val="22"/>
          <w:szCs w:val="22"/>
        </w:rPr>
        <w:t>and farmers ought to consider how these changes affect their estate planning. Nonetheless, smaller estates are irrelevant to the new cap that has been set.</w:t>
      </w:r>
    </w:p>
    <w:p w14:paraId="59891A7F" w14:textId="77777777"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Keywords:</w:t>
      </w:r>
    </w:p>
    <w:p w14:paraId="7BCA67C1" w14:textId="77777777"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Inheritance Tax (IHT) – A tax paid by the congregation after the death of an individual beyond a particular value.</w:t>
      </w:r>
    </w:p>
    <w:p w14:paraId="77B36367" w14:textId="2D686BC6" w:rsidR="00BC30FB" w:rsidRDefault="00A42DB9" w:rsidP="00D54AC9">
      <w:pPr>
        <w:spacing w:line="360" w:lineRule="auto"/>
        <w:rPr>
          <w:rFonts w:ascii="Arial" w:hAnsi="Arial" w:cs="Arial"/>
          <w:sz w:val="22"/>
          <w:szCs w:val="22"/>
        </w:rPr>
      </w:pPr>
      <w:r>
        <w:rPr>
          <w:rFonts w:ascii="Arial" w:hAnsi="Arial" w:cs="Arial"/>
          <w:sz w:val="22"/>
          <w:szCs w:val="22"/>
        </w:rPr>
        <w:t>Business Property Relief (BPR)- A tax relief that reduces or eliminates inheritance tax on business assets that qualify.</w:t>
      </w:r>
    </w:p>
    <w:p w14:paraId="4693F0C4" w14:textId="77777777" w:rsidR="00212EBE" w:rsidRDefault="00212EBE" w:rsidP="00D54AC9">
      <w:pPr>
        <w:spacing w:line="360" w:lineRule="auto"/>
        <w:rPr>
          <w:rFonts w:ascii="Arial" w:hAnsi="Arial" w:cs="Arial"/>
          <w:sz w:val="22"/>
          <w:szCs w:val="22"/>
        </w:rPr>
      </w:pPr>
    </w:p>
    <w:p w14:paraId="719CCC5F" w14:textId="77777777" w:rsidR="00212EBE" w:rsidRDefault="00212EBE" w:rsidP="00D54AC9">
      <w:pPr>
        <w:spacing w:line="360" w:lineRule="auto"/>
        <w:rPr>
          <w:rFonts w:ascii="Arial" w:hAnsi="Arial" w:cs="Arial"/>
          <w:sz w:val="22"/>
          <w:szCs w:val="22"/>
        </w:rPr>
      </w:pPr>
    </w:p>
    <w:p w14:paraId="1D3E28C3" w14:textId="02E5C7EE" w:rsidR="008E22AA" w:rsidRDefault="008E22AA" w:rsidP="00D54AC9">
      <w:pPr>
        <w:spacing w:line="360" w:lineRule="auto"/>
        <w:rPr>
          <w:rFonts w:ascii="Arial" w:hAnsi="Arial" w:cs="Arial"/>
          <w:sz w:val="22"/>
          <w:szCs w:val="22"/>
        </w:rPr>
      </w:pPr>
      <w:r w:rsidRPr="008E22AA">
        <w:rPr>
          <w:rFonts w:ascii="Arial" w:hAnsi="Arial" w:cs="Arial"/>
          <w:b/>
          <w:bCs/>
          <w:sz w:val="22"/>
          <w:szCs w:val="22"/>
        </w:rPr>
        <w:t>References</w:t>
      </w:r>
      <w:r>
        <w:rPr>
          <w:rFonts w:ascii="Arial" w:hAnsi="Arial" w:cs="Arial"/>
          <w:sz w:val="22"/>
          <w:szCs w:val="22"/>
        </w:rPr>
        <w:t>:</w:t>
      </w:r>
      <w:r w:rsidR="00830DB5">
        <w:rPr>
          <w:rFonts w:ascii="Arial" w:hAnsi="Arial" w:cs="Arial"/>
          <w:sz w:val="22"/>
          <w:szCs w:val="22"/>
        </w:rPr>
        <w:t xml:space="preserve"> </w:t>
      </w:r>
    </w:p>
    <w:p w14:paraId="58BBB8AA" w14:textId="66409887" w:rsidR="00212EBE" w:rsidRDefault="002D5EFD" w:rsidP="007E141F">
      <w:pPr>
        <w:pStyle w:val="NormalWeb"/>
        <w:spacing w:before="0" w:beforeAutospacing="0" w:after="240" w:afterAutospacing="0" w:line="360" w:lineRule="auto"/>
        <w:rPr>
          <w:rFonts w:ascii="Arial" w:hAnsi="Arial" w:cs="Arial"/>
        </w:rPr>
      </w:pPr>
      <w:r w:rsidRPr="007E141F">
        <w:rPr>
          <w:rFonts w:ascii="Arial" w:hAnsi="Arial" w:cs="Arial"/>
          <w:sz w:val="22"/>
          <w:szCs w:val="22"/>
        </w:rPr>
        <w:t xml:space="preserve"> </w:t>
      </w:r>
      <w:r w:rsidR="007E141F" w:rsidRPr="007E141F">
        <w:rPr>
          <w:rFonts w:ascii="Arial" w:hAnsi="Arial" w:cs="Arial"/>
        </w:rPr>
        <w:t xml:space="preserve">Advani, A., Sturrock, D. and </w:t>
      </w:r>
      <w:proofErr w:type="spellStart"/>
      <w:r w:rsidR="007E141F" w:rsidRPr="007E141F">
        <w:rPr>
          <w:rFonts w:ascii="Arial" w:hAnsi="Arial" w:cs="Arial"/>
        </w:rPr>
        <w:t>Ucl</w:t>
      </w:r>
      <w:proofErr w:type="spellEnd"/>
      <w:r w:rsidR="007E141F" w:rsidRPr="007E141F">
        <w:rPr>
          <w:rFonts w:ascii="Arial" w:hAnsi="Arial" w:cs="Arial"/>
        </w:rPr>
        <w:t xml:space="preserve">, I. (n.d.). </w:t>
      </w:r>
      <w:r w:rsidR="007E141F" w:rsidRPr="007E141F">
        <w:rPr>
          <w:rFonts w:ascii="Arial" w:hAnsi="Arial" w:cs="Arial"/>
          <w:i/>
          <w:iCs/>
        </w:rPr>
        <w:t>Who would be affected by reforming or abolishing IHT?</w:t>
      </w:r>
      <w:r w:rsidR="007E141F" w:rsidRPr="007E141F">
        <w:rPr>
          <w:rFonts w:ascii="Arial" w:hAnsi="Arial" w:cs="Arial"/>
        </w:rPr>
        <w:t xml:space="preserve"> [online] Available at: </w:t>
      </w:r>
      <w:hyperlink r:id="rId9" w:history="1">
        <w:r w:rsidR="00212EBE" w:rsidRPr="00C63F1D">
          <w:rPr>
            <w:rStyle w:val="Hyperlink"/>
            <w:rFonts w:ascii="Arial" w:hAnsi="Arial" w:cs="Arial"/>
          </w:rPr>
          <w:t>https://ifs.org.uk/sites/default/files/2023-09/Who-would-be-affected-by-reforming-or-abolishing-IHT_0.pdf</w:t>
        </w:r>
      </w:hyperlink>
      <w:r w:rsidR="007E141F" w:rsidRPr="007E141F">
        <w:rPr>
          <w:rFonts w:ascii="Arial" w:hAnsi="Arial" w:cs="Arial"/>
        </w:rPr>
        <w:t>.</w:t>
      </w:r>
    </w:p>
    <w:p w14:paraId="48D6DE4D" w14:textId="7F86280F" w:rsidR="008E22AA" w:rsidRPr="007E141F" w:rsidRDefault="007E141F" w:rsidP="007E141F">
      <w:pPr>
        <w:pStyle w:val="NormalWeb"/>
        <w:spacing w:before="0" w:beforeAutospacing="0" w:after="240" w:afterAutospacing="0" w:line="360" w:lineRule="auto"/>
        <w:rPr>
          <w:rFonts w:ascii="Arial" w:hAnsi="Arial" w:cs="Arial"/>
        </w:rPr>
      </w:pPr>
      <w:r w:rsidRPr="007E141F">
        <w:rPr>
          <w:rFonts w:ascii="Arial" w:hAnsi="Arial" w:cs="Arial"/>
        </w:rPr>
        <w:lastRenderedPageBreak/>
        <w:t xml:space="preserve">Legislation.gov.uk. (2011b). </w:t>
      </w:r>
      <w:r w:rsidRPr="007E141F">
        <w:rPr>
          <w:rFonts w:ascii="Arial" w:hAnsi="Arial" w:cs="Arial"/>
          <w:i/>
          <w:iCs/>
        </w:rPr>
        <w:t>Inheritance Tax Act 1984</w:t>
      </w:r>
      <w:r w:rsidRPr="007E141F">
        <w:rPr>
          <w:rFonts w:ascii="Arial" w:hAnsi="Arial" w:cs="Arial"/>
        </w:rPr>
        <w:t>. [online] Available at: https://www.legislation.gov.uk/ukpga/1984/51/contents.</w:t>
      </w:r>
    </w:p>
    <w:p w14:paraId="761B0FA7" w14:textId="77777777" w:rsidR="008E22AA" w:rsidRPr="00212EBE" w:rsidRDefault="008E22AA" w:rsidP="008E22AA">
      <w:pPr>
        <w:spacing w:line="360" w:lineRule="auto"/>
        <w:ind w:left="720" w:hanging="720"/>
        <w:rPr>
          <w:rFonts w:ascii="Arial" w:hAnsi="Arial" w:cs="Arial"/>
        </w:rPr>
      </w:pPr>
      <w:r w:rsidRPr="00212EBE">
        <w:rPr>
          <w:rFonts w:ascii="Arial" w:hAnsi="Arial" w:cs="Arial"/>
        </w:rPr>
        <w:t xml:space="preserve">Masala, A., Seely, A. and Keep, M. (2024) </w:t>
      </w:r>
      <w:r w:rsidRPr="00212EBE">
        <w:rPr>
          <w:rFonts w:ascii="Arial" w:hAnsi="Arial" w:cs="Arial"/>
          <w:i/>
          <w:iCs/>
        </w:rPr>
        <w:t>Inheritance tax: Current policy and debates</w:t>
      </w:r>
      <w:r w:rsidRPr="00212EBE">
        <w:rPr>
          <w:rFonts w:ascii="Arial" w:hAnsi="Arial" w:cs="Arial"/>
        </w:rPr>
        <w:t xml:space="preserve">. London: House of Commons Library. Available at: </w:t>
      </w:r>
      <w:hyperlink r:id="rId10" w:tgtFrame="_blank" w:history="1">
        <w:r w:rsidRPr="00212EBE">
          <w:rPr>
            <w:rStyle w:val="Hyperlink"/>
            <w:rFonts w:ascii="Arial" w:hAnsi="Arial" w:cs="Arial"/>
          </w:rPr>
          <w:t>https://commonslibrary.parliament.uk/research-briefings/sn00093/</w:t>
        </w:r>
      </w:hyperlink>
      <w:r w:rsidRPr="00212EBE">
        <w:rPr>
          <w:rFonts w:ascii="Arial" w:hAnsi="Arial" w:cs="Arial"/>
        </w:rPr>
        <w:t xml:space="preserve"> [Accessed 03 March 2025].</w:t>
      </w:r>
    </w:p>
    <w:p w14:paraId="212BF6B7" w14:textId="77777777" w:rsidR="008E22AA" w:rsidRDefault="008E22AA" w:rsidP="00D54AC9">
      <w:pPr>
        <w:spacing w:line="360" w:lineRule="auto"/>
        <w:rPr>
          <w:rFonts w:ascii="Arial" w:hAnsi="Arial" w:cs="Arial"/>
          <w:sz w:val="22"/>
          <w:szCs w:val="22"/>
        </w:rPr>
      </w:pPr>
    </w:p>
    <w:p w14:paraId="328A9CFE" w14:textId="77777777" w:rsidR="008E22AA" w:rsidRPr="00911CEC" w:rsidRDefault="008E22AA" w:rsidP="00D54AC9">
      <w:pPr>
        <w:spacing w:line="360" w:lineRule="auto"/>
        <w:rPr>
          <w:rFonts w:ascii="Arial" w:hAnsi="Arial" w:cs="Arial"/>
          <w:sz w:val="22"/>
          <w:szCs w:val="22"/>
        </w:rPr>
      </w:pPr>
    </w:p>
    <w:p w14:paraId="5A42B944" w14:textId="77777777" w:rsidR="00D54AC9" w:rsidRPr="00911CEC" w:rsidRDefault="00D54AC9" w:rsidP="00C707DE">
      <w:pPr>
        <w:spacing w:line="360" w:lineRule="auto"/>
        <w:rPr>
          <w:rFonts w:ascii="Arial" w:hAnsi="Arial" w:cs="Arial"/>
          <w:sz w:val="22"/>
          <w:szCs w:val="22"/>
        </w:rPr>
      </w:pPr>
    </w:p>
    <w:p w14:paraId="3DEA048E" w14:textId="77777777" w:rsidR="00D54AC9" w:rsidRPr="00911CEC" w:rsidRDefault="00D54AC9" w:rsidP="00D54AC9">
      <w:pPr>
        <w:spacing w:line="360" w:lineRule="auto"/>
        <w:rPr>
          <w:rFonts w:ascii="Arial" w:hAnsi="Arial" w:cs="Arial"/>
          <w:b/>
          <w:bCs/>
          <w:sz w:val="22"/>
          <w:szCs w:val="22"/>
        </w:rPr>
      </w:pPr>
      <w:r w:rsidRPr="00911CEC">
        <w:rPr>
          <w:rFonts w:ascii="Arial" w:hAnsi="Arial" w:cs="Arial"/>
          <w:b/>
          <w:bCs/>
          <w:sz w:val="22"/>
          <w:szCs w:val="22"/>
        </w:rPr>
        <w:t>Research trail</w:t>
      </w:r>
    </w:p>
    <w:p w14:paraId="3C2CFA1B" w14:textId="2421F459"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To conduct my research on IHT reforms on APR and BPR</w:t>
      </w:r>
      <w:r w:rsidR="00911CEC">
        <w:rPr>
          <w:rFonts w:ascii="Arial" w:hAnsi="Arial" w:cs="Arial"/>
          <w:sz w:val="22"/>
          <w:szCs w:val="22"/>
        </w:rPr>
        <w:t>, I started by using Google Scholar to look for academic articles, reports, and official documents. Combining search terms such as Inheritance Tax reform UK, Agricultural Property Relief cap,</w:t>
      </w:r>
      <w:r w:rsidRPr="00911CEC">
        <w:rPr>
          <w:rFonts w:ascii="Arial" w:hAnsi="Arial" w:cs="Arial"/>
          <w:sz w:val="22"/>
          <w:szCs w:val="22"/>
        </w:rPr>
        <w:t xml:space="preserve"> and Business Property Relief changes enabled me to identify possible papers and official reports in this subject area. These databases were full of academic and professional information that allowed me to analy</w:t>
      </w:r>
      <w:r w:rsidR="00911CEC">
        <w:rPr>
          <w:rFonts w:ascii="Arial" w:hAnsi="Arial" w:cs="Arial"/>
          <w:sz w:val="22"/>
          <w:szCs w:val="22"/>
        </w:rPr>
        <w:t>s</w:t>
      </w:r>
      <w:r w:rsidRPr="00911CEC">
        <w:rPr>
          <w:rFonts w:ascii="Arial" w:hAnsi="Arial" w:cs="Arial"/>
          <w:sz w:val="22"/>
          <w:szCs w:val="22"/>
        </w:rPr>
        <w:t>e the possible context of the proposed reforms.</w:t>
      </w:r>
    </w:p>
    <w:p w14:paraId="2483A1FF" w14:textId="3A387B20"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There are two prominent papers that I have used in writing this research; the first is the House of Commons Library briefing by Seely and Keep, published in 2024 and the second is the IFS Report by Advani and Sturrock which is dated 2023. The former provided a detailed description of current reform processes in IHT policies</w:t>
      </w:r>
      <w:r w:rsidR="00911CEC">
        <w:rPr>
          <w:rFonts w:ascii="Arial" w:hAnsi="Arial" w:cs="Arial"/>
          <w:sz w:val="22"/>
          <w:szCs w:val="22"/>
        </w:rPr>
        <w:t>, while the latter provided information and figures on the reforms that directly connect</w:t>
      </w:r>
      <w:r w:rsidRPr="00911CEC">
        <w:rPr>
          <w:rFonts w:ascii="Arial" w:hAnsi="Arial" w:cs="Arial"/>
          <w:sz w:val="22"/>
          <w:szCs w:val="22"/>
        </w:rPr>
        <w:t xml:space="preserve"> to the changes proposed for APR and BPR. These sources were considered because they are official and reliable, based on the official repository report of the UK government Seely and Keep and the statistical analysis from the IFS, a reputed research organization.</w:t>
      </w:r>
    </w:p>
    <w:p w14:paraId="53CC7FA7" w14:textId="35BC5C1C" w:rsidR="003B606B"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The </w:t>
      </w:r>
      <w:r w:rsidR="00911CEC">
        <w:rPr>
          <w:rFonts w:ascii="Arial" w:hAnsi="Arial" w:cs="Arial"/>
          <w:sz w:val="22"/>
          <w:szCs w:val="22"/>
        </w:rPr>
        <w:t>research's approach was effective for the given topic, but for future topics, I would focus more on tax journals or utilize case studies of estate planners for practitioners’ perspectives. Although the academic sources provided background knowledge about the possible changes, it would be interesting to present how such reforms should affect businesses</w:t>
      </w:r>
      <w:r w:rsidRPr="00911CEC">
        <w:rPr>
          <w:rFonts w:ascii="Arial" w:hAnsi="Arial" w:cs="Arial"/>
          <w:sz w:val="22"/>
          <w:szCs w:val="22"/>
        </w:rPr>
        <w:t xml:space="preserve"> and owners of agricultural land in practice.</w:t>
      </w:r>
    </w:p>
    <w:p w14:paraId="60E4F73E" w14:textId="77777777" w:rsidR="00D54AC9" w:rsidRPr="00911CEC" w:rsidRDefault="00D54AC9" w:rsidP="00D54AC9">
      <w:pPr>
        <w:spacing w:line="360" w:lineRule="auto"/>
        <w:rPr>
          <w:rFonts w:ascii="Arial" w:hAnsi="Arial" w:cs="Arial"/>
          <w:sz w:val="22"/>
          <w:szCs w:val="22"/>
        </w:rPr>
      </w:pPr>
    </w:p>
    <w:p w14:paraId="238D59BA" w14:textId="77777777" w:rsidR="00D54AC9" w:rsidRPr="00911CEC" w:rsidRDefault="00D54AC9" w:rsidP="00D54AC9">
      <w:pPr>
        <w:spacing w:line="360" w:lineRule="auto"/>
        <w:rPr>
          <w:rFonts w:ascii="Arial" w:hAnsi="Arial" w:cs="Arial"/>
          <w:sz w:val="22"/>
          <w:szCs w:val="22"/>
        </w:rPr>
      </w:pPr>
    </w:p>
    <w:p w14:paraId="51C12555" w14:textId="65E19E06" w:rsidR="00BC30FB" w:rsidRPr="00911CEC" w:rsidRDefault="00245AF0" w:rsidP="00C707DE">
      <w:pPr>
        <w:spacing w:line="360" w:lineRule="auto"/>
        <w:rPr>
          <w:rFonts w:ascii="Arial" w:hAnsi="Arial" w:cs="Arial"/>
          <w:b/>
          <w:bCs/>
          <w:sz w:val="22"/>
          <w:szCs w:val="22"/>
        </w:rPr>
      </w:pPr>
      <w:r w:rsidRPr="00911CEC">
        <w:rPr>
          <w:rFonts w:ascii="Arial" w:hAnsi="Arial" w:cs="Arial"/>
          <w:b/>
          <w:bCs/>
          <w:sz w:val="22"/>
          <w:szCs w:val="22"/>
        </w:rPr>
        <w:t>TASK 3</w:t>
      </w:r>
    </w:p>
    <w:p w14:paraId="5AE8B98C" w14:textId="77777777" w:rsidR="00BC30FB" w:rsidRPr="00911CEC" w:rsidRDefault="00BC30FB" w:rsidP="00BC30FB">
      <w:pPr>
        <w:spacing w:line="360" w:lineRule="auto"/>
        <w:rPr>
          <w:rFonts w:ascii="Arial" w:hAnsi="Arial" w:cs="Arial"/>
          <w:sz w:val="22"/>
          <w:szCs w:val="22"/>
        </w:rPr>
      </w:pPr>
      <w:r w:rsidRPr="00911CEC">
        <w:rPr>
          <w:rFonts w:ascii="Arial" w:hAnsi="Arial" w:cs="Arial"/>
          <w:b/>
          <w:bCs/>
          <w:sz w:val="22"/>
          <w:szCs w:val="22"/>
        </w:rPr>
        <w:t>Reflection on Careers Conference: Key Learnings and Action Plan</w:t>
      </w:r>
    </w:p>
    <w:p w14:paraId="471C96E3" w14:textId="60FAAD8C" w:rsidR="001D6EDB" w:rsidRDefault="00D54AC9" w:rsidP="00D54AC9">
      <w:pPr>
        <w:spacing w:line="360" w:lineRule="auto"/>
        <w:rPr>
          <w:rFonts w:ascii="Arial" w:hAnsi="Arial" w:cs="Arial"/>
          <w:sz w:val="22"/>
          <w:szCs w:val="22"/>
        </w:rPr>
      </w:pPr>
      <w:r w:rsidRPr="00911CEC">
        <w:rPr>
          <w:rFonts w:ascii="Arial" w:hAnsi="Arial" w:cs="Arial"/>
          <w:sz w:val="22"/>
          <w:szCs w:val="22"/>
        </w:rPr>
        <w:t xml:space="preserve">Participating in the </w:t>
      </w:r>
      <w:r w:rsidR="00FA541E">
        <w:rPr>
          <w:rFonts w:ascii="Arial" w:hAnsi="Arial" w:cs="Arial"/>
          <w:sz w:val="22"/>
          <w:szCs w:val="22"/>
        </w:rPr>
        <w:t>C</w:t>
      </w:r>
      <w:r w:rsidRPr="00911CEC">
        <w:rPr>
          <w:rFonts w:ascii="Arial" w:hAnsi="Arial" w:cs="Arial"/>
          <w:sz w:val="22"/>
          <w:szCs w:val="22"/>
        </w:rPr>
        <w:t xml:space="preserve">areers </w:t>
      </w:r>
      <w:r w:rsidR="00FA541E">
        <w:rPr>
          <w:rFonts w:ascii="Arial" w:hAnsi="Arial" w:cs="Arial"/>
          <w:sz w:val="22"/>
          <w:szCs w:val="22"/>
        </w:rPr>
        <w:t>C</w:t>
      </w:r>
      <w:r w:rsidRPr="00911CEC">
        <w:rPr>
          <w:rFonts w:ascii="Arial" w:hAnsi="Arial" w:cs="Arial"/>
          <w:sz w:val="22"/>
          <w:szCs w:val="22"/>
        </w:rPr>
        <w:t>onference that was held on 10th March 2025 was very helpful as it highlighted various aspects of career progress</w:t>
      </w:r>
      <w:r w:rsidR="002958B6">
        <w:rPr>
          <w:rFonts w:ascii="Arial" w:hAnsi="Arial" w:cs="Arial"/>
          <w:sz w:val="22"/>
          <w:szCs w:val="22"/>
        </w:rPr>
        <w:t>, such as</w:t>
      </w:r>
      <w:r w:rsidRPr="00911CEC">
        <w:rPr>
          <w:rFonts w:ascii="Arial" w:hAnsi="Arial" w:cs="Arial"/>
          <w:sz w:val="22"/>
          <w:szCs w:val="22"/>
        </w:rPr>
        <w:t xml:space="preserve"> employment of graduates with an emphasis on the legal sector</w:t>
      </w:r>
      <w:r w:rsidR="00A42DB9">
        <w:rPr>
          <w:rFonts w:ascii="Arial" w:hAnsi="Arial" w:cs="Arial"/>
          <w:sz w:val="22"/>
          <w:szCs w:val="22"/>
        </w:rPr>
        <w:t xml:space="preserve"> and not only.</w:t>
      </w:r>
      <w:r w:rsidRPr="00911CEC">
        <w:rPr>
          <w:rFonts w:ascii="Arial" w:hAnsi="Arial" w:cs="Arial"/>
          <w:sz w:val="22"/>
          <w:szCs w:val="22"/>
        </w:rPr>
        <w:t xml:space="preserve"> This </w:t>
      </w:r>
      <w:r w:rsidR="002958B6" w:rsidRPr="00911CEC">
        <w:rPr>
          <w:rFonts w:ascii="Arial" w:hAnsi="Arial" w:cs="Arial"/>
          <w:sz w:val="22"/>
          <w:szCs w:val="22"/>
        </w:rPr>
        <w:t>session</w:t>
      </w:r>
      <w:r w:rsidRPr="00911CEC">
        <w:rPr>
          <w:rFonts w:ascii="Arial" w:hAnsi="Arial" w:cs="Arial"/>
          <w:sz w:val="22"/>
          <w:szCs w:val="22"/>
        </w:rPr>
        <w:t xml:space="preserve"> conducted by some experienced solicitors</w:t>
      </w:r>
      <w:r w:rsidR="00181DA8">
        <w:rPr>
          <w:rFonts w:ascii="Arial" w:hAnsi="Arial" w:cs="Arial"/>
          <w:sz w:val="22"/>
          <w:szCs w:val="22"/>
        </w:rPr>
        <w:t xml:space="preserve"> </w:t>
      </w:r>
      <w:r w:rsidR="008560D1">
        <w:rPr>
          <w:rFonts w:ascii="Arial" w:hAnsi="Arial" w:cs="Arial"/>
          <w:sz w:val="22"/>
          <w:szCs w:val="22"/>
        </w:rPr>
        <w:t xml:space="preserve">from the Crown Prosecution Services </w:t>
      </w:r>
      <w:r w:rsidR="00181DA8">
        <w:rPr>
          <w:rFonts w:ascii="Arial" w:hAnsi="Arial" w:cs="Arial"/>
          <w:sz w:val="22"/>
          <w:szCs w:val="22"/>
        </w:rPr>
        <w:t xml:space="preserve">(Andrew Gwen and Jane Thomas), </w:t>
      </w:r>
      <w:r w:rsidRPr="00911CEC">
        <w:rPr>
          <w:rFonts w:ascii="Arial" w:hAnsi="Arial" w:cs="Arial"/>
          <w:sz w:val="22"/>
          <w:szCs w:val="22"/>
        </w:rPr>
        <w:t xml:space="preserve">was on job search and </w:t>
      </w:r>
      <w:r w:rsidR="00181DA8">
        <w:rPr>
          <w:rFonts w:ascii="Arial" w:hAnsi="Arial" w:cs="Arial"/>
          <w:sz w:val="22"/>
          <w:szCs w:val="22"/>
        </w:rPr>
        <w:t xml:space="preserve">career </w:t>
      </w:r>
      <w:r w:rsidR="002958B6">
        <w:rPr>
          <w:rFonts w:ascii="Arial" w:hAnsi="Arial" w:cs="Arial"/>
          <w:sz w:val="22"/>
          <w:szCs w:val="22"/>
        </w:rPr>
        <w:t>opportunities</w:t>
      </w:r>
      <w:r w:rsidR="00911CEC">
        <w:rPr>
          <w:rFonts w:ascii="Arial" w:hAnsi="Arial" w:cs="Arial"/>
          <w:sz w:val="22"/>
          <w:szCs w:val="22"/>
        </w:rPr>
        <w:t xml:space="preserve">, where they emphasized </w:t>
      </w:r>
      <w:r w:rsidRPr="00911CEC">
        <w:rPr>
          <w:rFonts w:ascii="Arial" w:hAnsi="Arial" w:cs="Arial"/>
          <w:sz w:val="22"/>
          <w:szCs w:val="22"/>
        </w:rPr>
        <w:t xml:space="preserve">networking and branding </w:t>
      </w:r>
      <w:r w:rsidR="00212EBE" w:rsidRPr="00911CEC">
        <w:rPr>
          <w:rFonts w:ascii="Arial" w:hAnsi="Arial" w:cs="Arial"/>
          <w:sz w:val="22"/>
          <w:szCs w:val="22"/>
        </w:rPr>
        <w:t>to</w:t>
      </w:r>
      <w:r w:rsidRPr="00911CEC">
        <w:rPr>
          <w:rFonts w:ascii="Arial" w:hAnsi="Arial" w:cs="Arial"/>
          <w:sz w:val="22"/>
          <w:szCs w:val="22"/>
        </w:rPr>
        <w:t xml:space="preserve"> find a job. </w:t>
      </w:r>
      <w:r w:rsidR="001D6EDB" w:rsidRPr="00911CEC">
        <w:rPr>
          <w:rFonts w:ascii="Arial" w:hAnsi="Arial" w:cs="Arial"/>
          <w:sz w:val="22"/>
          <w:szCs w:val="22"/>
        </w:rPr>
        <w:t xml:space="preserve">This idea was vocalised in the discussion where the issue was basically pitched to mean that finding good sponsorship in an organisation is </w:t>
      </w:r>
      <w:r w:rsidR="001D6EDB">
        <w:rPr>
          <w:rFonts w:ascii="Arial" w:hAnsi="Arial" w:cs="Arial"/>
          <w:sz w:val="22"/>
          <w:szCs w:val="22"/>
        </w:rPr>
        <w:t xml:space="preserve">more </w:t>
      </w:r>
      <w:r w:rsidR="001D6EDB" w:rsidRPr="00911CEC">
        <w:rPr>
          <w:rFonts w:ascii="Arial" w:hAnsi="Arial" w:cs="Arial"/>
          <w:sz w:val="22"/>
          <w:szCs w:val="22"/>
        </w:rPr>
        <w:t>vital for career advancement than mere academic achievements. I also realized that employers require proactive and innovative individuals who express the ability to solve some issues in the company.</w:t>
      </w:r>
    </w:p>
    <w:p w14:paraId="6FA0E954" w14:textId="00E32DA8" w:rsidR="00D54AC9" w:rsidRPr="00911CEC" w:rsidRDefault="00181DA8" w:rsidP="00D54AC9">
      <w:pPr>
        <w:spacing w:line="360" w:lineRule="auto"/>
        <w:rPr>
          <w:rFonts w:ascii="Arial" w:hAnsi="Arial" w:cs="Arial"/>
          <w:sz w:val="22"/>
          <w:szCs w:val="22"/>
        </w:rPr>
      </w:pPr>
      <w:r>
        <w:rPr>
          <w:rFonts w:ascii="Arial" w:hAnsi="Arial" w:cs="Arial"/>
          <w:sz w:val="22"/>
          <w:szCs w:val="22"/>
        </w:rPr>
        <w:t>Probate Services</w:t>
      </w:r>
      <w:r w:rsidR="00D54AC9" w:rsidRPr="00911CEC">
        <w:rPr>
          <w:rFonts w:ascii="Arial" w:hAnsi="Arial" w:cs="Arial"/>
          <w:sz w:val="22"/>
          <w:szCs w:val="22"/>
        </w:rPr>
        <w:t xml:space="preserve"> spoke about personal experiences showing that networking at such early stages was indeed very useful in their career paths</w:t>
      </w:r>
      <w:r w:rsidR="008560D1">
        <w:rPr>
          <w:rFonts w:ascii="Arial" w:hAnsi="Arial" w:cs="Arial"/>
          <w:sz w:val="22"/>
          <w:szCs w:val="22"/>
        </w:rPr>
        <w:t xml:space="preserve"> and Kate Connelly</w:t>
      </w:r>
      <w:r w:rsidR="002958B6">
        <w:rPr>
          <w:rFonts w:ascii="Arial" w:hAnsi="Arial" w:cs="Arial"/>
          <w:sz w:val="22"/>
          <w:szCs w:val="22"/>
        </w:rPr>
        <w:t xml:space="preserve"> from Thrive Women’s Aid</w:t>
      </w:r>
      <w:r w:rsidR="008560D1">
        <w:rPr>
          <w:rFonts w:ascii="Arial" w:hAnsi="Arial" w:cs="Arial"/>
          <w:sz w:val="22"/>
          <w:szCs w:val="22"/>
        </w:rPr>
        <w:t xml:space="preserve"> has offered a very insightful presentation on all the Projects </w:t>
      </w:r>
      <w:r w:rsidR="002958B6">
        <w:rPr>
          <w:rFonts w:ascii="Arial" w:hAnsi="Arial" w:cs="Arial"/>
          <w:sz w:val="22"/>
          <w:szCs w:val="22"/>
        </w:rPr>
        <w:t>within the Organisation that offer the necessary support</w:t>
      </w:r>
      <w:r w:rsidR="008560D1">
        <w:rPr>
          <w:rFonts w:ascii="Arial" w:hAnsi="Arial" w:cs="Arial"/>
          <w:sz w:val="22"/>
          <w:szCs w:val="22"/>
        </w:rPr>
        <w:t xml:space="preserve"> to the vulner</w:t>
      </w:r>
      <w:r w:rsidR="002958B6">
        <w:rPr>
          <w:rFonts w:ascii="Arial" w:hAnsi="Arial" w:cs="Arial"/>
          <w:sz w:val="22"/>
          <w:szCs w:val="22"/>
        </w:rPr>
        <w:t>able</w:t>
      </w:r>
      <w:r w:rsidR="008560D1">
        <w:rPr>
          <w:rFonts w:ascii="Arial" w:hAnsi="Arial" w:cs="Arial"/>
          <w:sz w:val="22"/>
          <w:szCs w:val="22"/>
        </w:rPr>
        <w:t xml:space="preserve"> group</w:t>
      </w:r>
      <w:r w:rsidR="002958B6">
        <w:rPr>
          <w:rFonts w:ascii="Arial" w:hAnsi="Arial" w:cs="Arial"/>
          <w:sz w:val="22"/>
          <w:szCs w:val="22"/>
        </w:rPr>
        <w:t xml:space="preserve"> of women.</w:t>
      </w:r>
    </w:p>
    <w:p w14:paraId="0B243DBF" w14:textId="0F41AD9F"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The other useful tip that was given related to moving from </w:t>
      </w:r>
      <w:r w:rsidR="008560D1">
        <w:rPr>
          <w:rFonts w:ascii="Arial" w:hAnsi="Arial" w:cs="Arial"/>
          <w:sz w:val="22"/>
          <w:szCs w:val="22"/>
        </w:rPr>
        <w:t>U</w:t>
      </w:r>
      <w:r w:rsidRPr="00911CEC">
        <w:rPr>
          <w:rFonts w:ascii="Arial" w:hAnsi="Arial" w:cs="Arial"/>
          <w:sz w:val="22"/>
          <w:szCs w:val="22"/>
        </w:rPr>
        <w:t xml:space="preserve">niversity to the </w:t>
      </w:r>
      <w:r w:rsidR="008560D1">
        <w:rPr>
          <w:rFonts w:ascii="Arial" w:hAnsi="Arial" w:cs="Arial"/>
          <w:sz w:val="22"/>
          <w:szCs w:val="22"/>
        </w:rPr>
        <w:t>P</w:t>
      </w:r>
      <w:r w:rsidRPr="00911CEC">
        <w:rPr>
          <w:rFonts w:ascii="Arial" w:hAnsi="Arial" w:cs="Arial"/>
          <w:sz w:val="22"/>
          <w:szCs w:val="22"/>
        </w:rPr>
        <w:t xml:space="preserve">rofessional </w:t>
      </w:r>
      <w:r w:rsidR="008560D1">
        <w:rPr>
          <w:rFonts w:ascii="Arial" w:hAnsi="Arial" w:cs="Arial"/>
          <w:sz w:val="22"/>
          <w:szCs w:val="22"/>
        </w:rPr>
        <w:t>L</w:t>
      </w:r>
      <w:r w:rsidRPr="00911CEC">
        <w:rPr>
          <w:rFonts w:ascii="Arial" w:hAnsi="Arial" w:cs="Arial"/>
          <w:sz w:val="22"/>
          <w:szCs w:val="22"/>
        </w:rPr>
        <w:t>evel</w:t>
      </w:r>
      <w:r w:rsidR="00FA541E">
        <w:rPr>
          <w:rFonts w:ascii="Arial" w:hAnsi="Arial" w:cs="Arial"/>
          <w:sz w:val="22"/>
          <w:szCs w:val="22"/>
        </w:rPr>
        <w:t xml:space="preserve"> was around </w:t>
      </w:r>
      <w:r w:rsidRPr="00911CEC">
        <w:rPr>
          <w:rFonts w:ascii="Arial" w:hAnsi="Arial" w:cs="Arial"/>
          <w:sz w:val="22"/>
          <w:szCs w:val="22"/>
        </w:rPr>
        <w:t>conversation</w:t>
      </w:r>
      <w:r w:rsidR="00FA541E">
        <w:rPr>
          <w:rFonts w:ascii="Arial" w:hAnsi="Arial" w:cs="Arial"/>
          <w:sz w:val="22"/>
          <w:szCs w:val="22"/>
        </w:rPr>
        <w:t>s</w:t>
      </w:r>
      <w:r w:rsidRPr="00911CEC">
        <w:rPr>
          <w:rFonts w:ascii="Arial" w:hAnsi="Arial" w:cs="Arial"/>
          <w:sz w:val="22"/>
          <w:szCs w:val="22"/>
        </w:rPr>
        <w:t xml:space="preserve"> includ</w:t>
      </w:r>
      <w:r w:rsidR="00FA541E">
        <w:rPr>
          <w:rFonts w:ascii="Arial" w:hAnsi="Arial" w:cs="Arial"/>
          <w:sz w:val="22"/>
          <w:szCs w:val="22"/>
        </w:rPr>
        <w:t>ing</w:t>
      </w:r>
      <w:r w:rsidRPr="00911CEC">
        <w:rPr>
          <w:rFonts w:ascii="Arial" w:hAnsi="Arial" w:cs="Arial"/>
          <w:sz w:val="22"/>
          <w:szCs w:val="22"/>
        </w:rPr>
        <w:t xml:space="preserve"> </w:t>
      </w:r>
      <w:r w:rsidR="008F2086">
        <w:rPr>
          <w:rFonts w:ascii="Arial" w:hAnsi="Arial" w:cs="Arial"/>
          <w:sz w:val="22"/>
          <w:szCs w:val="22"/>
        </w:rPr>
        <w:t xml:space="preserve">developing </w:t>
      </w:r>
      <w:r w:rsidR="002958B6">
        <w:rPr>
          <w:rFonts w:ascii="Arial" w:hAnsi="Arial" w:cs="Arial"/>
          <w:sz w:val="22"/>
          <w:szCs w:val="22"/>
        </w:rPr>
        <w:t xml:space="preserve">skills </w:t>
      </w:r>
      <w:r w:rsidR="002958B6" w:rsidRPr="00911CEC">
        <w:rPr>
          <w:rFonts w:ascii="Arial" w:hAnsi="Arial" w:cs="Arial"/>
          <w:sz w:val="22"/>
          <w:szCs w:val="22"/>
        </w:rPr>
        <w:t>for</w:t>
      </w:r>
      <w:r w:rsidRPr="00911CEC">
        <w:rPr>
          <w:rFonts w:ascii="Arial" w:hAnsi="Arial" w:cs="Arial"/>
          <w:sz w:val="22"/>
          <w:szCs w:val="22"/>
        </w:rPr>
        <w:t xml:space="preserve"> entry-level workers with </w:t>
      </w:r>
      <w:r w:rsidR="00911CEC">
        <w:rPr>
          <w:rFonts w:ascii="Arial" w:hAnsi="Arial" w:cs="Arial"/>
          <w:sz w:val="22"/>
          <w:szCs w:val="22"/>
        </w:rPr>
        <w:t>a</w:t>
      </w:r>
      <w:r w:rsidRPr="00911CEC">
        <w:rPr>
          <w:rFonts w:ascii="Arial" w:hAnsi="Arial" w:cs="Arial"/>
          <w:sz w:val="22"/>
          <w:szCs w:val="22"/>
        </w:rPr>
        <w:t xml:space="preserve"> focus on how one ought to identify avenues to develop professionally</w:t>
      </w:r>
      <w:r w:rsidR="008560D1">
        <w:rPr>
          <w:rFonts w:ascii="Arial" w:hAnsi="Arial" w:cs="Arial"/>
          <w:sz w:val="22"/>
          <w:szCs w:val="22"/>
        </w:rPr>
        <w:t>.</w:t>
      </w:r>
      <w:r w:rsidRPr="00911CEC">
        <w:rPr>
          <w:rFonts w:ascii="Arial" w:hAnsi="Arial" w:cs="Arial"/>
          <w:sz w:val="22"/>
          <w:szCs w:val="22"/>
        </w:rPr>
        <w:t xml:space="preserve"> I found this true</w:t>
      </w:r>
      <w:r w:rsidR="002958B6">
        <w:rPr>
          <w:rFonts w:ascii="Arial" w:hAnsi="Arial" w:cs="Arial"/>
          <w:sz w:val="22"/>
          <w:szCs w:val="22"/>
        </w:rPr>
        <w:t>,</w:t>
      </w:r>
      <w:r w:rsidRPr="00911CEC">
        <w:rPr>
          <w:rFonts w:ascii="Arial" w:hAnsi="Arial" w:cs="Arial"/>
          <w:sz w:val="22"/>
          <w:szCs w:val="22"/>
        </w:rPr>
        <w:t xml:space="preserve"> especially for me since I had never thought of getting that practical experience and thinking about getting some mentors. They advised us to do internships, volunteer and engage in legal activities in other areas with the aim of improving our ability and exposur</w:t>
      </w:r>
      <w:r w:rsidR="008F2086">
        <w:rPr>
          <w:rFonts w:ascii="Arial" w:hAnsi="Arial" w:cs="Arial"/>
          <w:sz w:val="22"/>
          <w:szCs w:val="22"/>
        </w:rPr>
        <w:t>e</w:t>
      </w:r>
      <w:r w:rsidR="00FA541E">
        <w:rPr>
          <w:rFonts w:ascii="Arial" w:hAnsi="Arial" w:cs="Arial"/>
          <w:sz w:val="22"/>
          <w:szCs w:val="22"/>
        </w:rPr>
        <w:t>.</w:t>
      </w:r>
    </w:p>
    <w:p w14:paraId="0861702D" w14:textId="53363D0D"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Based on this learning, the following SMART objectives were realized </w:t>
      </w:r>
      <w:r w:rsidR="008560D1" w:rsidRPr="00911CEC">
        <w:rPr>
          <w:rFonts w:ascii="Arial" w:hAnsi="Arial" w:cs="Arial"/>
          <w:sz w:val="22"/>
          <w:szCs w:val="22"/>
        </w:rPr>
        <w:t>to</w:t>
      </w:r>
      <w:r w:rsidRPr="00911CEC">
        <w:rPr>
          <w:rFonts w:ascii="Arial" w:hAnsi="Arial" w:cs="Arial"/>
          <w:sz w:val="22"/>
          <w:szCs w:val="22"/>
        </w:rPr>
        <w:t xml:space="preserve"> improve my employability</w:t>
      </w:r>
      <w:r w:rsidR="008560D1">
        <w:rPr>
          <w:rFonts w:ascii="Arial" w:hAnsi="Arial" w:cs="Arial"/>
          <w:sz w:val="22"/>
          <w:szCs w:val="22"/>
        </w:rPr>
        <w:t xml:space="preserve"> opportunities. </w:t>
      </w:r>
    </w:p>
    <w:p w14:paraId="1D193322" w14:textId="08C1B7BA" w:rsidR="00D54AC9" w:rsidRPr="00911CEC" w:rsidRDefault="00D54AC9" w:rsidP="008560D1">
      <w:pPr>
        <w:pStyle w:val="ListParagraph"/>
        <w:spacing w:line="360" w:lineRule="auto"/>
        <w:rPr>
          <w:rFonts w:ascii="Arial" w:hAnsi="Arial" w:cs="Arial"/>
          <w:sz w:val="22"/>
          <w:szCs w:val="22"/>
        </w:rPr>
      </w:pPr>
      <w:r w:rsidRPr="00911CEC">
        <w:rPr>
          <w:rFonts w:ascii="Arial" w:hAnsi="Arial" w:cs="Arial"/>
          <w:sz w:val="22"/>
          <w:szCs w:val="22"/>
        </w:rPr>
        <w:t xml:space="preserve">SMART Objective 1: </w:t>
      </w:r>
      <w:r w:rsidR="00911CEC">
        <w:rPr>
          <w:rFonts w:ascii="Arial" w:hAnsi="Arial" w:cs="Arial"/>
          <w:sz w:val="22"/>
          <w:szCs w:val="22"/>
        </w:rPr>
        <w:t>During this semester, I will attend three networking events/career fairs to meet at least five professionals within the legal sector and improve</w:t>
      </w:r>
      <w:r w:rsidRPr="00911CEC">
        <w:rPr>
          <w:rFonts w:ascii="Arial" w:hAnsi="Arial" w:cs="Arial"/>
          <w:sz w:val="22"/>
          <w:szCs w:val="22"/>
        </w:rPr>
        <w:t xml:space="preserve"> my</w:t>
      </w:r>
      <w:r w:rsidR="00CF7F86">
        <w:rPr>
          <w:rFonts w:ascii="Arial" w:hAnsi="Arial" w:cs="Arial"/>
          <w:sz w:val="22"/>
          <w:szCs w:val="22"/>
        </w:rPr>
        <w:t xml:space="preserve"> </w:t>
      </w:r>
      <w:r w:rsidRPr="00911CEC">
        <w:rPr>
          <w:rFonts w:ascii="Arial" w:hAnsi="Arial" w:cs="Arial"/>
          <w:sz w:val="22"/>
          <w:szCs w:val="22"/>
        </w:rPr>
        <w:t>connections.</w:t>
      </w:r>
    </w:p>
    <w:p w14:paraId="6ACB6F73" w14:textId="60B41114" w:rsidR="00D54AC9" w:rsidRPr="00911CEC" w:rsidRDefault="00D54AC9" w:rsidP="008560D1">
      <w:pPr>
        <w:pStyle w:val="ListParagraph"/>
        <w:spacing w:line="360" w:lineRule="auto"/>
        <w:rPr>
          <w:rFonts w:ascii="Arial" w:hAnsi="Arial" w:cs="Arial"/>
          <w:sz w:val="22"/>
          <w:szCs w:val="22"/>
        </w:rPr>
      </w:pPr>
      <w:r w:rsidRPr="00911CEC">
        <w:rPr>
          <w:rFonts w:ascii="Arial" w:hAnsi="Arial" w:cs="Arial"/>
          <w:sz w:val="22"/>
          <w:szCs w:val="22"/>
        </w:rPr>
        <w:t xml:space="preserve">SMART Objective 2: I will secure </w:t>
      </w:r>
      <w:r w:rsidR="003816C8">
        <w:rPr>
          <w:rFonts w:ascii="Arial" w:hAnsi="Arial" w:cs="Arial"/>
          <w:sz w:val="22"/>
          <w:szCs w:val="22"/>
        </w:rPr>
        <w:t>one</w:t>
      </w:r>
      <w:r w:rsidR="00911CEC">
        <w:rPr>
          <w:rFonts w:ascii="Arial" w:hAnsi="Arial" w:cs="Arial"/>
          <w:sz w:val="22"/>
          <w:szCs w:val="22"/>
        </w:rPr>
        <w:t xml:space="preserve"> internship/work placements before the end of the semester, with an interest in</w:t>
      </w:r>
      <w:r w:rsidR="003816C8">
        <w:rPr>
          <w:rFonts w:ascii="Arial" w:hAnsi="Arial" w:cs="Arial"/>
          <w:sz w:val="22"/>
          <w:szCs w:val="22"/>
        </w:rPr>
        <w:t xml:space="preserve"> Law. </w:t>
      </w:r>
    </w:p>
    <w:p w14:paraId="1B347944" w14:textId="78554742" w:rsidR="00B14F40" w:rsidRPr="00911CEC" w:rsidRDefault="00D54AC9" w:rsidP="00D54AC9">
      <w:pPr>
        <w:spacing w:line="360" w:lineRule="auto"/>
        <w:rPr>
          <w:rFonts w:ascii="Arial" w:hAnsi="Arial" w:cs="Arial"/>
          <w:sz w:val="22"/>
          <w:szCs w:val="22"/>
        </w:rPr>
      </w:pPr>
      <w:r w:rsidRPr="00911CEC">
        <w:rPr>
          <w:rFonts w:ascii="Arial" w:hAnsi="Arial" w:cs="Arial"/>
          <w:sz w:val="22"/>
          <w:szCs w:val="22"/>
        </w:rPr>
        <w:lastRenderedPageBreak/>
        <w:t xml:space="preserve">This knowledge will serve me well in mastering a plan for career advancement. In achieving these objectives, I will be able to establish relationships, obtain </w:t>
      </w:r>
      <w:r w:rsidR="00911CEC">
        <w:rPr>
          <w:rFonts w:ascii="Arial" w:hAnsi="Arial" w:cs="Arial"/>
          <w:sz w:val="22"/>
          <w:szCs w:val="22"/>
        </w:rPr>
        <w:t xml:space="preserve">hands-on experience, </w:t>
      </w:r>
      <w:r w:rsidR="00212EBE">
        <w:rPr>
          <w:rFonts w:ascii="Arial" w:hAnsi="Arial" w:cs="Arial"/>
          <w:sz w:val="22"/>
          <w:szCs w:val="22"/>
        </w:rPr>
        <w:t>and secure</w:t>
      </w:r>
      <w:r w:rsidRPr="00911CEC">
        <w:rPr>
          <w:rFonts w:ascii="Arial" w:hAnsi="Arial" w:cs="Arial"/>
          <w:sz w:val="22"/>
          <w:szCs w:val="22"/>
        </w:rPr>
        <w:t xml:space="preserve"> employers’ attention when applying.</w:t>
      </w:r>
      <w:r w:rsidR="001D6EDB">
        <w:rPr>
          <w:rFonts w:ascii="Arial" w:hAnsi="Arial" w:cs="Arial"/>
          <w:sz w:val="22"/>
          <w:szCs w:val="22"/>
        </w:rPr>
        <w:t xml:space="preserve"> </w:t>
      </w:r>
      <w:r w:rsidR="00EF07F9">
        <w:rPr>
          <w:rFonts w:ascii="Arial" w:hAnsi="Arial" w:cs="Arial"/>
          <w:sz w:val="22"/>
          <w:szCs w:val="22"/>
        </w:rPr>
        <w:t xml:space="preserve"> </w:t>
      </w:r>
    </w:p>
    <w:p w14:paraId="2882A4C2" w14:textId="77777777" w:rsidR="00D54AC9" w:rsidRPr="00911CEC" w:rsidRDefault="00D54AC9" w:rsidP="00C707DE">
      <w:pPr>
        <w:spacing w:line="360" w:lineRule="auto"/>
        <w:rPr>
          <w:rFonts w:ascii="Arial" w:hAnsi="Arial" w:cs="Arial"/>
          <w:sz w:val="22"/>
          <w:szCs w:val="22"/>
        </w:rPr>
      </w:pPr>
    </w:p>
    <w:p w14:paraId="154BB2E5" w14:textId="167A481B" w:rsidR="00B14F40" w:rsidRPr="00911CEC" w:rsidRDefault="00B14F40" w:rsidP="00B14F40">
      <w:pPr>
        <w:spacing w:line="360" w:lineRule="auto"/>
        <w:rPr>
          <w:rFonts w:ascii="Arial" w:hAnsi="Arial" w:cs="Arial"/>
          <w:sz w:val="22"/>
          <w:szCs w:val="22"/>
        </w:rPr>
      </w:pPr>
      <w:r w:rsidRPr="00911CEC">
        <w:rPr>
          <w:rFonts w:ascii="Arial" w:hAnsi="Arial" w:cs="Arial"/>
          <w:b/>
          <w:bCs/>
          <w:sz w:val="22"/>
          <w:szCs w:val="22"/>
        </w:rPr>
        <w:t>Demonstrating Skills Development</w:t>
      </w:r>
    </w:p>
    <w:p w14:paraId="0C695F7C" w14:textId="0AEFD48F"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In my acquired skills, there are important elements that align with graduate job opportunities. </w:t>
      </w:r>
      <w:r w:rsidR="001D6EDB">
        <w:rPr>
          <w:rFonts w:ascii="Arial" w:hAnsi="Arial" w:cs="Arial"/>
          <w:sz w:val="22"/>
          <w:szCs w:val="22"/>
        </w:rPr>
        <w:t>Some of these skills are:</w:t>
      </w:r>
    </w:p>
    <w:p w14:paraId="4180D9D6" w14:textId="22F498A1"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Problem Solving: In my legal coursework I have been required to integrate critical thinking when solving cases where I often </w:t>
      </w:r>
      <w:r w:rsidR="008F2086" w:rsidRPr="00911CEC">
        <w:rPr>
          <w:rFonts w:ascii="Arial" w:hAnsi="Arial" w:cs="Arial"/>
          <w:sz w:val="22"/>
          <w:szCs w:val="22"/>
        </w:rPr>
        <w:t>analyse</w:t>
      </w:r>
      <w:r w:rsidRPr="00911CEC">
        <w:rPr>
          <w:rFonts w:ascii="Arial" w:hAnsi="Arial" w:cs="Arial"/>
          <w:sz w:val="22"/>
          <w:szCs w:val="22"/>
        </w:rPr>
        <w:t xml:space="preserve"> fact patterns to come up with conclusions that are in harmony with legal provisions. For instance, </w:t>
      </w:r>
      <w:r w:rsidR="00383BA0">
        <w:rPr>
          <w:rFonts w:ascii="Arial" w:hAnsi="Arial" w:cs="Arial"/>
          <w:sz w:val="22"/>
          <w:szCs w:val="22"/>
        </w:rPr>
        <w:t xml:space="preserve">in an </w:t>
      </w:r>
      <w:r w:rsidRPr="00911CEC">
        <w:rPr>
          <w:rFonts w:ascii="Arial" w:hAnsi="Arial" w:cs="Arial"/>
          <w:sz w:val="22"/>
          <w:szCs w:val="22"/>
        </w:rPr>
        <w:t>assignment</w:t>
      </w:r>
      <w:r w:rsidR="00383BA0">
        <w:rPr>
          <w:rFonts w:ascii="Arial" w:hAnsi="Arial" w:cs="Arial"/>
          <w:sz w:val="22"/>
          <w:szCs w:val="22"/>
        </w:rPr>
        <w:t xml:space="preserve"> </w:t>
      </w:r>
      <w:r w:rsidRPr="00911CEC">
        <w:rPr>
          <w:rFonts w:ascii="Arial" w:hAnsi="Arial" w:cs="Arial"/>
          <w:sz w:val="22"/>
          <w:szCs w:val="22"/>
        </w:rPr>
        <w:t>I</w:t>
      </w:r>
      <w:r w:rsidR="00383BA0">
        <w:rPr>
          <w:rFonts w:ascii="Arial" w:hAnsi="Arial" w:cs="Arial"/>
          <w:sz w:val="22"/>
          <w:szCs w:val="22"/>
        </w:rPr>
        <w:t>’ve been</w:t>
      </w:r>
      <w:r w:rsidRPr="00911CEC">
        <w:rPr>
          <w:rFonts w:ascii="Arial" w:hAnsi="Arial" w:cs="Arial"/>
          <w:sz w:val="22"/>
          <w:szCs w:val="22"/>
        </w:rPr>
        <w:t xml:space="preserve"> working on</w:t>
      </w:r>
      <w:r w:rsidR="00383BA0">
        <w:rPr>
          <w:rFonts w:ascii="Arial" w:hAnsi="Arial" w:cs="Arial"/>
          <w:sz w:val="22"/>
          <w:szCs w:val="22"/>
        </w:rPr>
        <w:t xml:space="preserve">, on a Land Law </w:t>
      </w:r>
      <w:r w:rsidR="00911CEC">
        <w:rPr>
          <w:rFonts w:ascii="Arial" w:hAnsi="Arial" w:cs="Arial"/>
          <w:sz w:val="22"/>
          <w:szCs w:val="22"/>
        </w:rPr>
        <w:t>dispute case, I had to analyse a crucial conflict and subsequently devise a strategy that would be</w:t>
      </w:r>
      <w:r w:rsidR="00EB3388">
        <w:rPr>
          <w:rFonts w:ascii="Arial" w:hAnsi="Arial" w:cs="Arial"/>
          <w:sz w:val="22"/>
          <w:szCs w:val="22"/>
        </w:rPr>
        <w:t xml:space="preserve"> less</w:t>
      </w:r>
      <w:r w:rsidR="00911CEC">
        <w:rPr>
          <w:rFonts w:ascii="Arial" w:hAnsi="Arial" w:cs="Arial"/>
          <w:sz w:val="22"/>
          <w:szCs w:val="22"/>
        </w:rPr>
        <w:t xml:space="preserve"> costly and </w:t>
      </w:r>
      <w:r w:rsidRPr="00911CEC">
        <w:rPr>
          <w:rFonts w:ascii="Arial" w:hAnsi="Arial" w:cs="Arial"/>
          <w:sz w:val="22"/>
          <w:szCs w:val="22"/>
        </w:rPr>
        <w:t xml:space="preserve">essential to the client </w:t>
      </w:r>
      <w:r w:rsidR="00383BA0">
        <w:rPr>
          <w:rFonts w:ascii="Arial" w:hAnsi="Arial" w:cs="Arial"/>
          <w:sz w:val="22"/>
          <w:szCs w:val="22"/>
        </w:rPr>
        <w:t>and</w:t>
      </w:r>
      <w:r w:rsidRPr="00911CEC">
        <w:rPr>
          <w:rFonts w:ascii="Arial" w:hAnsi="Arial" w:cs="Arial"/>
          <w:sz w:val="22"/>
          <w:szCs w:val="22"/>
        </w:rPr>
        <w:t xml:space="preserve"> effective according to the law. It has made me develop </w:t>
      </w:r>
      <w:r w:rsidR="00911CEC">
        <w:rPr>
          <w:rFonts w:ascii="Arial" w:hAnsi="Arial" w:cs="Arial"/>
          <w:sz w:val="22"/>
          <w:szCs w:val="22"/>
        </w:rPr>
        <w:t xml:space="preserve">attitudes and predispositions that are </w:t>
      </w:r>
      <w:r w:rsidRPr="00911CEC">
        <w:rPr>
          <w:rFonts w:ascii="Arial" w:hAnsi="Arial" w:cs="Arial"/>
          <w:sz w:val="22"/>
          <w:szCs w:val="22"/>
        </w:rPr>
        <w:t>very useful when approaching problems.</w:t>
      </w:r>
    </w:p>
    <w:p w14:paraId="0731ACA7" w14:textId="1C900CDE"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Collaboration: In my current law program, I have engaged in teams undertaking group assignments for </w:t>
      </w:r>
      <w:r w:rsidR="00383BA0">
        <w:rPr>
          <w:rFonts w:ascii="Arial" w:hAnsi="Arial" w:cs="Arial"/>
          <w:sz w:val="22"/>
          <w:szCs w:val="22"/>
        </w:rPr>
        <w:t>some</w:t>
      </w:r>
      <w:r w:rsidRPr="00911CEC">
        <w:rPr>
          <w:rFonts w:ascii="Arial" w:hAnsi="Arial" w:cs="Arial"/>
          <w:sz w:val="22"/>
          <w:szCs w:val="22"/>
        </w:rPr>
        <w:t xml:space="preserve"> of our units – one of which involved working on a project where we were expected to analy</w:t>
      </w:r>
      <w:r w:rsidR="00911CEC">
        <w:rPr>
          <w:rFonts w:ascii="Arial" w:hAnsi="Arial" w:cs="Arial"/>
          <w:sz w:val="22"/>
          <w:szCs w:val="22"/>
        </w:rPr>
        <w:t>s</w:t>
      </w:r>
      <w:r w:rsidRPr="00911CEC">
        <w:rPr>
          <w:rFonts w:ascii="Arial" w:hAnsi="Arial" w:cs="Arial"/>
          <w:sz w:val="22"/>
          <w:szCs w:val="22"/>
        </w:rPr>
        <w:t xml:space="preserve">e </w:t>
      </w:r>
      <w:r w:rsidR="008F2086">
        <w:rPr>
          <w:rFonts w:ascii="Arial" w:hAnsi="Arial" w:cs="Arial"/>
          <w:sz w:val="22"/>
          <w:szCs w:val="22"/>
        </w:rPr>
        <w:t>an Act of Legislation</w:t>
      </w:r>
      <w:r w:rsidR="00383BA0">
        <w:rPr>
          <w:rFonts w:ascii="Arial" w:hAnsi="Arial" w:cs="Arial"/>
          <w:sz w:val="22"/>
          <w:szCs w:val="22"/>
        </w:rPr>
        <w:t xml:space="preserve"> and create a Reform for the Loopholes identified.</w:t>
      </w:r>
      <w:r w:rsidRPr="00911CEC">
        <w:rPr>
          <w:rFonts w:ascii="Arial" w:hAnsi="Arial" w:cs="Arial"/>
          <w:sz w:val="22"/>
          <w:szCs w:val="22"/>
        </w:rPr>
        <w:t xml:space="preserve"> For the duration of this project, I engaged in discussions with the members, listened to </w:t>
      </w:r>
      <w:r w:rsidR="00911CEC">
        <w:rPr>
          <w:rFonts w:ascii="Arial" w:hAnsi="Arial" w:cs="Arial"/>
          <w:sz w:val="22"/>
          <w:szCs w:val="22"/>
        </w:rPr>
        <w:t xml:space="preserve">the </w:t>
      </w:r>
      <w:r w:rsidRPr="00911CEC">
        <w:rPr>
          <w:rFonts w:ascii="Arial" w:hAnsi="Arial" w:cs="Arial"/>
          <w:sz w:val="22"/>
          <w:szCs w:val="22"/>
        </w:rPr>
        <w:t xml:space="preserve">ideas and opinions that the members wanted to provide, and made sure that the team followed the schedule that was presented to all of us. I have also honed the skills required to actively participate in a group project, </w:t>
      </w:r>
      <w:r w:rsidR="00911CEC">
        <w:rPr>
          <w:rFonts w:ascii="Arial" w:hAnsi="Arial" w:cs="Arial"/>
          <w:sz w:val="22"/>
          <w:szCs w:val="22"/>
        </w:rPr>
        <w:t>value different opinions, as well as</w:t>
      </w:r>
      <w:r w:rsidRPr="00911CEC">
        <w:rPr>
          <w:rFonts w:ascii="Arial" w:hAnsi="Arial" w:cs="Arial"/>
          <w:sz w:val="22"/>
          <w:szCs w:val="22"/>
        </w:rPr>
        <w:t xml:space="preserve"> ensure comprehension of the end goal and complete it successfully.</w:t>
      </w:r>
      <w:r w:rsidR="00EB3388">
        <w:rPr>
          <w:rFonts w:ascii="Arial" w:hAnsi="Arial" w:cs="Arial"/>
          <w:sz w:val="22"/>
          <w:szCs w:val="22"/>
        </w:rPr>
        <w:t xml:space="preserve"> </w:t>
      </w:r>
    </w:p>
    <w:p w14:paraId="391AC781" w14:textId="7177CBC9" w:rsidR="00B14F40" w:rsidRDefault="00D54AC9" w:rsidP="00D54AC9">
      <w:pPr>
        <w:spacing w:line="360" w:lineRule="auto"/>
        <w:rPr>
          <w:rFonts w:ascii="Arial" w:hAnsi="Arial" w:cs="Arial"/>
          <w:sz w:val="22"/>
          <w:szCs w:val="22"/>
        </w:rPr>
      </w:pPr>
      <w:r w:rsidRPr="00911CEC">
        <w:rPr>
          <w:rFonts w:ascii="Arial" w:hAnsi="Arial" w:cs="Arial"/>
          <w:sz w:val="22"/>
          <w:szCs w:val="22"/>
        </w:rPr>
        <w:t xml:space="preserve">These skills will be useful in securing a job after </w:t>
      </w:r>
      <w:r w:rsidR="00911CEC">
        <w:rPr>
          <w:rFonts w:ascii="Arial" w:hAnsi="Arial" w:cs="Arial"/>
          <w:sz w:val="22"/>
          <w:szCs w:val="22"/>
        </w:rPr>
        <w:t>I graduate since they</w:t>
      </w:r>
      <w:r w:rsidR="001D6EDB">
        <w:rPr>
          <w:rFonts w:ascii="Arial" w:hAnsi="Arial" w:cs="Arial"/>
          <w:sz w:val="22"/>
          <w:szCs w:val="22"/>
        </w:rPr>
        <w:t xml:space="preserve"> will strengthen my ability to</w:t>
      </w:r>
      <w:r w:rsidR="00911CEC">
        <w:rPr>
          <w:rFonts w:ascii="Arial" w:hAnsi="Arial" w:cs="Arial"/>
          <w:sz w:val="22"/>
          <w:szCs w:val="22"/>
        </w:rPr>
        <w:t xml:space="preserve"> handl</w:t>
      </w:r>
      <w:r w:rsidR="001D6EDB">
        <w:rPr>
          <w:rFonts w:ascii="Arial" w:hAnsi="Arial" w:cs="Arial"/>
          <w:sz w:val="22"/>
          <w:szCs w:val="22"/>
        </w:rPr>
        <w:t xml:space="preserve">e </w:t>
      </w:r>
      <w:r w:rsidR="00911CEC">
        <w:rPr>
          <w:rFonts w:ascii="Arial" w:hAnsi="Arial" w:cs="Arial"/>
          <w:sz w:val="22"/>
          <w:szCs w:val="22"/>
        </w:rPr>
        <w:t xml:space="preserve">tasks effectively and working in a team, which is </w:t>
      </w:r>
      <w:r w:rsidRPr="00911CEC">
        <w:rPr>
          <w:rFonts w:ascii="Arial" w:hAnsi="Arial" w:cs="Arial"/>
          <w:sz w:val="22"/>
          <w:szCs w:val="22"/>
        </w:rPr>
        <w:t>vital in the practice of law.</w:t>
      </w:r>
    </w:p>
    <w:p w14:paraId="6E580179" w14:textId="77777777" w:rsidR="002F3B6F" w:rsidRDefault="002F3B6F" w:rsidP="00D54AC9">
      <w:pPr>
        <w:spacing w:line="360" w:lineRule="auto"/>
        <w:rPr>
          <w:rFonts w:ascii="Arial" w:hAnsi="Arial" w:cs="Arial"/>
          <w:sz w:val="22"/>
          <w:szCs w:val="22"/>
        </w:rPr>
      </w:pPr>
    </w:p>
    <w:p w14:paraId="1D86FE76" w14:textId="77777777" w:rsidR="002F3B6F" w:rsidRDefault="002F3B6F" w:rsidP="00D54AC9">
      <w:pPr>
        <w:spacing w:line="360" w:lineRule="auto"/>
        <w:rPr>
          <w:rFonts w:ascii="Arial" w:hAnsi="Arial" w:cs="Arial"/>
          <w:sz w:val="22"/>
          <w:szCs w:val="22"/>
        </w:rPr>
      </w:pPr>
    </w:p>
    <w:p w14:paraId="154DA63E" w14:textId="12CD3065" w:rsidR="002F3B6F" w:rsidRDefault="002F3B6F" w:rsidP="002F3B6F">
      <w:pPr>
        <w:spacing w:line="360" w:lineRule="auto"/>
        <w:rPr>
          <w:rFonts w:ascii="Arial" w:hAnsi="Arial" w:cs="Arial"/>
          <w:b/>
          <w:bCs/>
          <w:sz w:val="22"/>
          <w:szCs w:val="22"/>
        </w:rPr>
      </w:pPr>
      <w:r w:rsidRPr="002F3B6F">
        <w:rPr>
          <w:rFonts w:ascii="Arial" w:hAnsi="Arial" w:cs="Arial"/>
          <w:b/>
          <w:bCs/>
          <w:sz w:val="22"/>
          <w:szCs w:val="22"/>
        </w:rPr>
        <w:t>References</w:t>
      </w:r>
      <w:r w:rsidR="008560D1">
        <w:rPr>
          <w:rFonts w:ascii="Arial" w:hAnsi="Arial" w:cs="Arial"/>
          <w:b/>
          <w:bCs/>
          <w:sz w:val="22"/>
          <w:szCs w:val="22"/>
        </w:rPr>
        <w:t xml:space="preserve">: </w:t>
      </w:r>
    </w:p>
    <w:p w14:paraId="2340CEAD" w14:textId="77777777" w:rsidR="008560D1" w:rsidRDefault="008560D1" w:rsidP="008560D1">
      <w:pPr>
        <w:pStyle w:val="NormalWeb"/>
        <w:spacing w:before="0" w:beforeAutospacing="0" w:after="240" w:afterAutospacing="0" w:line="360" w:lineRule="auto"/>
      </w:pPr>
      <w:r>
        <w:t xml:space="preserve">Advani, A., Sturrock, D. and </w:t>
      </w:r>
      <w:proofErr w:type="spellStart"/>
      <w:r>
        <w:t>Ucl</w:t>
      </w:r>
      <w:proofErr w:type="spellEnd"/>
      <w:r>
        <w:t xml:space="preserve">, I. (n.d.). </w:t>
      </w:r>
      <w:r>
        <w:rPr>
          <w:i/>
          <w:iCs/>
        </w:rPr>
        <w:t>Who would be affected by reforming or abolishing IHT?</w:t>
      </w:r>
      <w:r>
        <w:t xml:space="preserve"> [online] Available at: https://ifs.org.uk/sites/default/files/2023-09/Who-would-be-affected-by-reforming-or-abolishing-IHT_0.pdf.</w:t>
      </w:r>
    </w:p>
    <w:p w14:paraId="084575E1" w14:textId="77777777" w:rsidR="008560D1" w:rsidRDefault="008560D1" w:rsidP="008560D1">
      <w:pPr>
        <w:pStyle w:val="NormalWeb"/>
        <w:spacing w:before="0" w:beforeAutospacing="0" w:after="240" w:afterAutospacing="0" w:line="360" w:lineRule="auto"/>
      </w:pPr>
      <w:r>
        <w:lastRenderedPageBreak/>
        <w:t xml:space="preserve">Legislation.gov.uk. (2011a). </w:t>
      </w:r>
      <w:r>
        <w:rPr>
          <w:i/>
          <w:iCs/>
        </w:rPr>
        <w:t>Administration of Estates Act 1925</w:t>
      </w:r>
      <w:r>
        <w:t>. [online] Available at: https://www.legislation.gov.uk/ukpga/Geo5/15-16/23/contents.</w:t>
      </w:r>
    </w:p>
    <w:p w14:paraId="6BC7E099" w14:textId="77777777" w:rsidR="008560D1" w:rsidRDefault="008560D1" w:rsidP="008560D1">
      <w:pPr>
        <w:pStyle w:val="NormalWeb"/>
        <w:spacing w:before="0" w:beforeAutospacing="0" w:after="240" w:afterAutospacing="0" w:line="360" w:lineRule="auto"/>
      </w:pPr>
      <w:r>
        <w:t xml:space="preserve">Legislation.gov.uk. (2011b). </w:t>
      </w:r>
      <w:r>
        <w:rPr>
          <w:i/>
          <w:iCs/>
        </w:rPr>
        <w:t>Inheritance Tax Act 1984</w:t>
      </w:r>
      <w:r>
        <w:t>. [online] Available at: https://www.legislation.gov.uk/ukpga/1984/51/contents.</w:t>
      </w:r>
    </w:p>
    <w:p w14:paraId="6E003FB2" w14:textId="6C3E66CF" w:rsidR="008560D1" w:rsidRDefault="008560D1" w:rsidP="008560D1">
      <w:pPr>
        <w:pStyle w:val="NormalWeb"/>
        <w:spacing w:before="0" w:beforeAutospacing="0" w:after="240" w:afterAutospacing="0" w:line="360" w:lineRule="auto"/>
      </w:pPr>
      <w:r>
        <w:t xml:space="preserve">Legislation.gov.uk. (2012). </w:t>
      </w:r>
      <w:r>
        <w:rPr>
          <w:i/>
          <w:iCs/>
        </w:rPr>
        <w:t>Wills Act 1837</w:t>
      </w:r>
      <w:r>
        <w:t xml:space="preserve">. [online] Available at: </w:t>
      </w:r>
      <w:hyperlink r:id="rId11" w:history="1">
        <w:r w:rsidR="00985D8F" w:rsidRPr="00C63F1D">
          <w:rPr>
            <w:rStyle w:val="Hyperlink"/>
          </w:rPr>
          <w:t>https://www.legislation.gov.uk/ukpga/Will4and1Vict/7/26</w:t>
        </w:r>
      </w:hyperlink>
      <w:r>
        <w:t>.</w:t>
      </w:r>
    </w:p>
    <w:p w14:paraId="6BB46324" w14:textId="77777777" w:rsidR="00985D8F" w:rsidRDefault="00985D8F" w:rsidP="00985D8F">
      <w:pPr>
        <w:pStyle w:val="NormalWeb"/>
        <w:spacing w:before="0" w:beforeAutospacing="0" w:after="240" w:afterAutospacing="0" w:line="360" w:lineRule="auto"/>
      </w:pPr>
      <w:r>
        <w:t xml:space="preserve">Solicitors Regulation Authority (2019a). </w:t>
      </w:r>
      <w:r>
        <w:rPr>
          <w:i/>
          <w:iCs/>
        </w:rPr>
        <w:t>SRA Code of Conduct for Solicitors, RELs and RFLs</w:t>
      </w:r>
      <w:r>
        <w:t>. [online] Solicitors Regulation Authority. Available at: https://www.sra.org.uk/solicitors/standards-regulations/code-conduct-solicitors/.</w:t>
      </w:r>
    </w:p>
    <w:p w14:paraId="024C5D09" w14:textId="77777777" w:rsidR="00985D8F" w:rsidRDefault="00985D8F" w:rsidP="00985D8F">
      <w:pPr>
        <w:pStyle w:val="NormalWeb"/>
        <w:spacing w:before="0" w:beforeAutospacing="0" w:after="240" w:afterAutospacing="0" w:line="360" w:lineRule="auto"/>
      </w:pPr>
      <w:r>
        <w:t xml:space="preserve">Solicitors Regulation Authority (2019b). </w:t>
      </w:r>
      <w:r>
        <w:rPr>
          <w:i/>
          <w:iCs/>
        </w:rPr>
        <w:t>SRA Principles</w:t>
      </w:r>
      <w:r>
        <w:t>. [online] SRA.org.uk. Available at: https://www.sra.org.uk/solicitors/standards-regulations/principles/.</w:t>
      </w:r>
    </w:p>
    <w:p w14:paraId="4699C69C" w14:textId="77777777" w:rsidR="00985D8F" w:rsidRDefault="00985D8F" w:rsidP="00985D8F">
      <w:pPr>
        <w:pStyle w:val="NormalWeb"/>
        <w:spacing w:before="0" w:beforeAutospacing="0" w:after="240" w:afterAutospacing="0" w:line="360" w:lineRule="auto"/>
      </w:pPr>
      <w:r>
        <w:t xml:space="preserve">Sturrock, D. (n.d.). </w:t>
      </w:r>
      <w:r>
        <w:rPr>
          <w:i/>
          <w:iCs/>
        </w:rPr>
        <w:t>The economics of taxing wealth transfers Drawing on work with Arun Advani</w:t>
      </w:r>
      <w:r>
        <w:t>. [online] Available at: https://ifs.org.uk/sites/default/files/2023-12/Slides-from-David-Sturrock-session-3.pdf [Accessed 14 Mar. 2025].</w:t>
      </w:r>
    </w:p>
    <w:p w14:paraId="14652C30" w14:textId="77777777" w:rsidR="00985D8F" w:rsidRDefault="00985D8F" w:rsidP="00985D8F">
      <w:pPr>
        <w:pStyle w:val="NormalWeb"/>
        <w:spacing w:before="0" w:beforeAutospacing="0" w:after="240" w:afterAutospacing="0" w:line="360" w:lineRule="auto"/>
      </w:pPr>
      <w:r>
        <w:t xml:space="preserve">www.sra.org.uk. (2020). </w:t>
      </w:r>
      <w:r>
        <w:rPr>
          <w:i/>
          <w:iCs/>
        </w:rPr>
        <w:t>Transparency in price and service - Guidance</w:t>
      </w:r>
      <w:r>
        <w:t>. [online] Available at: https://www.sra.org.uk/solicitors/guidance/transparency-in-price-and-service/.</w:t>
      </w:r>
    </w:p>
    <w:p w14:paraId="2C600E4A" w14:textId="717A6054" w:rsidR="00985D8F" w:rsidRDefault="00CF7F86" w:rsidP="008560D1">
      <w:pPr>
        <w:pStyle w:val="NormalWeb"/>
        <w:spacing w:before="0" w:beforeAutospacing="0" w:after="240" w:afterAutospacing="0" w:line="360" w:lineRule="auto"/>
        <w:rPr>
          <w:b/>
          <w:bCs/>
        </w:rPr>
      </w:pPr>
      <w:r>
        <w:rPr>
          <w:b/>
          <w:bCs/>
        </w:rPr>
        <w:t>Cases:</w:t>
      </w:r>
    </w:p>
    <w:p w14:paraId="1ECB56B9" w14:textId="7835A37A" w:rsidR="00CF7F86" w:rsidRDefault="00CF7F86" w:rsidP="008560D1">
      <w:pPr>
        <w:pStyle w:val="NormalWeb"/>
        <w:spacing w:before="0" w:beforeAutospacing="0" w:after="240" w:afterAutospacing="0" w:line="360" w:lineRule="auto"/>
        <w:rPr>
          <w:rFonts w:ascii="Arial" w:hAnsi="Arial" w:cs="Arial"/>
          <w:i/>
          <w:iCs/>
          <w:sz w:val="22"/>
          <w:szCs w:val="22"/>
        </w:rPr>
      </w:pPr>
      <w:r w:rsidRPr="00985D8F">
        <w:rPr>
          <w:rFonts w:ascii="Arial" w:hAnsi="Arial" w:cs="Arial"/>
          <w:i/>
          <w:iCs/>
          <w:sz w:val="22"/>
          <w:szCs w:val="22"/>
        </w:rPr>
        <w:t xml:space="preserve">Re </w:t>
      </w:r>
      <w:r>
        <w:rPr>
          <w:rFonts w:ascii="Arial" w:hAnsi="Arial" w:cs="Arial"/>
          <w:i/>
          <w:iCs/>
          <w:sz w:val="22"/>
          <w:szCs w:val="22"/>
        </w:rPr>
        <w:t>A</w:t>
      </w:r>
      <w:r w:rsidRPr="00985D8F">
        <w:rPr>
          <w:rFonts w:ascii="Arial" w:hAnsi="Arial" w:cs="Arial"/>
          <w:i/>
          <w:iCs/>
          <w:sz w:val="22"/>
          <w:szCs w:val="22"/>
        </w:rPr>
        <w:t xml:space="preserve"> Solicitor [1958] 1 WLR 982</w:t>
      </w:r>
    </w:p>
    <w:p w14:paraId="23B9C411" w14:textId="49CFEE1B" w:rsidR="00CF7F86" w:rsidRDefault="00CF7F86" w:rsidP="008560D1">
      <w:pPr>
        <w:pStyle w:val="NormalWeb"/>
        <w:spacing w:before="0" w:beforeAutospacing="0" w:after="240" w:afterAutospacing="0" w:line="360" w:lineRule="auto"/>
        <w:rPr>
          <w:rFonts w:ascii="Arial" w:hAnsi="Arial" w:cs="Arial"/>
          <w:sz w:val="22"/>
          <w:szCs w:val="22"/>
        </w:rPr>
      </w:pPr>
      <w:r w:rsidRPr="00985D8F">
        <w:rPr>
          <w:rFonts w:ascii="Arial" w:hAnsi="Arial" w:cs="Arial"/>
          <w:i/>
          <w:iCs/>
          <w:sz w:val="22"/>
          <w:szCs w:val="22"/>
        </w:rPr>
        <w:t>Banks v Goodfellow (1870) LR 5 QB 549</w:t>
      </w:r>
    </w:p>
    <w:p w14:paraId="7AA667D4" w14:textId="5EBE5731" w:rsidR="00CF7F86" w:rsidRDefault="00CF7F86" w:rsidP="008560D1">
      <w:pPr>
        <w:pStyle w:val="NormalWeb"/>
        <w:spacing w:before="0" w:beforeAutospacing="0" w:after="240" w:afterAutospacing="0" w:line="360" w:lineRule="auto"/>
        <w:rPr>
          <w:rFonts w:ascii="Arial" w:hAnsi="Arial" w:cs="Arial"/>
          <w:i/>
          <w:iCs/>
          <w:sz w:val="22"/>
          <w:szCs w:val="22"/>
        </w:rPr>
      </w:pPr>
      <w:r w:rsidRPr="00985D8F">
        <w:rPr>
          <w:rFonts w:ascii="Arial" w:hAnsi="Arial" w:cs="Arial"/>
          <w:i/>
          <w:iCs/>
          <w:sz w:val="22"/>
          <w:szCs w:val="22"/>
        </w:rPr>
        <w:t>Re Craig [1971] 2 AII ER 390</w:t>
      </w:r>
    </w:p>
    <w:p w14:paraId="18E5C233" w14:textId="35D1B35D" w:rsidR="00CF7F86" w:rsidRDefault="00CF7F86" w:rsidP="008560D1">
      <w:pPr>
        <w:pStyle w:val="NormalWeb"/>
        <w:spacing w:before="0" w:beforeAutospacing="0" w:after="240" w:afterAutospacing="0" w:line="360" w:lineRule="auto"/>
        <w:rPr>
          <w:rFonts w:ascii="Arial" w:hAnsi="Arial" w:cs="Arial"/>
          <w:i/>
          <w:iCs/>
          <w:sz w:val="22"/>
          <w:szCs w:val="22"/>
        </w:rPr>
      </w:pPr>
      <w:r w:rsidRPr="00985D8F">
        <w:rPr>
          <w:rFonts w:ascii="Arial" w:hAnsi="Arial" w:cs="Arial"/>
          <w:i/>
          <w:iCs/>
          <w:sz w:val="22"/>
          <w:szCs w:val="22"/>
        </w:rPr>
        <w:t>Re Beaney [1978]1 WLR 770</w:t>
      </w:r>
      <w:r w:rsidR="00E32553">
        <w:rPr>
          <w:rFonts w:ascii="Arial" w:hAnsi="Arial" w:cs="Arial"/>
          <w:i/>
          <w:iCs/>
          <w:sz w:val="22"/>
          <w:szCs w:val="22"/>
        </w:rPr>
        <w:t>.</w:t>
      </w:r>
    </w:p>
    <w:p w14:paraId="5FA8C057" w14:textId="5EAD34DC" w:rsidR="00E32553" w:rsidRDefault="00E32553" w:rsidP="008560D1">
      <w:pPr>
        <w:pStyle w:val="NormalWeb"/>
        <w:spacing w:before="0" w:beforeAutospacing="0" w:after="240" w:afterAutospacing="0" w:line="360" w:lineRule="auto"/>
        <w:rPr>
          <w:rFonts w:ascii="Arial" w:hAnsi="Arial" w:cs="Arial"/>
          <w:i/>
          <w:iCs/>
          <w:sz w:val="22"/>
          <w:szCs w:val="22"/>
        </w:rPr>
      </w:pPr>
      <w:r w:rsidRPr="00985D8F">
        <w:rPr>
          <w:rFonts w:ascii="Arial" w:hAnsi="Arial" w:cs="Arial"/>
          <w:i/>
          <w:iCs/>
          <w:sz w:val="22"/>
          <w:szCs w:val="22"/>
        </w:rPr>
        <w:t>Re Dennis [1981] 2 AII ER140</w:t>
      </w:r>
      <w:r>
        <w:rPr>
          <w:rFonts w:ascii="Arial" w:hAnsi="Arial" w:cs="Arial"/>
          <w:i/>
          <w:iCs/>
          <w:sz w:val="22"/>
          <w:szCs w:val="22"/>
        </w:rPr>
        <w:t>.</w:t>
      </w:r>
    </w:p>
    <w:p w14:paraId="1661D617" w14:textId="590CE4AA" w:rsidR="00E32553" w:rsidRDefault="00E32553" w:rsidP="008560D1">
      <w:pPr>
        <w:pStyle w:val="NormalWeb"/>
        <w:spacing w:before="0" w:beforeAutospacing="0" w:after="240" w:afterAutospacing="0" w:line="360" w:lineRule="auto"/>
        <w:rPr>
          <w:rFonts w:ascii="Arial" w:hAnsi="Arial" w:cs="Arial"/>
          <w:i/>
          <w:iCs/>
          <w:sz w:val="22"/>
          <w:szCs w:val="22"/>
        </w:rPr>
      </w:pPr>
      <w:r w:rsidRPr="00985D8F">
        <w:rPr>
          <w:rFonts w:ascii="Arial" w:hAnsi="Arial" w:cs="Arial"/>
          <w:i/>
          <w:iCs/>
          <w:sz w:val="22"/>
          <w:szCs w:val="22"/>
        </w:rPr>
        <w:t>Jones v Lock [1865] 1 Ch App 25</w:t>
      </w:r>
      <w:r>
        <w:rPr>
          <w:rFonts w:ascii="Arial" w:hAnsi="Arial" w:cs="Arial"/>
          <w:i/>
          <w:iCs/>
          <w:sz w:val="22"/>
          <w:szCs w:val="22"/>
        </w:rPr>
        <w:t>.</w:t>
      </w:r>
    </w:p>
    <w:p w14:paraId="25C0CE52" w14:textId="14B0ADEC" w:rsidR="008560D1" w:rsidRPr="00E32553" w:rsidRDefault="00E32553" w:rsidP="00E32553">
      <w:pPr>
        <w:pStyle w:val="NormalWeb"/>
        <w:spacing w:before="0" w:beforeAutospacing="0" w:after="240" w:afterAutospacing="0" w:line="360" w:lineRule="auto"/>
        <w:rPr>
          <w:b/>
          <w:bCs/>
        </w:rPr>
      </w:pPr>
      <w:r w:rsidRPr="00985D8F">
        <w:rPr>
          <w:rFonts w:ascii="Arial" w:hAnsi="Arial" w:cs="Arial"/>
          <w:i/>
          <w:iCs/>
          <w:sz w:val="22"/>
          <w:szCs w:val="22"/>
        </w:rPr>
        <w:t>Gissing v Gissing [1971] AC 886</w:t>
      </w:r>
      <w:r>
        <w:rPr>
          <w:rFonts w:ascii="Arial" w:hAnsi="Arial" w:cs="Arial"/>
          <w:i/>
          <w:iCs/>
          <w:sz w:val="22"/>
          <w:szCs w:val="22"/>
        </w:rPr>
        <w:t>.</w:t>
      </w:r>
    </w:p>
    <w:p w14:paraId="2722B31C" w14:textId="082F2BD1" w:rsidR="002F3B6F" w:rsidRDefault="002F3B6F" w:rsidP="002F3B6F">
      <w:pPr>
        <w:spacing w:line="360" w:lineRule="auto"/>
        <w:ind w:left="720" w:hanging="720"/>
        <w:rPr>
          <w:rFonts w:ascii="Arial" w:hAnsi="Arial" w:cs="Arial"/>
          <w:sz w:val="22"/>
          <w:szCs w:val="22"/>
        </w:rPr>
      </w:pPr>
      <w:r w:rsidRPr="002F3B6F">
        <w:rPr>
          <w:rFonts w:ascii="Arial" w:hAnsi="Arial" w:cs="Arial"/>
          <w:i/>
          <w:iCs/>
          <w:sz w:val="22"/>
          <w:szCs w:val="22"/>
        </w:rPr>
        <w:lastRenderedPageBreak/>
        <w:t>Wintle v Nye</w:t>
      </w:r>
      <w:r w:rsidRPr="002F3B6F">
        <w:rPr>
          <w:rFonts w:ascii="Arial" w:hAnsi="Arial" w:cs="Arial"/>
          <w:sz w:val="22"/>
          <w:szCs w:val="22"/>
        </w:rPr>
        <w:t xml:space="preserve"> [1959] 1 WLR 284</w:t>
      </w:r>
      <w:r w:rsidR="00E32553">
        <w:rPr>
          <w:rFonts w:ascii="Arial" w:hAnsi="Arial" w:cs="Arial"/>
          <w:sz w:val="22"/>
          <w:szCs w:val="22"/>
        </w:rPr>
        <w:t>.</w:t>
      </w:r>
    </w:p>
    <w:p w14:paraId="5DDF639E" w14:textId="77777777" w:rsidR="00FA541E" w:rsidRPr="002F3B6F" w:rsidRDefault="00FA541E" w:rsidP="002F3B6F">
      <w:pPr>
        <w:spacing w:line="360" w:lineRule="auto"/>
        <w:ind w:left="720" w:hanging="720"/>
        <w:rPr>
          <w:rFonts w:ascii="Arial" w:hAnsi="Arial" w:cs="Arial"/>
          <w:sz w:val="22"/>
          <w:szCs w:val="22"/>
        </w:rPr>
      </w:pPr>
    </w:p>
    <w:p w14:paraId="6D6F8EA5" w14:textId="77777777" w:rsidR="002F3B6F" w:rsidRPr="00BC30FB" w:rsidRDefault="002F3B6F" w:rsidP="00D54AC9">
      <w:pPr>
        <w:spacing w:line="360" w:lineRule="auto"/>
        <w:rPr>
          <w:rFonts w:ascii="Arial" w:hAnsi="Arial" w:cs="Arial"/>
          <w:sz w:val="22"/>
          <w:szCs w:val="22"/>
        </w:rPr>
      </w:pPr>
    </w:p>
    <w:sectPr w:rsidR="002F3B6F" w:rsidRPr="00BC30FB" w:rsidSect="00244717">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28693" w14:textId="77777777" w:rsidR="0039004C" w:rsidRDefault="0039004C" w:rsidP="007C0ACC">
      <w:pPr>
        <w:spacing w:after="0" w:line="240" w:lineRule="auto"/>
      </w:pPr>
      <w:r>
        <w:separator/>
      </w:r>
    </w:p>
  </w:endnote>
  <w:endnote w:type="continuationSeparator" w:id="0">
    <w:p w14:paraId="0E2A305A" w14:textId="77777777" w:rsidR="0039004C" w:rsidRDefault="0039004C" w:rsidP="007C0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1036555"/>
      <w:docPartObj>
        <w:docPartGallery w:val="Page Numbers (Bottom of Page)"/>
        <w:docPartUnique/>
      </w:docPartObj>
    </w:sdtPr>
    <w:sdtEndPr>
      <w:rPr>
        <w:rFonts w:ascii="Arial" w:hAnsi="Arial" w:cs="Arial"/>
        <w:noProof/>
        <w:sz w:val="22"/>
        <w:szCs w:val="22"/>
      </w:rPr>
    </w:sdtEndPr>
    <w:sdtContent>
      <w:p w14:paraId="1DFF8E61" w14:textId="68CDBF21" w:rsidR="007C0ACC" w:rsidRPr="007C0ACC" w:rsidRDefault="007C0ACC">
        <w:pPr>
          <w:pStyle w:val="Footer"/>
          <w:jc w:val="right"/>
          <w:rPr>
            <w:rFonts w:ascii="Arial" w:hAnsi="Arial" w:cs="Arial"/>
            <w:sz w:val="22"/>
            <w:szCs w:val="22"/>
          </w:rPr>
        </w:pPr>
        <w:r w:rsidRPr="007C0ACC">
          <w:rPr>
            <w:rFonts w:ascii="Arial" w:hAnsi="Arial" w:cs="Arial"/>
            <w:sz w:val="22"/>
            <w:szCs w:val="22"/>
          </w:rPr>
          <w:fldChar w:fldCharType="begin"/>
        </w:r>
        <w:r w:rsidRPr="007C0ACC">
          <w:rPr>
            <w:rFonts w:ascii="Arial" w:hAnsi="Arial" w:cs="Arial"/>
            <w:sz w:val="22"/>
            <w:szCs w:val="22"/>
          </w:rPr>
          <w:instrText xml:space="preserve"> PAGE   \* MERGEFORMAT </w:instrText>
        </w:r>
        <w:r w:rsidRPr="007C0ACC">
          <w:rPr>
            <w:rFonts w:ascii="Arial" w:hAnsi="Arial" w:cs="Arial"/>
            <w:sz w:val="22"/>
            <w:szCs w:val="22"/>
          </w:rPr>
          <w:fldChar w:fldCharType="separate"/>
        </w:r>
        <w:r w:rsidRPr="007C0ACC">
          <w:rPr>
            <w:rFonts w:ascii="Arial" w:hAnsi="Arial" w:cs="Arial"/>
            <w:noProof/>
            <w:sz w:val="22"/>
            <w:szCs w:val="22"/>
          </w:rPr>
          <w:t>2</w:t>
        </w:r>
        <w:r w:rsidRPr="007C0ACC">
          <w:rPr>
            <w:rFonts w:ascii="Arial" w:hAnsi="Arial" w:cs="Arial"/>
            <w:noProof/>
            <w:sz w:val="22"/>
            <w:szCs w:val="22"/>
          </w:rPr>
          <w:fldChar w:fldCharType="end"/>
        </w:r>
      </w:p>
    </w:sdtContent>
  </w:sdt>
  <w:p w14:paraId="24B2EB9F" w14:textId="77777777" w:rsidR="007C0ACC" w:rsidRDefault="007C0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D5B26" w14:textId="77777777" w:rsidR="0039004C" w:rsidRDefault="0039004C" w:rsidP="007C0ACC">
      <w:pPr>
        <w:spacing w:after="0" w:line="240" w:lineRule="auto"/>
      </w:pPr>
      <w:r>
        <w:separator/>
      </w:r>
    </w:p>
  </w:footnote>
  <w:footnote w:type="continuationSeparator" w:id="0">
    <w:p w14:paraId="16B77594" w14:textId="77777777" w:rsidR="0039004C" w:rsidRDefault="0039004C" w:rsidP="007C0A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93F43"/>
    <w:multiLevelType w:val="hybridMultilevel"/>
    <w:tmpl w:val="9B20A9EE"/>
    <w:lvl w:ilvl="0" w:tplc="B0BCAE4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62B4A"/>
    <w:multiLevelType w:val="hybridMultilevel"/>
    <w:tmpl w:val="F9C47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309BB"/>
    <w:multiLevelType w:val="multilevel"/>
    <w:tmpl w:val="0E9AA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D234A"/>
    <w:multiLevelType w:val="multilevel"/>
    <w:tmpl w:val="E8326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A102B9"/>
    <w:multiLevelType w:val="multilevel"/>
    <w:tmpl w:val="250A6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C63F2A"/>
    <w:multiLevelType w:val="hybridMultilevel"/>
    <w:tmpl w:val="C7CA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694901"/>
    <w:multiLevelType w:val="multilevel"/>
    <w:tmpl w:val="D6EE0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D12DBD"/>
    <w:multiLevelType w:val="multilevel"/>
    <w:tmpl w:val="C2408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F10C30"/>
    <w:multiLevelType w:val="multilevel"/>
    <w:tmpl w:val="68B45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095448"/>
    <w:multiLevelType w:val="multilevel"/>
    <w:tmpl w:val="336AE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785B45"/>
    <w:multiLevelType w:val="hybridMultilevel"/>
    <w:tmpl w:val="B0B6E70C"/>
    <w:lvl w:ilvl="0" w:tplc="0809000F">
      <w:start w:val="1"/>
      <w:numFmt w:val="decimal"/>
      <w:lvlText w:val="%1."/>
      <w:lvlJc w:val="left"/>
      <w:pPr>
        <w:ind w:left="720" w:hanging="360"/>
      </w:pPr>
    </w:lvl>
    <w:lvl w:ilvl="1" w:tplc="47E45A5C">
      <w:start w:val="2"/>
      <w:numFmt w:val="bullet"/>
      <w:lvlText w:val="•"/>
      <w:lvlJc w:val="left"/>
      <w:pPr>
        <w:ind w:left="1800" w:hanging="72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120377"/>
    <w:multiLevelType w:val="hybridMultilevel"/>
    <w:tmpl w:val="4AE6EE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8C1326B"/>
    <w:multiLevelType w:val="hybridMultilevel"/>
    <w:tmpl w:val="7C926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241E25"/>
    <w:multiLevelType w:val="hybridMultilevel"/>
    <w:tmpl w:val="4B9E456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9D6803"/>
    <w:multiLevelType w:val="hybridMultilevel"/>
    <w:tmpl w:val="46A0D932"/>
    <w:lvl w:ilvl="0" w:tplc="598E1C4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793E8B"/>
    <w:multiLevelType w:val="hybridMultilevel"/>
    <w:tmpl w:val="E0B88534"/>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81117D"/>
    <w:multiLevelType w:val="hybridMultilevel"/>
    <w:tmpl w:val="3E103FA0"/>
    <w:lvl w:ilvl="0" w:tplc="08090001">
      <w:start w:val="1"/>
      <w:numFmt w:val="bullet"/>
      <w:lvlText w:val=""/>
      <w:lvlJc w:val="left"/>
      <w:pPr>
        <w:ind w:left="1452" w:hanging="360"/>
      </w:pPr>
      <w:rPr>
        <w:rFonts w:ascii="Symbol" w:hAnsi="Symbol" w:hint="default"/>
      </w:rPr>
    </w:lvl>
    <w:lvl w:ilvl="1" w:tplc="08090003" w:tentative="1">
      <w:start w:val="1"/>
      <w:numFmt w:val="bullet"/>
      <w:lvlText w:val="o"/>
      <w:lvlJc w:val="left"/>
      <w:pPr>
        <w:ind w:left="2172" w:hanging="360"/>
      </w:pPr>
      <w:rPr>
        <w:rFonts w:ascii="Courier New" w:hAnsi="Courier New" w:cs="Courier New" w:hint="default"/>
      </w:rPr>
    </w:lvl>
    <w:lvl w:ilvl="2" w:tplc="08090005">
      <w:start w:val="1"/>
      <w:numFmt w:val="bullet"/>
      <w:lvlText w:val=""/>
      <w:lvlJc w:val="left"/>
      <w:pPr>
        <w:ind w:left="2892" w:hanging="360"/>
      </w:pPr>
      <w:rPr>
        <w:rFonts w:ascii="Wingdings" w:hAnsi="Wingdings" w:hint="default"/>
      </w:rPr>
    </w:lvl>
    <w:lvl w:ilvl="3" w:tplc="08090001" w:tentative="1">
      <w:start w:val="1"/>
      <w:numFmt w:val="bullet"/>
      <w:lvlText w:val=""/>
      <w:lvlJc w:val="left"/>
      <w:pPr>
        <w:ind w:left="3612" w:hanging="360"/>
      </w:pPr>
      <w:rPr>
        <w:rFonts w:ascii="Symbol" w:hAnsi="Symbol" w:hint="default"/>
      </w:rPr>
    </w:lvl>
    <w:lvl w:ilvl="4" w:tplc="08090003" w:tentative="1">
      <w:start w:val="1"/>
      <w:numFmt w:val="bullet"/>
      <w:lvlText w:val="o"/>
      <w:lvlJc w:val="left"/>
      <w:pPr>
        <w:ind w:left="4332" w:hanging="360"/>
      </w:pPr>
      <w:rPr>
        <w:rFonts w:ascii="Courier New" w:hAnsi="Courier New" w:cs="Courier New" w:hint="default"/>
      </w:rPr>
    </w:lvl>
    <w:lvl w:ilvl="5" w:tplc="08090005" w:tentative="1">
      <w:start w:val="1"/>
      <w:numFmt w:val="bullet"/>
      <w:lvlText w:val=""/>
      <w:lvlJc w:val="left"/>
      <w:pPr>
        <w:ind w:left="5052" w:hanging="360"/>
      </w:pPr>
      <w:rPr>
        <w:rFonts w:ascii="Wingdings" w:hAnsi="Wingdings" w:hint="default"/>
      </w:rPr>
    </w:lvl>
    <w:lvl w:ilvl="6" w:tplc="08090001" w:tentative="1">
      <w:start w:val="1"/>
      <w:numFmt w:val="bullet"/>
      <w:lvlText w:val=""/>
      <w:lvlJc w:val="left"/>
      <w:pPr>
        <w:ind w:left="5772" w:hanging="360"/>
      </w:pPr>
      <w:rPr>
        <w:rFonts w:ascii="Symbol" w:hAnsi="Symbol" w:hint="default"/>
      </w:rPr>
    </w:lvl>
    <w:lvl w:ilvl="7" w:tplc="08090003" w:tentative="1">
      <w:start w:val="1"/>
      <w:numFmt w:val="bullet"/>
      <w:lvlText w:val="o"/>
      <w:lvlJc w:val="left"/>
      <w:pPr>
        <w:ind w:left="6492" w:hanging="360"/>
      </w:pPr>
      <w:rPr>
        <w:rFonts w:ascii="Courier New" w:hAnsi="Courier New" w:cs="Courier New" w:hint="default"/>
      </w:rPr>
    </w:lvl>
    <w:lvl w:ilvl="8" w:tplc="08090005" w:tentative="1">
      <w:start w:val="1"/>
      <w:numFmt w:val="bullet"/>
      <w:lvlText w:val=""/>
      <w:lvlJc w:val="left"/>
      <w:pPr>
        <w:ind w:left="7212" w:hanging="360"/>
      </w:pPr>
      <w:rPr>
        <w:rFonts w:ascii="Wingdings" w:hAnsi="Wingdings" w:hint="default"/>
      </w:rPr>
    </w:lvl>
  </w:abstractNum>
  <w:abstractNum w:abstractNumId="17" w15:restartNumberingAfterBreak="0">
    <w:nsid w:val="74A0751D"/>
    <w:multiLevelType w:val="hybridMultilevel"/>
    <w:tmpl w:val="68FE3028"/>
    <w:lvl w:ilvl="0" w:tplc="9038455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7A3977"/>
    <w:multiLevelType w:val="hybridMultilevel"/>
    <w:tmpl w:val="8298A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70561D"/>
    <w:multiLevelType w:val="multilevel"/>
    <w:tmpl w:val="97A87024"/>
    <w:lvl w:ilvl="0">
      <w:start w:val="1"/>
      <w:numFmt w:val="decimal"/>
      <w:lvlText w:val="%1."/>
      <w:lvlJc w:val="left"/>
      <w:pPr>
        <w:ind w:left="720" w:hanging="360"/>
      </w:pPr>
      <w:rPr>
        <w:rFonts w:hint="default"/>
      </w:rPr>
    </w:lvl>
    <w:lvl w:ilvl="1">
      <w:start w:val="2"/>
      <w:numFmt w:val="decimal"/>
      <w:isLgl/>
      <w:lvlText w:val="%1.%2"/>
      <w:lvlJc w:val="left"/>
      <w:pPr>
        <w:ind w:left="732" w:hanging="372"/>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50812496">
    <w:abstractNumId w:val="8"/>
  </w:num>
  <w:num w:numId="2" w16cid:durableId="266426232">
    <w:abstractNumId w:val="2"/>
  </w:num>
  <w:num w:numId="3" w16cid:durableId="49306911">
    <w:abstractNumId w:val="6"/>
  </w:num>
  <w:num w:numId="4" w16cid:durableId="1250968352">
    <w:abstractNumId w:val="7"/>
  </w:num>
  <w:num w:numId="5" w16cid:durableId="297802935">
    <w:abstractNumId w:val="9"/>
  </w:num>
  <w:num w:numId="6" w16cid:durableId="298846268">
    <w:abstractNumId w:val="3"/>
  </w:num>
  <w:num w:numId="7" w16cid:durableId="564343780">
    <w:abstractNumId w:val="4"/>
  </w:num>
  <w:num w:numId="8" w16cid:durableId="1839078767">
    <w:abstractNumId w:val="10"/>
  </w:num>
  <w:num w:numId="9" w16cid:durableId="1714231773">
    <w:abstractNumId w:val="0"/>
  </w:num>
  <w:num w:numId="10" w16cid:durableId="915478691">
    <w:abstractNumId w:val="13"/>
  </w:num>
  <w:num w:numId="11" w16cid:durableId="1314794501">
    <w:abstractNumId w:val="18"/>
  </w:num>
  <w:num w:numId="12" w16cid:durableId="2100715220">
    <w:abstractNumId w:val="14"/>
  </w:num>
  <w:num w:numId="13" w16cid:durableId="1242716274">
    <w:abstractNumId w:val="19"/>
  </w:num>
  <w:num w:numId="14" w16cid:durableId="1502576484">
    <w:abstractNumId w:val="1"/>
  </w:num>
  <w:num w:numId="15" w16cid:durableId="8217545">
    <w:abstractNumId w:val="11"/>
  </w:num>
  <w:num w:numId="16" w16cid:durableId="1456868231">
    <w:abstractNumId w:val="16"/>
  </w:num>
  <w:num w:numId="17" w16cid:durableId="1316111240">
    <w:abstractNumId w:val="15"/>
  </w:num>
  <w:num w:numId="18" w16cid:durableId="966811398">
    <w:abstractNumId w:val="12"/>
  </w:num>
  <w:num w:numId="19" w16cid:durableId="1662191853">
    <w:abstractNumId w:val="5"/>
  </w:num>
  <w:num w:numId="20" w16cid:durableId="3860282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7DE"/>
    <w:rsid w:val="000231F5"/>
    <w:rsid w:val="00092AA2"/>
    <w:rsid w:val="000C2D79"/>
    <w:rsid w:val="001807A3"/>
    <w:rsid w:val="00181DA8"/>
    <w:rsid w:val="001D6EDB"/>
    <w:rsid w:val="001E7EF6"/>
    <w:rsid w:val="00212EBE"/>
    <w:rsid w:val="00244717"/>
    <w:rsid w:val="00245AF0"/>
    <w:rsid w:val="002746DE"/>
    <w:rsid w:val="002958B6"/>
    <w:rsid w:val="002D5EFD"/>
    <w:rsid w:val="002F0F95"/>
    <w:rsid w:val="002F3B6F"/>
    <w:rsid w:val="00351CAE"/>
    <w:rsid w:val="00360D1F"/>
    <w:rsid w:val="003816C8"/>
    <w:rsid w:val="00383BA0"/>
    <w:rsid w:val="0039004C"/>
    <w:rsid w:val="003A2F41"/>
    <w:rsid w:val="003B606B"/>
    <w:rsid w:val="004700F2"/>
    <w:rsid w:val="004B64A5"/>
    <w:rsid w:val="00505E26"/>
    <w:rsid w:val="00593ED2"/>
    <w:rsid w:val="005E6DE9"/>
    <w:rsid w:val="00696C37"/>
    <w:rsid w:val="006D561C"/>
    <w:rsid w:val="007007A4"/>
    <w:rsid w:val="0079648B"/>
    <w:rsid w:val="007C0ACC"/>
    <w:rsid w:val="007E141F"/>
    <w:rsid w:val="007E1440"/>
    <w:rsid w:val="00803983"/>
    <w:rsid w:val="00810BF2"/>
    <w:rsid w:val="00830DB5"/>
    <w:rsid w:val="0084053B"/>
    <w:rsid w:val="008560D1"/>
    <w:rsid w:val="008E22AA"/>
    <w:rsid w:val="008F2086"/>
    <w:rsid w:val="00911CEC"/>
    <w:rsid w:val="00985D8F"/>
    <w:rsid w:val="009D43AD"/>
    <w:rsid w:val="00A36380"/>
    <w:rsid w:val="00A42DB9"/>
    <w:rsid w:val="00A44A5B"/>
    <w:rsid w:val="00A847D3"/>
    <w:rsid w:val="00AB224C"/>
    <w:rsid w:val="00AD44DA"/>
    <w:rsid w:val="00AF7396"/>
    <w:rsid w:val="00B14F40"/>
    <w:rsid w:val="00B54F72"/>
    <w:rsid w:val="00B636E8"/>
    <w:rsid w:val="00BC30FB"/>
    <w:rsid w:val="00BD7161"/>
    <w:rsid w:val="00BE5201"/>
    <w:rsid w:val="00C707DE"/>
    <w:rsid w:val="00C756DB"/>
    <w:rsid w:val="00CF7F86"/>
    <w:rsid w:val="00D54AC9"/>
    <w:rsid w:val="00DA1E82"/>
    <w:rsid w:val="00DC4FFA"/>
    <w:rsid w:val="00E32553"/>
    <w:rsid w:val="00E93748"/>
    <w:rsid w:val="00EB3388"/>
    <w:rsid w:val="00EC1282"/>
    <w:rsid w:val="00EE47E0"/>
    <w:rsid w:val="00EF07F9"/>
    <w:rsid w:val="00F12799"/>
    <w:rsid w:val="00F726D2"/>
    <w:rsid w:val="00FA54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F84190"/>
  <w15:chartTrackingRefBased/>
  <w15:docId w15:val="{DAC55351-B008-4E3E-99D9-83B0EA943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7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707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07D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07D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707D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707D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707D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707D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707D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7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707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07D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07D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C707D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C707D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707D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707D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707D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707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7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07D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07D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707DE"/>
    <w:pPr>
      <w:spacing w:before="160"/>
      <w:jc w:val="center"/>
    </w:pPr>
    <w:rPr>
      <w:i/>
      <w:iCs/>
      <w:color w:val="404040" w:themeColor="text1" w:themeTint="BF"/>
    </w:rPr>
  </w:style>
  <w:style w:type="character" w:customStyle="1" w:styleId="QuoteChar">
    <w:name w:val="Quote Char"/>
    <w:basedOn w:val="DefaultParagraphFont"/>
    <w:link w:val="Quote"/>
    <w:uiPriority w:val="29"/>
    <w:rsid w:val="00C707DE"/>
    <w:rPr>
      <w:i/>
      <w:iCs/>
      <w:color w:val="404040" w:themeColor="text1" w:themeTint="BF"/>
    </w:rPr>
  </w:style>
  <w:style w:type="paragraph" w:styleId="ListParagraph">
    <w:name w:val="List Paragraph"/>
    <w:basedOn w:val="Normal"/>
    <w:uiPriority w:val="34"/>
    <w:qFormat/>
    <w:rsid w:val="00C707DE"/>
    <w:pPr>
      <w:ind w:left="720"/>
      <w:contextualSpacing/>
    </w:pPr>
  </w:style>
  <w:style w:type="character" w:styleId="IntenseEmphasis">
    <w:name w:val="Intense Emphasis"/>
    <w:basedOn w:val="DefaultParagraphFont"/>
    <w:uiPriority w:val="21"/>
    <w:qFormat/>
    <w:rsid w:val="00C707DE"/>
    <w:rPr>
      <w:i/>
      <w:iCs/>
      <w:color w:val="2F5496" w:themeColor="accent1" w:themeShade="BF"/>
    </w:rPr>
  </w:style>
  <w:style w:type="paragraph" w:styleId="IntenseQuote">
    <w:name w:val="Intense Quote"/>
    <w:basedOn w:val="Normal"/>
    <w:next w:val="Normal"/>
    <w:link w:val="IntenseQuoteChar"/>
    <w:uiPriority w:val="30"/>
    <w:qFormat/>
    <w:rsid w:val="00C707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07DE"/>
    <w:rPr>
      <w:i/>
      <w:iCs/>
      <w:color w:val="2F5496" w:themeColor="accent1" w:themeShade="BF"/>
    </w:rPr>
  </w:style>
  <w:style w:type="character" w:styleId="IntenseReference">
    <w:name w:val="Intense Reference"/>
    <w:basedOn w:val="DefaultParagraphFont"/>
    <w:uiPriority w:val="32"/>
    <w:qFormat/>
    <w:rsid w:val="00C707DE"/>
    <w:rPr>
      <w:b/>
      <w:bCs/>
      <w:smallCaps/>
      <w:color w:val="2F5496" w:themeColor="accent1" w:themeShade="BF"/>
      <w:spacing w:val="5"/>
    </w:rPr>
  </w:style>
  <w:style w:type="character" w:styleId="Hyperlink">
    <w:name w:val="Hyperlink"/>
    <w:basedOn w:val="DefaultParagraphFont"/>
    <w:uiPriority w:val="99"/>
    <w:unhideWhenUsed/>
    <w:rsid w:val="00C707DE"/>
    <w:rPr>
      <w:color w:val="0563C1" w:themeColor="hyperlink"/>
      <w:u w:val="single"/>
    </w:rPr>
  </w:style>
  <w:style w:type="character" w:styleId="UnresolvedMention">
    <w:name w:val="Unresolved Mention"/>
    <w:basedOn w:val="DefaultParagraphFont"/>
    <w:uiPriority w:val="99"/>
    <w:semiHidden/>
    <w:unhideWhenUsed/>
    <w:rsid w:val="00C707DE"/>
    <w:rPr>
      <w:color w:val="605E5C"/>
      <w:shd w:val="clear" w:color="auto" w:fill="E1DFDD"/>
    </w:rPr>
  </w:style>
  <w:style w:type="paragraph" w:styleId="Header">
    <w:name w:val="header"/>
    <w:basedOn w:val="Normal"/>
    <w:link w:val="HeaderChar"/>
    <w:uiPriority w:val="99"/>
    <w:unhideWhenUsed/>
    <w:rsid w:val="007C0A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ACC"/>
  </w:style>
  <w:style w:type="paragraph" w:styleId="Footer">
    <w:name w:val="footer"/>
    <w:basedOn w:val="Normal"/>
    <w:link w:val="FooterChar"/>
    <w:uiPriority w:val="99"/>
    <w:unhideWhenUsed/>
    <w:rsid w:val="007C0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ACC"/>
  </w:style>
  <w:style w:type="paragraph" w:styleId="NormalWeb">
    <w:name w:val="Normal (Web)"/>
    <w:basedOn w:val="Normal"/>
    <w:uiPriority w:val="99"/>
    <w:unhideWhenUsed/>
    <w:rsid w:val="008560D1"/>
    <w:pPr>
      <w:spacing w:before="100" w:beforeAutospacing="1" w:after="100" w:afterAutospacing="1" w:line="240" w:lineRule="auto"/>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32903">
      <w:bodyDiv w:val="1"/>
      <w:marLeft w:val="0"/>
      <w:marRight w:val="0"/>
      <w:marTop w:val="0"/>
      <w:marBottom w:val="0"/>
      <w:divBdr>
        <w:top w:val="none" w:sz="0" w:space="0" w:color="auto"/>
        <w:left w:val="none" w:sz="0" w:space="0" w:color="auto"/>
        <w:bottom w:val="none" w:sz="0" w:space="0" w:color="auto"/>
        <w:right w:val="none" w:sz="0" w:space="0" w:color="auto"/>
      </w:divBdr>
      <w:divsChild>
        <w:div w:id="644361336">
          <w:marLeft w:val="0"/>
          <w:marRight w:val="0"/>
          <w:marTop w:val="0"/>
          <w:marBottom w:val="0"/>
          <w:divBdr>
            <w:top w:val="none" w:sz="0" w:space="0" w:color="auto"/>
            <w:left w:val="none" w:sz="0" w:space="0" w:color="auto"/>
            <w:bottom w:val="none" w:sz="0" w:space="0" w:color="auto"/>
            <w:right w:val="none" w:sz="0" w:space="0" w:color="auto"/>
          </w:divBdr>
        </w:div>
      </w:divsChild>
    </w:div>
    <w:div w:id="411466681">
      <w:bodyDiv w:val="1"/>
      <w:marLeft w:val="0"/>
      <w:marRight w:val="0"/>
      <w:marTop w:val="0"/>
      <w:marBottom w:val="0"/>
      <w:divBdr>
        <w:top w:val="none" w:sz="0" w:space="0" w:color="auto"/>
        <w:left w:val="none" w:sz="0" w:space="0" w:color="auto"/>
        <w:bottom w:val="none" w:sz="0" w:space="0" w:color="auto"/>
        <w:right w:val="none" w:sz="0" w:space="0" w:color="auto"/>
      </w:divBdr>
    </w:div>
    <w:div w:id="516508979">
      <w:bodyDiv w:val="1"/>
      <w:marLeft w:val="0"/>
      <w:marRight w:val="0"/>
      <w:marTop w:val="0"/>
      <w:marBottom w:val="0"/>
      <w:divBdr>
        <w:top w:val="none" w:sz="0" w:space="0" w:color="auto"/>
        <w:left w:val="none" w:sz="0" w:space="0" w:color="auto"/>
        <w:bottom w:val="none" w:sz="0" w:space="0" w:color="auto"/>
        <w:right w:val="none" w:sz="0" w:space="0" w:color="auto"/>
      </w:divBdr>
    </w:div>
    <w:div w:id="747114885">
      <w:bodyDiv w:val="1"/>
      <w:marLeft w:val="0"/>
      <w:marRight w:val="0"/>
      <w:marTop w:val="0"/>
      <w:marBottom w:val="0"/>
      <w:divBdr>
        <w:top w:val="none" w:sz="0" w:space="0" w:color="auto"/>
        <w:left w:val="none" w:sz="0" w:space="0" w:color="auto"/>
        <w:bottom w:val="none" w:sz="0" w:space="0" w:color="auto"/>
        <w:right w:val="none" w:sz="0" w:space="0" w:color="auto"/>
      </w:divBdr>
      <w:divsChild>
        <w:div w:id="870915148">
          <w:marLeft w:val="0"/>
          <w:marRight w:val="0"/>
          <w:marTop w:val="0"/>
          <w:marBottom w:val="0"/>
          <w:divBdr>
            <w:top w:val="none" w:sz="0" w:space="0" w:color="auto"/>
            <w:left w:val="none" w:sz="0" w:space="0" w:color="auto"/>
            <w:bottom w:val="none" w:sz="0" w:space="0" w:color="auto"/>
            <w:right w:val="none" w:sz="0" w:space="0" w:color="auto"/>
          </w:divBdr>
        </w:div>
      </w:divsChild>
    </w:div>
    <w:div w:id="834688520">
      <w:bodyDiv w:val="1"/>
      <w:marLeft w:val="0"/>
      <w:marRight w:val="0"/>
      <w:marTop w:val="0"/>
      <w:marBottom w:val="0"/>
      <w:divBdr>
        <w:top w:val="none" w:sz="0" w:space="0" w:color="auto"/>
        <w:left w:val="none" w:sz="0" w:space="0" w:color="auto"/>
        <w:bottom w:val="none" w:sz="0" w:space="0" w:color="auto"/>
        <w:right w:val="none" w:sz="0" w:space="0" w:color="auto"/>
      </w:divBdr>
    </w:div>
    <w:div w:id="989361260">
      <w:bodyDiv w:val="1"/>
      <w:marLeft w:val="0"/>
      <w:marRight w:val="0"/>
      <w:marTop w:val="0"/>
      <w:marBottom w:val="0"/>
      <w:divBdr>
        <w:top w:val="none" w:sz="0" w:space="0" w:color="auto"/>
        <w:left w:val="none" w:sz="0" w:space="0" w:color="auto"/>
        <w:bottom w:val="none" w:sz="0" w:space="0" w:color="auto"/>
        <w:right w:val="none" w:sz="0" w:space="0" w:color="auto"/>
      </w:divBdr>
    </w:div>
    <w:div w:id="1043405664">
      <w:bodyDiv w:val="1"/>
      <w:marLeft w:val="0"/>
      <w:marRight w:val="0"/>
      <w:marTop w:val="0"/>
      <w:marBottom w:val="0"/>
      <w:divBdr>
        <w:top w:val="none" w:sz="0" w:space="0" w:color="auto"/>
        <w:left w:val="none" w:sz="0" w:space="0" w:color="auto"/>
        <w:bottom w:val="none" w:sz="0" w:space="0" w:color="auto"/>
        <w:right w:val="none" w:sz="0" w:space="0" w:color="auto"/>
      </w:divBdr>
    </w:div>
    <w:div w:id="1065109156">
      <w:bodyDiv w:val="1"/>
      <w:marLeft w:val="0"/>
      <w:marRight w:val="0"/>
      <w:marTop w:val="0"/>
      <w:marBottom w:val="0"/>
      <w:divBdr>
        <w:top w:val="none" w:sz="0" w:space="0" w:color="auto"/>
        <w:left w:val="none" w:sz="0" w:space="0" w:color="auto"/>
        <w:bottom w:val="none" w:sz="0" w:space="0" w:color="auto"/>
        <w:right w:val="none" w:sz="0" w:space="0" w:color="auto"/>
      </w:divBdr>
    </w:div>
    <w:div w:id="1129133344">
      <w:bodyDiv w:val="1"/>
      <w:marLeft w:val="0"/>
      <w:marRight w:val="0"/>
      <w:marTop w:val="0"/>
      <w:marBottom w:val="0"/>
      <w:divBdr>
        <w:top w:val="none" w:sz="0" w:space="0" w:color="auto"/>
        <w:left w:val="none" w:sz="0" w:space="0" w:color="auto"/>
        <w:bottom w:val="none" w:sz="0" w:space="0" w:color="auto"/>
        <w:right w:val="none" w:sz="0" w:space="0" w:color="auto"/>
      </w:divBdr>
    </w:div>
    <w:div w:id="1190725448">
      <w:bodyDiv w:val="1"/>
      <w:marLeft w:val="0"/>
      <w:marRight w:val="0"/>
      <w:marTop w:val="0"/>
      <w:marBottom w:val="0"/>
      <w:divBdr>
        <w:top w:val="none" w:sz="0" w:space="0" w:color="auto"/>
        <w:left w:val="none" w:sz="0" w:space="0" w:color="auto"/>
        <w:bottom w:val="none" w:sz="0" w:space="0" w:color="auto"/>
        <w:right w:val="none" w:sz="0" w:space="0" w:color="auto"/>
      </w:divBdr>
      <w:divsChild>
        <w:div w:id="1150100798">
          <w:marLeft w:val="0"/>
          <w:marRight w:val="0"/>
          <w:marTop w:val="0"/>
          <w:marBottom w:val="0"/>
          <w:divBdr>
            <w:top w:val="single" w:sz="2" w:space="0" w:color="E3E3E3"/>
            <w:left w:val="single" w:sz="2" w:space="0" w:color="E3E3E3"/>
            <w:bottom w:val="single" w:sz="2" w:space="0" w:color="E3E3E3"/>
            <w:right w:val="single" w:sz="2" w:space="0" w:color="E3E3E3"/>
          </w:divBdr>
          <w:divsChild>
            <w:div w:id="1706448523">
              <w:marLeft w:val="0"/>
              <w:marRight w:val="0"/>
              <w:marTop w:val="0"/>
              <w:marBottom w:val="0"/>
              <w:divBdr>
                <w:top w:val="single" w:sz="2" w:space="0" w:color="E3E3E3"/>
                <w:left w:val="single" w:sz="2" w:space="0" w:color="E3E3E3"/>
                <w:bottom w:val="single" w:sz="2" w:space="0" w:color="E3E3E3"/>
                <w:right w:val="single" w:sz="2" w:space="0" w:color="E3E3E3"/>
              </w:divBdr>
              <w:divsChild>
                <w:div w:id="1014914347">
                  <w:marLeft w:val="0"/>
                  <w:marRight w:val="0"/>
                  <w:marTop w:val="0"/>
                  <w:marBottom w:val="0"/>
                  <w:divBdr>
                    <w:top w:val="single" w:sz="2" w:space="0" w:color="E3E3E3"/>
                    <w:left w:val="single" w:sz="2" w:space="0" w:color="E3E3E3"/>
                    <w:bottom w:val="single" w:sz="2" w:space="0" w:color="E3E3E3"/>
                    <w:right w:val="single" w:sz="2" w:space="0" w:color="E3E3E3"/>
                  </w:divBdr>
                  <w:divsChild>
                    <w:div w:id="1470784117">
                      <w:marLeft w:val="0"/>
                      <w:marRight w:val="0"/>
                      <w:marTop w:val="0"/>
                      <w:marBottom w:val="0"/>
                      <w:divBdr>
                        <w:top w:val="single" w:sz="2" w:space="0" w:color="E3E3E3"/>
                        <w:left w:val="single" w:sz="2" w:space="0" w:color="E3E3E3"/>
                        <w:bottom w:val="single" w:sz="2" w:space="0" w:color="E3E3E3"/>
                        <w:right w:val="single" w:sz="2" w:space="0" w:color="E3E3E3"/>
                      </w:divBdr>
                      <w:divsChild>
                        <w:div w:id="1885823125">
                          <w:marLeft w:val="0"/>
                          <w:marRight w:val="0"/>
                          <w:marTop w:val="0"/>
                          <w:marBottom w:val="0"/>
                          <w:divBdr>
                            <w:top w:val="single" w:sz="2" w:space="0" w:color="E3E3E3"/>
                            <w:left w:val="single" w:sz="2" w:space="0" w:color="E3E3E3"/>
                            <w:bottom w:val="single" w:sz="2" w:space="0" w:color="E3E3E3"/>
                            <w:right w:val="single" w:sz="2" w:space="0" w:color="E3E3E3"/>
                          </w:divBdr>
                          <w:divsChild>
                            <w:div w:id="2070761050">
                              <w:marLeft w:val="0"/>
                              <w:marRight w:val="0"/>
                              <w:marTop w:val="0"/>
                              <w:marBottom w:val="0"/>
                              <w:divBdr>
                                <w:top w:val="single" w:sz="2" w:space="0" w:color="E3E3E3"/>
                                <w:left w:val="single" w:sz="2" w:space="0" w:color="E3E3E3"/>
                                <w:bottom w:val="single" w:sz="2" w:space="0" w:color="E3E3E3"/>
                                <w:right w:val="single" w:sz="2" w:space="0" w:color="E3E3E3"/>
                              </w:divBdr>
                              <w:divsChild>
                                <w:div w:id="2055960394">
                                  <w:marLeft w:val="0"/>
                                  <w:marRight w:val="0"/>
                                  <w:marTop w:val="0"/>
                                  <w:marBottom w:val="0"/>
                                  <w:divBdr>
                                    <w:top w:val="single" w:sz="2" w:space="0" w:color="E3E3E3"/>
                                    <w:left w:val="single" w:sz="2" w:space="0" w:color="E3E3E3"/>
                                    <w:bottom w:val="single" w:sz="2" w:space="0" w:color="E3E3E3"/>
                                    <w:right w:val="single" w:sz="2" w:space="0" w:color="E3E3E3"/>
                                  </w:divBdr>
                                  <w:divsChild>
                                    <w:div w:id="727993172">
                                      <w:marLeft w:val="0"/>
                                      <w:marRight w:val="0"/>
                                      <w:marTop w:val="0"/>
                                      <w:marBottom w:val="0"/>
                                      <w:divBdr>
                                        <w:top w:val="single" w:sz="2" w:space="0" w:color="E3E3E3"/>
                                        <w:left w:val="single" w:sz="2" w:space="0" w:color="E3E3E3"/>
                                        <w:bottom w:val="single" w:sz="2" w:space="0" w:color="E3E3E3"/>
                                        <w:right w:val="single" w:sz="2" w:space="0" w:color="E3E3E3"/>
                                      </w:divBdr>
                                      <w:divsChild>
                                        <w:div w:id="1129012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387530832">
      <w:bodyDiv w:val="1"/>
      <w:marLeft w:val="0"/>
      <w:marRight w:val="0"/>
      <w:marTop w:val="0"/>
      <w:marBottom w:val="0"/>
      <w:divBdr>
        <w:top w:val="none" w:sz="0" w:space="0" w:color="auto"/>
        <w:left w:val="none" w:sz="0" w:space="0" w:color="auto"/>
        <w:bottom w:val="none" w:sz="0" w:space="0" w:color="auto"/>
        <w:right w:val="none" w:sz="0" w:space="0" w:color="auto"/>
      </w:divBdr>
    </w:div>
    <w:div w:id="1455177485">
      <w:bodyDiv w:val="1"/>
      <w:marLeft w:val="0"/>
      <w:marRight w:val="0"/>
      <w:marTop w:val="0"/>
      <w:marBottom w:val="0"/>
      <w:divBdr>
        <w:top w:val="none" w:sz="0" w:space="0" w:color="auto"/>
        <w:left w:val="none" w:sz="0" w:space="0" w:color="auto"/>
        <w:bottom w:val="none" w:sz="0" w:space="0" w:color="auto"/>
        <w:right w:val="none" w:sz="0" w:space="0" w:color="auto"/>
      </w:divBdr>
    </w:div>
    <w:div w:id="1479344875">
      <w:bodyDiv w:val="1"/>
      <w:marLeft w:val="0"/>
      <w:marRight w:val="0"/>
      <w:marTop w:val="0"/>
      <w:marBottom w:val="0"/>
      <w:divBdr>
        <w:top w:val="none" w:sz="0" w:space="0" w:color="auto"/>
        <w:left w:val="none" w:sz="0" w:space="0" w:color="auto"/>
        <w:bottom w:val="none" w:sz="0" w:space="0" w:color="auto"/>
        <w:right w:val="none" w:sz="0" w:space="0" w:color="auto"/>
      </w:divBdr>
    </w:div>
    <w:div w:id="1519196944">
      <w:bodyDiv w:val="1"/>
      <w:marLeft w:val="0"/>
      <w:marRight w:val="0"/>
      <w:marTop w:val="0"/>
      <w:marBottom w:val="0"/>
      <w:divBdr>
        <w:top w:val="none" w:sz="0" w:space="0" w:color="auto"/>
        <w:left w:val="none" w:sz="0" w:space="0" w:color="auto"/>
        <w:bottom w:val="none" w:sz="0" w:space="0" w:color="auto"/>
        <w:right w:val="none" w:sz="0" w:space="0" w:color="auto"/>
      </w:divBdr>
    </w:div>
    <w:div w:id="1570727872">
      <w:bodyDiv w:val="1"/>
      <w:marLeft w:val="0"/>
      <w:marRight w:val="0"/>
      <w:marTop w:val="0"/>
      <w:marBottom w:val="0"/>
      <w:divBdr>
        <w:top w:val="none" w:sz="0" w:space="0" w:color="auto"/>
        <w:left w:val="none" w:sz="0" w:space="0" w:color="auto"/>
        <w:bottom w:val="none" w:sz="0" w:space="0" w:color="auto"/>
        <w:right w:val="none" w:sz="0" w:space="0" w:color="auto"/>
      </w:divBdr>
      <w:divsChild>
        <w:div w:id="1550335286">
          <w:marLeft w:val="0"/>
          <w:marRight w:val="0"/>
          <w:marTop w:val="0"/>
          <w:marBottom w:val="0"/>
          <w:divBdr>
            <w:top w:val="none" w:sz="0" w:space="0" w:color="auto"/>
            <w:left w:val="none" w:sz="0" w:space="0" w:color="auto"/>
            <w:bottom w:val="none" w:sz="0" w:space="0" w:color="auto"/>
            <w:right w:val="none" w:sz="0" w:space="0" w:color="auto"/>
          </w:divBdr>
        </w:div>
      </w:divsChild>
    </w:div>
    <w:div w:id="1612081163">
      <w:bodyDiv w:val="1"/>
      <w:marLeft w:val="0"/>
      <w:marRight w:val="0"/>
      <w:marTop w:val="0"/>
      <w:marBottom w:val="0"/>
      <w:divBdr>
        <w:top w:val="none" w:sz="0" w:space="0" w:color="auto"/>
        <w:left w:val="none" w:sz="0" w:space="0" w:color="auto"/>
        <w:bottom w:val="none" w:sz="0" w:space="0" w:color="auto"/>
        <w:right w:val="none" w:sz="0" w:space="0" w:color="auto"/>
      </w:divBdr>
    </w:div>
    <w:div w:id="1647860007">
      <w:bodyDiv w:val="1"/>
      <w:marLeft w:val="0"/>
      <w:marRight w:val="0"/>
      <w:marTop w:val="0"/>
      <w:marBottom w:val="0"/>
      <w:divBdr>
        <w:top w:val="none" w:sz="0" w:space="0" w:color="auto"/>
        <w:left w:val="none" w:sz="0" w:space="0" w:color="auto"/>
        <w:bottom w:val="none" w:sz="0" w:space="0" w:color="auto"/>
        <w:right w:val="none" w:sz="0" w:space="0" w:color="auto"/>
      </w:divBdr>
    </w:div>
    <w:div w:id="1972782050">
      <w:bodyDiv w:val="1"/>
      <w:marLeft w:val="0"/>
      <w:marRight w:val="0"/>
      <w:marTop w:val="0"/>
      <w:marBottom w:val="0"/>
      <w:divBdr>
        <w:top w:val="none" w:sz="0" w:space="0" w:color="auto"/>
        <w:left w:val="none" w:sz="0" w:space="0" w:color="auto"/>
        <w:bottom w:val="none" w:sz="0" w:space="0" w:color="auto"/>
        <w:right w:val="none" w:sz="0" w:space="0" w:color="auto"/>
      </w:divBdr>
    </w:div>
    <w:div w:id="2022735291">
      <w:bodyDiv w:val="1"/>
      <w:marLeft w:val="0"/>
      <w:marRight w:val="0"/>
      <w:marTop w:val="0"/>
      <w:marBottom w:val="0"/>
      <w:divBdr>
        <w:top w:val="none" w:sz="0" w:space="0" w:color="auto"/>
        <w:left w:val="none" w:sz="0" w:space="0" w:color="auto"/>
        <w:bottom w:val="none" w:sz="0" w:space="0" w:color="auto"/>
        <w:right w:val="none" w:sz="0" w:space="0" w:color="auto"/>
      </w:divBdr>
    </w:div>
    <w:div w:id="2052881749">
      <w:bodyDiv w:val="1"/>
      <w:marLeft w:val="0"/>
      <w:marRight w:val="0"/>
      <w:marTop w:val="0"/>
      <w:marBottom w:val="0"/>
      <w:divBdr>
        <w:top w:val="none" w:sz="0" w:space="0" w:color="auto"/>
        <w:left w:val="none" w:sz="0" w:space="0" w:color="auto"/>
        <w:bottom w:val="none" w:sz="0" w:space="0" w:color="auto"/>
        <w:right w:val="none" w:sz="0" w:space="0" w:color="auto"/>
      </w:divBdr>
    </w:div>
    <w:div w:id="214299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Will4and1Vict/7/26" TargetMode="External"/><Relationship Id="rId5" Type="http://schemas.openxmlformats.org/officeDocument/2006/relationships/webSettings" Target="webSettings.xml"/><Relationship Id="rId10" Type="http://schemas.openxmlformats.org/officeDocument/2006/relationships/hyperlink" Target="https://commonslibrary.parliament.uk/research-briefings/sn00093/" TargetMode="External"/><Relationship Id="rId4" Type="http://schemas.openxmlformats.org/officeDocument/2006/relationships/settings" Target="settings.xml"/><Relationship Id="rId9" Type="http://schemas.openxmlformats.org/officeDocument/2006/relationships/hyperlink" Target="https://ifs.org.uk/sites/default/files/2023-09/Who-would-be-affected-by-reforming-or-abolishing-IHT_0.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C26D6-93CF-4313-AAE3-D9493AB5A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11</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Gavrila (2024671)</cp:lastModifiedBy>
  <cp:revision>2</cp:revision>
  <dcterms:created xsi:type="dcterms:W3CDTF">2025-03-13T12:26:00Z</dcterms:created>
  <dcterms:modified xsi:type="dcterms:W3CDTF">2025-03-14T19:48:00Z</dcterms:modified>
</cp:coreProperties>
</file>