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70F392" w14:textId="30BCD3FC" w:rsidR="004044CE" w:rsidRPr="004044CE" w:rsidRDefault="004044CE" w:rsidP="004044CE">
      <w:pPr>
        <w:jc w:val="center"/>
      </w:pPr>
    </w:p>
    <w:p w14:paraId="3A3D210D" w14:textId="571D48CE" w:rsidR="004044CE" w:rsidRPr="004044CE" w:rsidRDefault="004044CE" w:rsidP="004044CE">
      <w:pPr>
        <w:jc w:val="center"/>
      </w:pPr>
    </w:p>
    <w:p w14:paraId="5629B09C" w14:textId="197EF402" w:rsidR="004044CE" w:rsidRPr="004044CE" w:rsidRDefault="004044CE" w:rsidP="004044CE">
      <w:pPr>
        <w:jc w:val="center"/>
      </w:pPr>
    </w:p>
    <w:p w14:paraId="1869360D" w14:textId="3663BD28" w:rsidR="004044CE" w:rsidRPr="004044CE" w:rsidRDefault="004044CE" w:rsidP="004044CE">
      <w:pPr>
        <w:jc w:val="center"/>
      </w:pPr>
    </w:p>
    <w:p w14:paraId="174B6159" w14:textId="2B5C6580" w:rsidR="004044CE" w:rsidRPr="004044CE" w:rsidRDefault="004044CE" w:rsidP="004044CE">
      <w:pPr>
        <w:jc w:val="center"/>
      </w:pPr>
      <w:r w:rsidRPr="004044CE">
        <w:rPr>
          <w:i/>
          <w:iCs/>
        </w:rPr>
        <w:t>University of Wales</w:t>
      </w:r>
    </w:p>
    <w:p w14:paraId="41E257E4" w14:textId="12AE9B4C" w:rsidR="004044CE" w:rsidRPr="004044CE" w:rsidRDefault="004044CE" w:rsidP="004044CE">
      <w:pPr>
        <w:jc w:val="center"/>
      </w:pPr>
      <w:r w:rsidRPr="004044CE">
        <w:rPr>
          <w:i/>
          <w:iCs/>
        </w:rPr>
        <w:t>Trinity Saint David</w:t>
      </w:r>
    </w:p>
    <w:p w14:paraId="2352A763" w14:textId="4F886423" w:rsidR="004044CE" w:rsidRPr="004044CE" w:rsidRDefault="004044CE" w:rsidP="004044CE">
      <w:pPr>
        <w:jc w:val="center"/>
      </w:pPr>
    </w:p>
    <w:p w14:paraId="34EC4779" w14:textId="3E766F07" w:rsidR="004044CE" w:rsidRPr="004044CE" w:rsidRDefault="004044CE" w:rsidP="004044CE">
      <w:pPr>
        <w:jc w:val="center"/>
      </w:pPr>
    </w:p>
    <w:p w14:paraId="677EC3DF" w14:textId="608E30FD" w:rsidR="004044CE" w:rsidRPr="004044CE" w:rsidRDefault="004044CE" w:rsidP="004044CE">
      <w:pPr>
        <w:jc w:val="center"/>
      </w:pPr>
    </w:p>
    <w:p w14:paraId="052D36D4" w14:textId="49FA44C2" w:rsidR="004044CE" w:rsidRPr="004044CE" w:rsidRDefault="004044CE" w:rsidP="004044CE">
      <w:pPr>
        <w:jc w:val="center"/>
      </w:pPr>
    </w:p>
    <w:p w14:paraId="329D1D50" w14:textId="212CA111" w:rsidR="004044CE" w:rsidRPr="004044CE" w:rsidRDefault="004044CE" w:rsidP="004044CE">
      <w:pPr>
        <w:jc w:val="center"/>
      </w:pPr>
      <w:r w:rsidRPr="004044CE">
        <w:rPr>
          <w:rFonts w:ascii="Arial" w:hAnsi="Arial" w:cs="Arial"/>
          <w:i/>
          <w:iCs/>
        </w:rPr>
        <w:t> </w:t>
      </w:r>
    </w:p>
    <w:p w14:paraId="680F6C64" w14:textId="77777777" w:rsidR="008F308D" w:rsidRDefault="008F308D" w:rsidP="004044CE">
      <w:pPr>
        <w:jc w:val="center"/>
        <w:rPr>
          <w:i/>
          <w:iCs/>
        </w:rPr>
      </w:pPr>
      <w:r>
        <w:rPr>
          <w:i/>
          <w:iCs/>
        </w:rPr>
        <w:t>D</w:t>
      </w:r>
      <w:r w:rsidRPr="008F308D">
        <w:rPr>
          <w:i/>
          <w:iCs/>
        </w:rPr>
        <w:t xml:space="preserve">esigning a kiteboard hydrofoil: </w:t>
      </w:r>
    </w:p>
    <w:p w14:paraId="7DCFDFDA" w14:textId="4526441A" w:rsidR="004044CE" w:rsidRPr="004044CE" w:rsidRDefault="008F308D" w:rsidP="004044CE">
      <w:pPr>
        <w:jc w:val="center"/>
      </w:pPr>
      <w:r w:rsidRPr="008F308D">
        <w:rPr>
          <w:i/>
          <w:iCs/>
        </w:rPr>
        <w:t xml:space="preserve">Fluid flow assessment </w:t>
      </w:r>
    </w:p>
    <w:p w14:paraId="2ACB9E84" w14:textId="6909C735" w:rsidR="004044CE" w:rsidRPr="004044CE" w:rsidRDefault="004044CE" w:rsidP="004044CE">
      <w:pPr>
        <w:jc w:val="center"/>
      </w:pPr>
    </w:p>
    <w:p w14:paraId="608CEC38" w14:textId="372C3184" w:rsidR="004044CE" w:rsidRPr="004044CE" w:rsidRDefault="004044CE" w:rsidP="004044CE">
      <w:pPr>
        <w:jc w:val="center"/>
      </w:pPr>
    </w:p>
    <w:p w14:paraId="194EF803" w14:textId="3574790F" w:rsidR="004044CE" w:rsidRPr="004044CE" w:rsidRDefault="004044CE" w:rsidP="004044CE">
      <w:pPr>
        <w:jc w:val="center"/>
      </w:pPr>
    </w:p>
    <w:p w14:paraId="058D5280" w14:textId="505501B3" w:rsidR="004044CE" w:rsidRPr="004044CE" w:rsidRDefault="004044CE" w:rsidP="004044CE">
      <w:pPr>
        <w:jc w:val="center"/>
      </w:pPr>
    </w:p>
    <w:p w14:paraId="19A2AFF3" w14:textId="682F1447" w:rsidR="004044CE" w:rsidRPr="004044CE" w:rsidRDefault="004044CE" w:rsidP="004044CE">
      <w:pPr>
        <w:jc w:val="center"/>
      </w:pPr>
    </w:p>
    <w:p w14:paraId="1144C0A4" w14:textId="7129E957" w:rsidR="004044CE" w:rsidRPr="004044CE" w:rsidRDefault="004044CE" w:rsidP="004044CE">
      <w:pPr>
        <w:jc w:val="center"/>
      </w:pPr>
    </w:p>
    <w:p w14:paraId="159F125F" w14:textId="6FE9B0FA" w:rsidR="004044CE" w:rsidRPr="004044CE" w:rsidRDefault="004044CE" w:rsidP="004044CE">
      <w:pPr>
        <w:jc w:val="center"/>
      </w:pPr>
      <w:r w:rsidRPr="004044CE">
        <w:rPr>
          <w:i/>
          <w:iCs/>
        </w:rPr>
        <w:t>By Carissa George</w:t>
      </w:r>
    </w:p>
    <w:p w14:paraId="1290823C" w14:textId="7337691E" w:rsidR="004044CE" w:rsidRPr="004044CE" w:rsidRDefault="004044CE" w:rsidP="004044CE">
      <w:pPr>
        <w:jc w:val="center"/>
      </w:pPr>
      <w:r w:rsidRPr="004044CE">
        <w:rPr>
          <w:i/>
          <w:iCs/>
        </w:rPr>
        <w:t>ACMA6010: Structural &amp; Fluid Analysis</w:t>
      </w:r>
      <w:r w:rsidRPr="004044CE">
        <w:rPr>
          <w:rFonts w:ascii="Arial" w:hAnsi="Arial" w:cs="Arial"/>
          <w:i/>
          <w:iCs/>
        </w:rPr>
        <w:t> </w:t>
      </w:r>
    </w:p>
    <w:p w14:paraId="4CE0E25B" w14:textId="2B6AFF79" w:rsidR="004044CE" w:rsidRPr="004044CE" w:rsidRDefault="004044CE" w:rsidP="004044CE">
      <w:pPr>
        <w:jc w:val="center"/>
      </w:pPr>
      <w:r w:rsidRPr="004044CE">
        <w:rPr>
          <w:i/>
          <w:iCs/>
        </w:rPr>
        <w:t>2</w:t>
      </w:r>
      <w:r w:rsidR="00247FD8">
        <w:rPr>
          <w:i/>
          <w:iCs/>
        </w:rPr>
        <w:t>3</w:t>
      </w:r>
      <w:r w:rsidRPr="004044CE">
        <w:rPr>
          <w:i/>
          <w:iCs/>
        </w:rPr>
        <w:t>/1</w:t>
      </w:r>
      <w:r w:rsidR="00247FD8">
        <w:rPr>
          <w:i/>
          <w:iCs/>
        </w:rPr>
        <w:t>1</w:t>
      </w:r>
      <w:r w:rsidRPr="004044CE">
        <w:rPr>
          <w:i/>
          <w:iCs/>
        </w:rPr>
        <w:t>/2025</w:t>
      </w:r>
    </w:p>
    <w:p w14:paraId="6A589D7D" w14:textId="5CFB3CC3" w:rsidR="00151228" w:rsidRDefault="004044CE" w:rsidP="004044CE">
      <w:pPr>
        <w:jc w:val="center"/>
        <w:rPr>
          <w:i/>
          <w:iCs/>
        </w:rPr>
      </w:pPr>
      <w:r w:rsidRPr="004044CE">
        <w:rPr>
          <w:i/>
          <w:iCs/>
        </w:rPr>
        <w:t>Word count: 3000</w:t>
      </w:r>
    </w:p>
    <w:p w14:paraId="2D56E6D9" w14:textId="77777777" w:rsidR="00151228" w:rsidRDefault="00151228">
      <w:pPr>
        <w:rPr>
          <w:i/>
          <w:iCs/>
        </w:rPr>
      </w:pPr>
      <w:r>
        <w:rPr>
          <w:i/>
          <w:iCs/>
        </w:rPr>
        <w:br w:type="page"/>
      </w:r>
    </w:p>
    <w:p w14:paraId="4BAD935D" w14:textId="0604093D" w:rsidR="004044CE" w:rsidRDefault="00B62A67" w:rsidP="00B6294E">
      <w:pPr>
        <w:pStyle w:val="Heading1"/>
      </w:pPr>
      <w:r>
        <w:lastRenderedPageBreak/>
        <w:t>Abstract</w:t>
      </w:r>
    </w:p>
    <w:p w14:paraId="1D01D18B" w14:textId="5861B82F" w:rsidR="00B62A67" w:rsidRDefault="007D0DDA" w:rsidP="00151228">
      <w:r w:rsidRPr="007D0DDA">
        <w:t>This report investigates the fluid flow behaviour around a kiteboard hydrofoil wing and evaluates how hydrodynamic forces influence performanc</w:t>
      </w:r>
      <w:r>
        <w:t>e.</w:t>
      </w:r>
      <w:r w:rsidRPr="007D0DDA">
        <w:t xml:space="preserve"> Reynolds number analysis shows the wing operates in a fully turbulent regime in both fresh and seawater. Boundary-layer characteristics, flow separation, and wing geometry are examined to understand their effects on lift, drag, and stability. The validity of the 500N load used in</w:t>
      </w:r>
      <w:r w:rsidR="00D81283">
        <w:t xml:space="preserve"> a</w:t>
      </w:r>
      <w:r w:rsidRPr="007D0DDA">
        <w:t xml:space="preserve"> structural analysis</w:t>
      </w:r>
      <w:r w:rsidR="00D81283">
        <w:t xml:space="preserve"> report</w:t>
      </w:r>
      <w:r w:rsidRPr="007D0DDA">
        <w:t xml:space="preserve"> is assessed. The suitability of CFRP for hydrofoil </w:t>
      </w:r>
      <w:r w:rsidR="00D81283">
        <w:t>design</w:t>
      </w:r>
      <w:r w:rsidRPr="007D0DDA">
        <w:t xml:space="preserve"> is evaluated, including mechanical properties, corrosion resistance, and manufacturing considerations. </w:t>
      </w:r>
      <w:r w:rsidR="00D74228">
        <w:t>An experimental</w:t>
      </w:r>
      <w:r w:rsidRPr="007D0DDA">
        <w:t xml:space="preserve"> testing plan </w:t>
      </w:r>
      <w:r w:rsidR="00D74228">
        <w:t>is</w:t>
      </w:r>
      <w:r w:rsidRPr="007D0DDA">
        <w:t xml:space="preserve"> proposed to validate </w:t>
      </w:r>
      <w:r w:rsidR="00D74228">
        <w:t xml:space="preserve">the </w:t>
      </w:r>
      <w:r w:rsidRPr="007D0DDA">
        <w:t>hydrodynamic performance.</w:t>
      </w:r>
    </w:p>
    <w:sdt>
      <w:sdtPr>
        <w:rPr>
          <w:rFonts w:asciiTheme="minorHAnsi" w:eastAsiaTheme="minorEastAsia" w:hAnsiTheme="minorHAnsi" w:cstheme="minorBidi"/>
          <w:color w:val="auto"/>
          <w:sz w:val="24"/>
          <w:szCs w:val="24"/>
          <w:lang w:eastAsia="ja-JP"/>
        </w:rPr>
        <w:id w:val="-1647962970"/>
        <w:docPartObj>
          <w:docPartGallery w:val="Table of Contents"/>
          <w:docPartUnique/>
        </w:docPartObj>
      </w:sdtPr>
      <w:sdtEndPr>
        <w:rPr>
          <w:b/>
          <w:bCs/>
        </w:rPr>
      </w:sdtEndPr>
      <w:sdtContent>
        <w:p w14:paraId="712130F6" w14:textId="4835B167" w:rsidR="00B62A67" w:rsidRDefault="00B62A67">
          <w:pPr>
            <w:pStyle w:val="TOCHeading"/>
          </w:pPr>
          <w:r>
            <w:t>Contents</w:t>
          </w:r>
        </w:p>
        <w:p w14:paraId="21603405" w14:textId="715E42CD" w:rsidR="00B62A67" w:rsidRDefault="00B62A67">
          <w:fldSimple w:instr=" TOC \o &quot;1-3&quot; \h \z \u ">
            <w:r>
              <w:rPr>
                <w:b/>
                <w:bCs/>
                <w:noProof/>
              </w:rPr>
              <w:t>No table of contents entries found.</w:t>
            </w:r>
          </w:fldSimple>
        </w:p>
      </w:sdtContent>
    </w:sdt>
    <w:p w14:paraId="63CEC971" w14:textId="77777777" w:rsidR="00B62A67" w:rsidRDefault="00B62A67" w:rsidP="00151228"/>
    <w:p w14:paraId="7CC28A86" w14:textId="249A12CB" w:rsidR="00B62A67" w:rsidRDefault="00B62A67" w:rsidP="00B6294E">
      <w:pPr>
        <w:pStyle w:val="Heading1"/>
      </w:pPr>
      <w:r>
        <w:t xml:space="preserve">Introduction </w:t>
      </w:r>
    </w:p>
    <w:p w14:paraId="4E4A96F6" w14:textId="70547397" w:rsidR="00B62A67" w:rsidRPr="00C650D7" w:rsidRDefault="00323814" w:rsidP="00151228">
      <w:r w:rsidRPr="00C650D7">
        <w:t xml:space="preserve">In this report, </w:t>
      </w:r>
      <w:r w:rsidR="001056EB" w:rsidRPr="00C650D7">
        <w:t>th</w:t>
      </w:r>
      <w:r w:rsidR="00EE33D3" w:rsidRPr="00C650D7">
        <w:t xml:space="preserve">e design of a kiteboard hydrofoil wing will be </w:t>
      </w:r>
      <w:r w:rsidR="00C650D7">
        <w:t>analysed</w:t>
      </w:r>
      <w:r w:rsidR="00EE33D3" w:rsidRPr="00C650D7">
        <w:t xml:space="preserve"> </w:t>
      </w:r>
      <w:r w:rsidR="00A90B7F" w:rsidRPr="00C650D7">
        <w:t>to understand how fluid flows around the wing</w:t>
      </w:r>
      <w:r w:rsidR="00C650D7">
        <w:t>. This</w:t>
      </w:r>
      <w:r w:rsidR="00E01481" w:rsidRPr="00C650D7">
        <w:t xml:space="preserve"> will be </w:t>
      </w:r>
      <w:r w:rsidR="0031487A">
        <w:t>sectioned</w:t>
      </w:r>
      <w:r w:rsidR="00E01481" w:rsidRPr="00C650D7">
        <w:t xml:space="preserve"> out </w:t>
      </w:r>
      <w:r w:rsidR="0031487A">
        <w:t>into</w:t>
      </w:r>
      <w:r w:rsidR="00E01481" w:rsidRPr="00C650D7">
        <w:t xml:space="preserve"> tasks. </w:t>
      </w:r>
      <w:r w:rsidR="00C650D7" w:rsidRPr="00C650D7">
        <w:t>Task 1 determines the Reynolds number for expected operating conditions. Task 2 examines boundary-layer development and flow separation around the wing. Task 3 assesses the validity of the 500 N load used in the structural analysis. Task 4 evaluates the suitability of CFRP for hydrofoil construction. Task 5 reviews appropriate fluid-flow modelling techniques, and Task 6 outlines an experimental plan to validate the hydrofoil’s performance.</w:t>
      </w:r>
    </w:p>
    <w:p w14:paraId="114076F1" w14:textId="55C78681" w:rsidR="00CE531A" w:rsidRDefault="00B62A67" w:rsidP="00B23902">
      <w:pPr>
        <w:pStyle w:val="Heading1"/>
      </w:pPr>
      <w:r>
        <w:t>Task 1</w:t>
      </w:r>
      <w:r w:rsidR="00CE531A">
        <w:t>:</w:t>
      </w:r>
      <w:r w:rsidR="006A23C7">
        <w:t xml:space="preserve"> </w:t>
      </w:r>
      <w:r w:rsidR="009D7AFE">
        <w:t>Reynolds number</w:t>
      </w:r>
    </w:p>
    <w:p w14:paraId="4D65A6B9" w14:textId="47C59FEE" w:rsidR="00F45334" w:rsidRDefault="00CE531A" w:rsidP="002F59DD">
      <w:pPr>
        <w:pStyle w:val="Heading2"/>
        <w:numPr>
          <w:ilvl w:val="1"/>
          <w:numId w:val="27"/>
        </w:numPr>
      </w:pPr>
      <w:r>
        <w:t xml:space="preserve">Introduction to Reynolds number </w:t>
      </w:r>
    </w:p>
    <w:p w14:paraId="0AB27712" w14:textId="47136625" w:rsidR="00F45334" w:rsidRDefault="00F45334" w:rsidP="00F45334">
      <w:pPr>
        <w:rPr>
          <w:rFonts w:ascii="Arial" w:eastAsia="Times New Roman" w:hAnsi="Arial" w:cs="Arial"/>
          <w:lang w:eastAsia="en-GB"/>
        </w:rPr>
      </w:pPr>
      <w:r w:rsidRPr="00F45334">
        <w:rPr>
          <w:rFonts w:ascii="Arial" w:eastAsia="Times New Roman" w:hAnsi="Arial" w:cs="Arial"/>
          <w:lang w:eastAsia="en-GB"/>
        </w:rPr>
        <w:t>The Reynolds number represents the ratio of inertial forces to viscous forces in a fluid</w:t>
      </w:r>
      <w:r w:rsidR="006D639D">
        <w:rPr>
          <w:rFonts w:ascii="Arial" w:eastAsia="Times New Roman" w:hAnsi="Arial" w:cs="Arial"/>
          <w:lang w:eastAsia="en-GB"/>
        </w:rPr>
        <w:t>, it is dimensionless</w:t>
      </w:r>
      <w:r w:rsidR="008A32DB">
        <w:rPr>
          <w:rFonts w:ascii="Arial" w:eastAsia="Times New Roman" w:hAnsi="Arial" w:cs="Arial"/>
          <w:lang w:eastAsia="en-GB"/>
        </w:rPr>
        <w:t xml:space="preserve"> </w:t>
      </w:r>
      <w:r w:rsidR="008A32DB" w:rsidRPr="008A32DB">
        <w:rPr>
          <w:rFonts w:ascii="Arial" w:eastAsia="Times New Roman" w:hAnsi="Arial" w:cs="Arial"/>
          <w:lang w:eastAsia="en-GB"/>
        </w:rPr>
        <w:t>(Bhuyan, 2023)</w:t>
      </w:r>
      <w:r w:rsidRPr="00F45334">
        <w:rPr>
          <w:rFonts w:ascii="Arial" w:eastAsia="Times New Roman" w:hAnsi="Arial" w:cs="Arial"/>
          <w:lang w:eastAsia="en-GB"/>
        </w:rPr>
        <w:t xml:space="preserve">. It supports engineers in establishing the behaviour of a fluid under specific conditions—whether </w:t>
      </w:r>
      <w:r>
        <w:rPr>
          <w:rFonts w:ascii="Arial" w:eastAsia="Times New Roman" w:hAnsi="Arial" w:cs="Arial"/>
          <w:lang w:eastAsia="en-GB"/>
        </w:rPr>
        <w:t>it's</w:t>
      </w:r>
      <w:r w:rsidRPr="00F45334">
        <w:rPr>
          <w:rFonts w:ascii="Arial" w:eastAsia="Times New Roman" w:hAnsi="Arial" w:cs="Arial"/>
          <w:lang w:eastAsia="en-GB"/>
        </w:rPr>
        <w:t> laminar flow or turbulent flow</w:t>
      </w:r>
      <w:r w:rsidR="00507A7A">
        <w:rPr>
          <w:rFonts w:ascii="Arial" w:eastAsia="Times New Roman" w:hAnsi="Arial" w:cs="Arial"/>
          <w:lang w:eastAsia="en-GB"/>
        </w:rPr>
        <w:t xml:space="preserve"> </w:t>
      </w:r>
      <w:r w:rsidR="00507A7A" w:rsidRPr="00507A7A">
        <w:rPr>
          <w:rFonts w:ascii="Arial" w:eastAsia="Times New Roman" w:hAnsi="Arial" w:cs="Arial"/>
          <w:lang w:eastAsia="en-GB"/>
        </w:rPr>
        <w:t>(Saldana et al., 2024</w:t>
      </w:r>
      <w:r w:rsidR="00DA410F">
        <w:rPr>
          <w:rFonts w:ascii="Arial" w:eastAsia="Times New Roman" w:hAnsi="Arial" w:cs="Arial"/>
          <w:lang w:eastAsia="en-GB"/>
        </w:rPr>
        <w:t>;</w:t>
      </w:r>
      <w:r w:rsidR="00D46249" w:rsidRPr="00D46249">
        <w:rPr>
          <w:rFonts w:ascii="Arial" w:eastAsia="Times New Roman" w:hAnsi="Arial" w:cs="Arial"/>
          <w:lang w:eastAsia="en-GB"/>
        </w:rPr>
        <w:t>The editors of Encyclopaedia Britannica, 2017)</w:t>
      </w:r>
      <w:r w:rsidRPr="00F45334">
        <w:rPr>
          <w:rFonts w:ascii="Arial" w:eastAsia="Times New Roman" w:hAnsi="Arial" w:cs="Arial"/>
          <w:lang w:eastAsia="en-GB"/>
        </w:rPr>
        <w:t>.</w:t>
      </w:r>
      <w:r w:rsidR="005625C8">
        <w:rPr>
          <w:rFonts w:ascii="Arial" w:eastAsia="Times New Roman" w:hAnsi="Arial" w:cs="Arial"/>
          <w:lang w:eastAsia="en-GB"/>
        </w:rPr>
        <w:t xml:space="preserve"> Reynolds number can be expressed </w:t>
      </w:r>
      <w:r w:rsidR="00D76B03">
        <w:rPr>
          <w:rFonts w:ascii="Arial" w:eastAsia="Times New Roman" w:hAnsi="Arial" w:cs="Arial"/>
          <w:lang w:eastAsia="en-GB"/>
        </w:rPr>
        <w:t xml:space="preserve">by using the </w:t>
      </w:r>
      <w:r w:rsidR="00DA410F">
        <w:rPr>
          <w:rFonts w:ascii="Arial" w:eastAsia="Times New Roman" w:hAnsi="Arial" w:cs="Arial"/>
          <w:lang w:eastAsia="en-GB"/>
        </w:rPr>
        <w:t>equation below</w:t>
      </w:r>
      <w:r w:rsidR="00D76B03">
        <w:rPr>
          <w:rFonts w:ascii="Arial" w:eastAsia="Times New Roman" w:hAnsi="Arial" w:cs="Arial"/>
          <w:lang w:eastAsia="en-GB"/>
        </w:rPr>
        <w:t xml:space="preserve">: </w:t>
      </w:r>
    </w:p>
    <w:p w14:paraId="7D0A22AE" w14:textId="77777777" w:rsidR="00A91386" w:rsidRDefault="00A91386" w:rsidP="00F45334">
      <w:pPr>
        <w:rPr>
          <w:rFonts w:ascii="Arial" w:eastAsia="Times New Roman" w:hAnsi="Arial" w:cs="Arial"/>
          <w:lang w:eastAsia="en-GB"/>
        </w:rPr>
      </w:pPr>
    </w:p>
    <w:p w14:paraId="499FBF28" w14:textId="623DDDED" w:rsidR="00A91386" w:rsidRPr="00507A7A" w:rsidRDefault="007674B3" w:rsidP="00A91386">
      <w:pPr>
        <w:jc w:val="center"/>
        <w:rPr>
          <w:rFonts w:ascii="Arial" w:eastAsia="Times New Roman" w:hAnsi="Arial" w:cs="Arial"/>
          <w:lang w:eastAsia="en-GB"/>
        </w:rPr>
      </w:pPr>
      <m:oMathPara>
        <m:oMath>
          <m:r>
            <w:rPr>
              <w:rFonts w:ascii="Cambria Math" w:eastAsia="Times New Roman" w:hAnsi="Cambria Math" w:cs="Arial"/>
              <w:lang w:eastAsia="en-GB"/>
            </w:rPr>
            <m:t>Re=</m:t>
          </m:r>
          <m:f>
            <m:fPr>
              <m:ctrlPr>
                <w:rPr>
                  <w:rFonts w:ascii="Cambria Math" w:eastAsia="Times New Roman" w:hAnsi="Cambria Math" w:cs="Arial"/>
                  <w:i/>
                  <w:lang w:eastAsia="en-GB"/>
                </w:rPr>
              </m:ctrlPr>
            </m:fPr>
            <m:num>
              <m:r>
                <w:rPr>
                  <w:rFonts w:ascii="Cambria Math" w:eastAsia="Times New Roman" w:hAnsi="Cambria Math" w:cs="Arial"/>
                  <w:lang w:eastAsia="en-GB"/>
                </w:rPr>
                <m:t>ρVL</m:t>
              </m:r>
            </m:num>
            <m:den>
              <m:r>
                <w:rPr>
                  <w:rFonts w:ascii="Cambria Math" w:eastAsia="Times New Roman" w:hAnsi="Cambria Math" w:cs="Arial"/>
                  <w:lang w:eastAsia="en-GB"/>
                </w:rPr>
                <m:t>μ</m:t>
              </m:r>
            </m:den>
          </m:f>
          <m:r>
            <w:rPr>
              <w:rFonts w:ascii="Cambria Math" w:eastAsia="Times New Roman" w:hAnsi="Cambria Math" w:cs="Arial"/>
              <w:lang w:eastAsia="en-GB"/>
            </w:rPr>
            <m:t>​</m:t>
          </m:r>
        </m:oMath>
      </m:oMathPara>
    </w:p>
    <w:p w14:paraId="78F525F9" w14:textId="372BE20A" w:rsidR="00F45334" w:rsidRDefault="00F015C2" w:rsidP="00F015C2">
      <w:pPr>
        <w:pStyle w:val="Caption"/>
        <w:jc w:val="center"/>
      </w:pPr>
      <w:bookmarkStart w:id="0" w:name="_Toc214140159"/>
      <w:r>
        <w:t xml:space="preserve">Equation </w:t>
      </w:r>
      <w:fldSimple w:instr=" SEQ Equation \* ARABIC ">
        <w:r w:rsidR="00F441FC">
          <w:rPr>
            <w:noProof/>
          </w:rPr>
          <w:t>1</w:t>
        </w:r>
      </w:fldSimple>
      <w:r>
        <w:t xml:space="preserve"> - Reynolds equation </w:t>
      </w:r>
      <w:r w:rsidRPr="00B20BFF">
        <w:t>(Bhuyan, 2023)</w:t>
      </w:r>
      <w:bookmarkEnd w:id="0"/>
    </w:p>
    <w:p w14:paraId="28CED909" w14:textId="22F9FAB5" w:rsidR="00704802" w:rsidRDefault="00704802" w:rsidP="00F45334">
      <w:r>
        <w:lastRenderedPageBreak/>
        <w:t>Whereas:</w:t>
      </w:r>
    </w:p>
    <w:p w14:paraId="54A117D4" w14:textId="6F02F321" w:rsidR="00704802" w:rsidRPr="00704802" w:rsidRDefault="00704802" w:rsidP="00704802">
      <w:pPr>
        <w:pStyle w:val="ListParagraph"/>
        <w:numPr>
          <w:ilvl w:val="0"/>
          <w:numId w:val="17"/>
        </w:numPr>
      </w:pPr>
      <w:r w:rsidRPr="00704802">
        <w:t>ρ = fluid density (kg/m³)</w:t>
      </w:r>
    </w:p>
    <w:p w14:paraId="431C0385" w14:textId="20443705" w:rsidR="00704802" w:rsidRPr="00704802" w:rsidRDefault="00704802" w:rsidP="00704802">
      <w:pPr>
        <w:pStyle w:val="ListParagraph"/>
        <w:numPr>
          <w:ilvl w:val="0"/>
          <w:numId w:val="17"/>
        </w:numPr>
      </w:pPr>
      <w:r w:rsidRPr="00704802">
        <w:t>V = fluid velocity (m/s)</w:t>
      </w:r>
    </w:p>
    <w:p w14:paraId="24BFE78D" w14:textId="27C9DE22" w:rsidR="00704802" w:rsidRPr="00704802" w:rsidRDefault="00704802" w:rsidP="00704802">
      <w:pPr>
        <w:pStyle w:val="ListParagraph"/>
        <w:numPr>
          <w:ilvl w:val="0"/>
          <w:numId w:val="17"/>
        </w:numPr>
      </w:pPr>
      <w:r w:rsidRPr="00704802">
        <w:t xml:space="preserve">L = </w:t>
      </w:r>
      <w:r w:rsidR="0082350B">
        <w:t>character</w:t>
      </w:r>
      <w:r w:rsidR="00F015C2">
        <w:t xml:space="preserve">istic </w:t>
      </w:r>
      <w:r w:rsidRPr="00704802">
        <w:t>length</w:t>
      </w:r>
      <w:r>
        <w:t xml:space="preserve"> </w:t>
      </w:r>
      <w:r w:rsidRPr="00704802">
        <w:t>(m)</w:t>
      </w:r>
    </w:p>
    <w:p w14:paraId="7122C4B7" w14:textId="36B13C49" w:rsidR="00704802" w:rsidRDefault="00704802" w:rsidP="00704802">
      <w:pPr>
        <w:pStyle w:val="ListParagraph"/>
        <w:numPr>
          <w:ilvl w:val="0"/>
          <w:numId w:val="17"/>
        </w:numPr>
      </w:pPr>
      <w:r w:rsidRPr="00704802">
        <w:t>μ = dynamic viscosity of the fluid (Pa</w:t>
      </w:r>
      <w:r w:rsidR="00A71CF2">
        <w:t>/</w:t>
      </w:r>
      <w:r w:rsidRPr="00704802">
        <w:t>s)</w:t>
      </w:r>
    </w:p>
    <w:p w14:paraId="49AB9F3D" w14:textId="10A1054D" w:rsidR="0074033B" w:rsidRPr="00704802" w:rsidRDefault="0074033B" w:rsidP="0074033B">
      <w:r w:rsidRPr="0074033B">
        <w:t>(Bhuyan, 2023)</w:t>
      </w:r>
    </w:p>
    <w:p w14:paraId="7DA21C79" w14:textId="05538E45" w:rsidR="00207FF0" w:rsidRPr="00207FF0" w:rsidRDefault="00DA46C6" w:rsidP="00207FF0">
      <w:r w:rsidRPr="00DA46C6">
        <w:t>Its physical meaning varies depending on the characteristics of the fluid flo</w:t>
      </w:r>
      <w:r w:rsidR="00555970">
        <w:t xml:space="preserve">w </w:t>
      </w:r>
      <w:r w:rsidR="00376921" w:rsidRPr="00376921">
        <w:t>(Saldana et al., 2024)</w:t>
      </w:r>
      <w:r w:rsidRPr="00DA46C6">
        <w:t>.</w:t>
      </w:r>
      <w:r w:rsidR="00207FF0">
        <w:t xml:space="preserve"> </w:t>
      </w:r>
      <w:r w:rsidR="00207FF0" w:rsidRPr="00207FF0">
        <w:t>While inertial forces are related to how a fluid moves and how it reacts to changes in speed</w:t>
      </w:r>
      <w:r w:rsidR="008859DF">
        <w:t xml:space="preserve"> </w:t>
      </w:r>
      <w:r w:rsidR="008859DF" w:rsidRPr="003B40DA">
        <w:t>(admin, 2025)</w:t>
      </w:r>
      <w:r w:rsidR="00207FF0" w:rsidRPr="00207FF0">
        <w:t>, viscous forces are caused by friction between fluid layers and resist</w:t>
      </w:r>
      <w:r w:rsidR="00394FC7">
        <w:t xml:space="preserve"> </w:t>
      </w:r>
      <w:r w:rsidR="00207FF0" w:rsidRPr="00207FF0">
        <w:t xml:space="preserve">motion. Viscosity forces control slow, high-viscosity flows, which </w:t>
      </w:r>
      <w:r w:rsidR="00207FF0">
        <w:t>cause</w:t>
      </w:r>
      <w:r w:rsidR="00207FF0" w:rsidRPr="00207FF0">
        <w:t xml:space="preserve"> laminar behaviour. Inertial forces control fast, low-viscosity flows, which </w:t>
      </w:r>
      <w:r w:rsidR="00207FF0">
        <w:t>cause</w:t>
      </w:r>
      <w:r w:rsidR="00207FF0" w:rsidRPr="00207FF0">
        <w:t xml:space="preserve"> turbulence</w:t>
      </w:r>
      <w:r w:rsidR="003B40DA">
        <w:t xml:space="preserve"> </w:t>
      </w:r>
      <w:r w:rsidR="008B6387" w:rsidRPr="008B6387">
        <w:t>(Ancalle , 2020</w:t>
      </w:r>
      <w:r w:rsidR="00DA410F">
        <w:t xml:space="preserve">; </w:t>
      </w:r>
      <w:r w:rsidR="00395473" w:rsidRPr="00395473">
        <w:t>Kumar et al., 2019)</w:t>
      </w:r>
      <w:r w:rsidR="00207FF0" w:rsidRPr="00207FF0">
        <w:t>.</w:t>
      </w:r>
    </w:p>
    <w:p w14:paraId="30802B8A" w14:textId="1E597A6A" w:rsidR="002245A4" w:rsidRDefault="002245A4" w:rsidP="002245A4">
      <w:r w:rsidRPr="002245A4">
        <w:t>The Reynolds number is crucial in fluid dynamics since it determines the flow regime and predicts how a fluid will </w:t>
      </w:r>
      <w:r w:rsidR="00673D04">
        <w:t>behave</w:t>
      </w:r>
      <w:r w:rsidR="007F0827">
        <w:t xml:space="preserve"> </w:t>
      </w:r>
      <w:r w:rsidR="007F0827" w:rsidRPr="007F0827">
        <w:t>(Rehm and Schubert, 2008)</w:t>
      </w:r>
      <w:r w:rsidRPr="002245A4">
        <w:t>. The ratio of inertial to viscous forces shows whether the flow is laminar, transitional, or turbulent. Laminar flow</w:t>
      </w:r>
      <w:r w:rsidR="00E5763F">
        <w:t xml:space="preserve"> </w:t>
      </w:r>
      <w:r w:rsidR="00E5763F">
        <w:rPr>
          <w:i/>
          <w:iCs/>
        </w:rPr>
        <w:t>(Figure 1)</w:t>
      </w:r>
      <w:r w:rsidRPr="002245A4">
        <w:t xml:space="preserve"> is defined by smooth and orderly motion</w:t>
      </w:r>
      <w:r w:rsidR="00F65C87">
        <w:t xml:space="preserve"> and occurs </w:t>
      </w:r>
      <w:r w:rsidR="00501EE7">
        <w:t>Re &lt;</w:t>
      </w:r>
      <w:r w:rsidR="000C50F7">
        <w:t xml:space="preserve"> </w:t>
      </w:r>
      <w:r w:rsidR="00501EE7">
        <w:t>2000</w:t>
      </w:r>
      <w:r w:rsidR="00731A98">
        <w:t xml:space="preserve"> </w:t>
      </w:r>
      <w:r w:rsidR="00731A98" w:rsidRPr="00731A98">
        <w:t>(All Info ChE /, 2024)</w:t>
      </w:r>
      <w:r w:rsidR="00776A90">
        <w:t xml:space="preserve">, </w:t>
      </w:r>
      <w:r w:rsidR="00776A90" w:rsidRPr="00776A90">
        <w:t>(admin, 2025)</w:t>
      </w:r>
      <w:r w:rsidR="00673D04">
        <w:t>. Transitional</w:t>
      </w:r>
      <w:r w:rsidRPr="002245A4">
        <w:t xml:space="preserve"> flow </w:t>
      </w:r>
      <w:r w:rsidR="00E5763F">
        <w:rPr>
          <w:i/>
          <w:iCs/>
        </w:rPr>
        <w:t xml:space="preserve">(Figure 2) </w:t>
      </w:r>
      <w:r w:rsidRPr="002245A4">
        <w:t>represents an unstable combination of laminar and turbulent motion</w:t>
      </w:r>
      <w:r w:rsidR="00D14A5E">
        <w:t xml:space="preserve"> occurring </w:t>
      </w:r>
      <w:r w:rsidR="00D14A5E" w:rsidRPr="00C50B67">
        <w:t>≈</w:t>
      </w:r>
      <w:r w:rsidR="00D14A5E">
        <w:t xml:space="preserve"> 2000-4000</w:t>
      </w:r>
      <w:r w:rsidR="00776A90">
        <w:t xml:space="preserve"> </w:t>
      </w:r>
      <w:r w:rsidR="00776A90" w:rsidRPr="00776A90">
        <w:t>(admin, 2025)</w:t>
      </w:r>
      <w:r w:rsidRPr="002245A4">
        <w:t>, while turbulent flow</w:t>
      </w:r>
      <w:r w:rsidR="00E5763F">
        <w:t xml:space="preserve"> </w:t>
      </w:r>
      <w:r w:rsidR="00E5763F">
        <w:rPr>
          <w:i/>
          <w:iCs/>
        </w:rPr>
        <w:t>(Figure 3)</w:t>
      </w:r>
      <w:r w:rsidRPr="002245A4">
        <w:t xml:space="preserve"> is defined by chaotic</w:t>
      </w:r>
      <w:r w:rsidR="000C50F7">
        <w:t xml:space="preserve"> </w:t>
      </w:r>
      <w:r w:rsidR="00F63AEF">
        <w:t xml:space="preserve">and </w:t>
      </w:r>
      <w:r w:rsidR="00F63AEF" w:rsidRPr="00F63AEF">
        <w:t>irregular fluctuations in velocity and pressure</w:t>
      </w:r>
      <w:r w:rsidR="004F49B5">
        <w:t>,</w:t>
      </w:r>
      <w:r w:rsidR="000C50F7">
        <w:t xml:space="preserve"> occurring at</w:t>
      </w:r>
      <w:r w:rsidR="00D14A5E">
        <w:t xml:space="preserve"> Re</w:t>
      </w:r>
      <w:r w:rsidR="000C50F7">
        <w:t xml:space="preserve"> </w:t>
      </w:r>
      <w:r w:rsidR="00D14A5E">
        <w:t>&gt;</w:t>
      </w:r>
      <w:r w:rsidR="000C50F7">
        <w:t xml:space="preserve"> </w:t>
      </w:r>
      <w:r w:rsidR="00C50B67">
        <w:t>4000</w:t>
      </w:r>
      <w:r w:rsidR="00731A98">
        <w:t xml:space="preserve"> </w:t>
      </w:r>
      <w:r w:rsidR="00731A98" w:rsidRPr="00731A98">
        <w:t>(All Info ChE /, 2024</w:t>
      </w:r>
      <w:r w:rsidR="00394FC7">
        <w:t xml:space="preserve">; </w:t>
      </w:r>
      <w:r w:rsidR="00776A90" w:rsidRPr="00776A90">
        <w:t>admin, 2025)</w:t>
      </w:r>
      <w:r w:rsidRPr="002245A4">
        <w:t>. Understanding the flow regime is essential for recognising boundary-layer behaviour, drag, and flow separation</w:t>
      </w:r>
      <w:r w:rsidR="00D770C4">
        <w:t xml:space="preserve"> </w:t>
      </w:r>
      <w:r w:rsidR="00D770C4" w:rsidRPr="00D770C4">
        <w:t>(NASA, 2025)</w:t>
      </w:r>
      <w:r w:rsidRPr="002245A4">
        <w:t>, as well as for choosing suitable modelling methodologies for engineering analyses</w:t>
      </w:r>
      <w:r w:rsidR="00CD71FB">
        <w:t xml:space="preserve"> </w:t>
      </w:r>
      <w:r w:rsidR="00CD71FB" w:rsidRPr="00CD71FB">
        <w:t>(Veldman, 2017)</w:t>
      </w:r>
      <w:r w:rsidRPr="002245A4">
        <w:t>.</w:t>
      </w:r>
    </w:p>
    <w:p w14:paraId="0CB274BC" w14:textId="77777777" w:rsidR="00F56B03" w:rsidRPr="002245A4" w:rsidRDefault="00F56B03" w:rsidP="002245A4"/>
    <w:p w14:paraId="4A07A011" w14:textId="77777777" w:rsidR="0032252E" w:rsidRDefault="00F56B03" w:rsidP="0032252E">
      <w:pPr>
        <w:keepNext/>
      </w:pPr>
      <w:r w:rsidRPr="00F56B03">
        <w:rPr>
          <w:noProof/>
        </w:rPr>
        <w:drawing>
          <wp:inline distT="0" distB="0" distL="0" distR="0" wp14:anchorId="4E7B7D7D" wp14:editId="322557D9">
            <wp:extent cx="4762745" cy="971600"/>
            <wp:effectExtent l="0" t="0" r="0" b="0"/>
            <wp:docPr id="1690679195" name="Picture 1" descr="A blue and orange line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0679195" name="Picture 1" descr="A blue and orange line with black text&#10;&#10;AI-generated content may be incorrect."/>
                    <pic:cNvPicPr/>
                  </pic:nvPicPr>
                  <pic:blipFill>
                    <a:blip r:embed="rId8"/>
                    <a:stretch>
                      <a:fillRect/>
                    </a:stretch>
                  </pic:blipFill>
                  <pic:spPr>
                    <a:xfrm>
                      <a:off x="0" y="0"/>
                      <a:ext cx="4762745" cy="971600"/>
                    </a:xfrm>
                    <a:prstGeom prst="rect">
                      <a:avLst/>
                    </a:prstGeom>
                  </pic:spPr>
                </pic:pic>
              </a:graphicData>
            </a:graphic>
          </wp:inline>
        </w:drawing>
      </w:r>
    </w:p>
    <w:p w14:paraId="70BB804B" w14:textId="0A82D636" w:rsidR="00704802" w:rsidRDefault="0032252E" w:rsidP="0032252E">
      <w:pPr>
        <w:pStyle w:val="Caption"/>
        <w:jc w:val="center"/>
      </w:pPr>
      <w:bookmarkStart w:id="1" w:name="_Toc214140137"/>
      <w:r>
        <w:t xml:space="preserve">Figure </w:t>
      </w:r>
      <w:fldSimple w:instr=" SEQ Figure \* ARABIC ">
        <w:r w:rsidR="00463B4D">
          <w:rPr>
            <w:noProof/>
          </w:rPr>
          <w:t>1</w:t>
        </w:r>
      </w:fldSimple>
      <w:r>
        <w:t xml:space="preserve">: Laminar Flow </w:t>
      </w:r>
      <w:r w:rsidRPr="00A310C2">
        <w:t>(All Info ChE /, 2024)</w:t>
      </w:r>
      <w:bookmarkEnd w:id="1"/>
    </w:p>
    <w:p w14:paraId="365E206C" w14:textId="1343A0F5" w:rsidR="001914FC" w:rsidRDefault="001914FC" w:rsidP="00F45334"/>
    <w:p w14:paraId="7DD114C6" w14:textId="77777777" w:rsidR="0032252E" w:rsidRDefault="0032252E" w:rsidP="0032252E">
      <w:pPr>
        <w:keepNext/>
      </w:pPr>
      <w:r w:rsidRPr="0032252E">
        <w:rPr>
          <w:noProof/>
        </w:rPr>
        <w:lastRenderedPageBreak/>
        <w:drawing>
          <wp:inline distT="0" distB="0" distL="0" distR="0" wp14:anchorId="083FD676" wp14:editId="4C851A4B">
            <wp:extent cx="4858000" cy="1200212"/>
            <wp:effectExtent l="0" t="0" r="0" b="0"/>
            <wp:docPr id="2096413608" name="Picture 1" descr="A diagram of a flow&#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6413608" name="Picture 1" descr="A diagram of a flow&#10;&#10;AI-generated content may be incorrect."/>
                    <pic:cNvPicPr/>
                  </pic:nvPicPr>
                  <pic:blipFill>
                    <a:blip r:embed="rId9"/>
                    <a:stretch>
                      <a:fillRect/>
                    </a:stretch>
                  </pic:blipFill>
                  <pic:spPr>
                    <a:xfrm>
                      <a:off x="0" y="0"/>
                      <a:ext cx="4858000" cy="1200212"/>
                    </a:xfrm>
                    <a:prstGeom prst="rect">
                      <a:avLst/>
                    </a:prstGeom>
                  </pic:spPr>
                </pic:pic>
              </a:graphicData>
            </a:graphic>
          </wp:inline>
        </w:drawing>
      </w:r>
    </w:p>
    <w:p w14:paraId="6805504C" w14:textId="29D0022D" w:rsidR="00FC46AA" w:rsidRDefault="0032252E" w:rsidP="0032252E">
      <w:pPr>
        <w:pStyle w:val="Caption"/>
        <w:jc w:val="center"/>
      </w:pPr>
      <w:bookmarkStart w:id="2" w:name="_Toc214140138"/>
      <w:r>
        <w:t xml:space="preserve">Figure </w:t>
      </w:r>
      <w:fldSimple w:instr=" SEQ Figure \* ARABIC ">
        <w:r w:rsidR="00463B4D">
          <w:rPr>
            <w:noProof/>
          </w:rPr>
          <w:t>2</w:t>
        </w:r>
      </w:fldSimple>
      <w:r>
        <w:t xml:space="preserve">: Transition Flow </w:t>
      </w:r>
      <w:r w:rsidRPr="00AD5C9A">
        <w:t>(All Info ChE /, 2024)</w:t>
      </w:r>
      <w:bookmarkEnd w:id="2"/>
    </w:p>
    <w:p w14:paraId="5FC4B58D" w14:textId="77777777" w:rsidR="0032252E" w:rsidRDefault="0032252E" w:rsidP="00F45334"/>
    <w:p w14:paraId="779BE512" w14:textId="77777777" w:rsidR="0032252E" w:rsidRDefault="0032252E" w:rsidP="0032252E">
      <w:pPr>
        <w:keepNext/>
      </w:pPr>
      <w:r w:rsidRPr="0032252E">
        <w:rPr>
          <w:noProof/>
        </w:rPr>
        <w:drawing>
          <wp:inline distT="0" distB="0" distL="0" distR="0" wp14:anchorId="5CCEC285" wp14:editId="172A33F6">
            <wp:extent cx="4845299" cy="1016052"/>
            <wp:effectExtent l="0" t="0" r="0" b="0"/>
            <wp:docPr id="98498109" name="Picture 1" descr="A blue and orange rectangular object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498109" name="Picture 1" descr="A blue and orange rectangular object with black text&#10;&#10;AI-generated content may be incorrect."/>
                    <pic:cNvPicPr/>
                  </pic:nvPicPr>
                  <pic:blipFill>
                    <a:blip r:embed="rId10"/>
                    <a:stretch>
                      <a:fillRect/>
                    </a:stretch>
                  </pic:blipFill>
                  <pic:spPr>
                    <a:xfrm>
                      <a:off x="0" y="0"/>
                      <a:ext cx="4845299" cy="1016052"/>
                    </a:xfrm>
                    <a:prstGeom prst="rect">
                      <a:avLst/>
                    </a:prstGeom>
                  </pic:spPr>
                </pic:pic>
              </a:graphicData>
            </a:graphic>
          </wp:inline>
        </w:drawing>
      </w:r>
    </w:p>
    <w:p w14:paraId="7BC1952F" w14:textId="5014DCFD" w:rsidR="0032252E" w:rsidRDefault="0032252E" w:rsidP="0032252E">
      <w:pPr>
        <w:pStyle w:val="Caption"/>
        <w:jc w:val="center"/>
      </w:pPr>
      <w:bookmarkStart w:id="3" w:name="_Toc214140139"/>
      <w:r>
        <w:t xml:space="preserve">Figure </w:t>
      </w:r>
      <w:fldSimple w:instr=" SEQ Figure \* ARABIC ">
        <w:r w:rsidR="00463B4D">
          <w:rPr>
            <w:noProof/>
          </w:rPr>
          <w:t>3</w:t>
        </w:r>
      </w:fldSimple>
      <w:r>
        <w:t xml:space="preserve">: Turbulent Flow </w:t>
      </w:r>
      <w:r w:rsidRPr="003066B0">
        <w:t>(All Info ChE /, 2024</w:t>
      </w:r>
      <w:r>
        <w:t>)</w:t>
      </w:r>
      <w:bookmarkEnd w:id="3"/>
    </w:p>
    <w:p w14:paraId="55A5F5E5" w14:textId="120CE1EB" w:rsidR="00FC46AA" w:rsidRDefault="00FC46AA" w:rsidP="00F45334"/>
    <w:p w14:paraId="2ADAEC33" w14:textId="77777777" w:rsidR="000C616D" w:rsidRDefault="000C616D" w:rsidP="00F45334"/>
    <w:p w14:paraId="541E33D0" w14:textId="77777777" w:rsidR="000C616D" w:rsidRDefault="000C616D" w:rsidP="00F45334"/>
    <w:p w14:paraId="4F31D438" w14:textId="3C5945D2" w:rsidR="00B62A67" w:rsidRDefault="00CE531A" w:rsidP="002F59DD">
      <w:pPr>
        <w:pStyle w:val="Heading2"/>
        <w:numPr>
          <w:ilvl w:val="1"/>
          <w:numId w:val="27"/>
        </w:numPr>
      </w:pPr>
      <w:r>
        <w:t xml:space="preserve">The importance of </w:t>
      </w:r>
      <w:r w:rsidR="00FE11EE">
        <w:t xml:space="preserve">the </w:t>
      </w:r>
      <w:r>
        <w:t xml:space="preserve">Reynolds </w:t>
      </w:r>
      <w:r w:rsidR="00530CAE">
        <w:t xml:space="preserve">number in hydrofoil </w:t>
      </w:r>
      <w:r w:rsidR="00B23902">
        <w:t>applications</w:t>
      </w:r>
      <w:r w:rsidR="00530CAE">
        <w:t xml:space="preserve"> </w:t>
      </w:r>
    </w:p>
    <w:p w14:paraId="2746566A" w14:textId="7EECEEC4" w:rsidR="005A1C5D" w:rsidRDefault="007612C6" w:rsidP="005A1C5D">
      <w:pPr>
        <w:spacing w:after="0" w:line="240" w:lineRule="auto"/>
      </w:pPr>
      <w:r w:rsidRPr="005A1C5D">
        <w:t xml:space="preserve">The Reynolds number (Re) is essential in hydrofoil design since it determines the flow regime and influences lift, drag, and efficiency (Rahman, Hasan and Pan, 2022). Hydrofoils that function at lower Reynolds numbers </w:t>
      </w:r>
      <w:r w:rsidR="0034448A" w:rsidRPr="005A1C5D">
        <w:t>display</w:t>
      </w:r>
      <w:r w:rsidRPr="005A1C5D">
        <w:t> laminar flow, resulting in reduced</w:t>
      </w:r>
      <w:r w:rsidR="0034448A" w:rsidRPr="005A1C5D">
        <w:t xml:space="preserve"> </w:t>
      </w:r>
      <w:r w:rsidRPr="005A1C5D">
        <w:t xml:space="preserve">friction drag; however </w:t>
      </w:r>
      <w:r w:rsidR="0034448A" w:rsidRPr="005A1C5D">
        <w:t>are</w:t>
      </w:r>
      <w:r w:rsidRPr="005A1C5D">
        <w:t xml:space="preserve"> prone to flow separation (Chica E, Aguilar J, and Rubio-Clemente A, 2024). In contrast, higher Reynolds numbers </w:t>
      </w:r>
      <w:r w:rsidR="0034448A" w:rsidRPr="005A1C5D">
        <w:t>result</w:t>
      </w:r>
      <w:r w:rsidRPr="005A1C5D">
        <w:t xml:space="preserve"> in turbulent flow, which delays separation, maintains lift, but increases drag (Bourgoyne et al., 2001).</w:t>
      </w:r>
      <w:r w:rsidR="005A1C5D" w:rsidRPr="005A1C5D">
        <w:t xml:space="preserve"> According to Ye et al. (2024), engineers can choose foil shapes, surface finishes, and planforms that best balance lift and drag by calculating </w:t>
      </w:r>
      <w:r w:rsidR="005A1C5D">
        <w:t xml:space="preserve">the </w:t>
      </w:r>
      <w:r w:rsidR="005A1C5D" w:rsidRPr="005A1C5D">
        <w:t>Reynolds number for predicted working speeds and chord lengths. This ensures that the hydrofoil performs well and is efficient</w:t>
      </w:r>
      <w:r w:rsidR="007115F8">
        <w:t xml:space="preserve"> </w:t>
      </w:r>
      <w:r w:rsidR="007115F8" w:rsidRPr="007115F8">
        <w:t>(Abbott and Doenhoff, 1959)</w:t>
      </w:r>
      <w:r w:rsidR="005A1C5D" w:rsidRPr="005A1C5D">
        <w:t>.</w:t>
      </w:r>
    </w:p>
    <w:p w14:paraId="3E8D536F" w14:textId="77777777" w:rsidR="00486158" w:rsidRDefault="00486158" w:rsidP="005A1C5D">
      <w:pPr>
        <w:spacing w:after="0" w:line="240" w:lineRule="auto"/>
      </w:pPr>
    </w:p>
    <w:p w14:paraId="0260C587" w14:textId="367C92C5" w:rsidR="00486158" w:rsidRPr="005A1C5D" w:rsidRDefault="00486158" w:rsidP="005A1C5D">
      <w:pPr>
        <w:spacing w:after="0" w:line="240" w:lineRule="auto"/>
      </w:pPr>
      <w:r w:rsidRPr="00486158">
        <w:t>To ensure that scaled hydrofoil models accurately reflect the behaviour of full-scale designs, designers apply Reynolds number similarity principles. By matching the Reynolds number, they aim to replicate key flow characteristics such as boundary-layer development, flow separation, lift, and drag</w:t>
      </w:r>
      <w:r w:rsidR="0091569E">
        <w:t xml:space="preserve"> </w:t>
      </w:r>
      <w:r w:rsidR="0091569E" w:rsidRPr="0091569E">
        <w:t>(Qiao et al., 2021)</w:t>
      </w:r>
      <w:r w:rsidRPr="00486158">
        <w:t>. When precise matching is not feasible, modifications to test velocity, fluid characteristics, or the implementation of transition strips are used to maintain dynamic resemblance</w:t>
      </w:r>
      <w:r w:rsidR="00F873E2">
        <w:t xml:space="preserve"> </w:t>
      </w:r>
      <w:r w:rsidR="00F873E2" w:rsidRPr="00F873E2">
        <w:t>(Besnard et al., 1998)</w:t>
      </w:r>
      <w:r w:rsidRPr="00486158">
        <w:t>.  These adaptations allow model data to function as a reliable predictor of full-scale performance</w:t>
      </w:r>
      <w:r w:rsidR="00076CD4">
        <w:t xml:space="preserve"> </w:t>
      </w:r>
      <w:r w:rsidR="00076CD4" w:rsidRPr="00076CD4">
        <w:t>(Varvne and Eriksson, 2024)</w:t>
      </w:r>
      <w:r w:rsidRPr="00486158">
        <w:t>.</w:t>
      </w:r>
    </w:p>
    <w:p w14:paraId="0C8EB345" w14:textId="506DDD0D" w:rsidR="007612C6" w:rsidRPr="005A1C5D" w:rsidRDefault="007612C6" w:rsidP="007612C6">
      <w:pPr>
        <w:spacing w:after="0" w:line="240" w:lineRule="auto"/>
      </w:pPr>
    </w:p>
    <w:p w14:paraId="3B21DA54" w14:textId="7CCBF7A6" w:rsidR="00530CAE" w:rsidRDefault="00530CAE" w:rsidP="00530CAE"/>
    <w:p w14:paraId="6263DE57" w14:textId="50A87171" w:rsidR="001B0982" w:rsidRDefault="001B0982" w:rsidP="002F59DD">
      <w:pPr>
        <w:pStyle w:val="Heading2"/>
        <w:numPr>
          <w:ilvl w:val="1"/>
          <w:numId w:val="27"/>
        </w:numPr>
      </w:pPr>
      <w:r w:rsidRPr="001B0982">
        <w:lastRenderedPageBreak/>
        <w:t>Influence of Reynolds Number on Flow Characteristics</w:t>
      </w:r>
      <w:r w:rsidR="000C1697">
        <w:t xml:space="preserve"> of a </w:t>
      </w:r>
      <w:r w:rsidR="007F44F4">
        <w:t>Hydrofoil Wing</w:t>
      </w:r>
      <w:r w:rsidR="006404DD">
        <w:t xml:space="preserve"> </w:t>
      </w:r>
    </w:p>
    <w:p w14:paraId="12599EA6" w14:textId="4798850F" w:rsidR="007F44F4" w:rsidRPr="007F44F4" w:rsidRDefault="007F44F4" w:rsidP="007F44F4">
      <w:pPr>
        <w:spacing w:after="0" w:line="240" w:lineRule="auto"/>
      </w:pPr>
      <w:r w:rsidRPr="007F44F4">
        <w:t>The flow regime around a hydrofoil is determined by the Reynolds number, which</w:t>
      </w:r>
      <w:r>
        <w:t xml:space="preserve"> </w:t>
      </w:r>
      <w:r w:rsidRPr="007F44F4">
        <w:t>affects the behaviour of the fluid across its surface. At low Reynolds numbers, the flow is laminar, which means it is smooth but susceptible to early separation. At higher values, the flow becomes turbulent</w:t>
      </w:r>
      <w:r w:rsidR="0085198E">
        <w:t xml:space="preserve"> </w:t>
      </w:r>
      <w:r w:rsidR="0085198E" w:rsidRPr="0085198E">
        <w:t>(Sayed, 2023)</w:t>
      </w:r>
      <w:r w:rsidRPr="007F44F4">
        <w:t xml:space="preserve">, which results in an increase in </w:t>
      </w:r>
      <w:r>
        <w:t xml:space="preserve">the </w:t>
      </w:r>
      <w:r w:rsidRPr="007F44F4">
        <w:t>mixture between fluid layers. where fluid particles from different layers interact and exchange momentum, energy, and sometimes heat or mass, and delay separation</w:t>
      </w:r>
      <w:r w:rsidR="008017CB">
        <w:t xml:space="preserve"> </w:t>
      </w:r>
      <w:r w:rsidR="008017CB" w:rsidRPr="008017CB">
        <w:t>(Pozorski and Wacławczyk, 2020)</w:t>
      </w:r>
      <w:r w:rsidRPr="007F44F4">
        <w:t>.</w:t>
      </w:r>
    </w:p>
    <w:p w14:paraId="239B44DB" w14:textId="77777777" w:rsidR="007F44F4" w:rsidRPr="001B0982" w:rsidRDefault="007F44F4" w:rsidP="007F44F4"/>
    <w:p w14:paraId="7F21836F" w14:textId="49EC2D51" w:rsidR="001B0982" w:rsidRDefault="001B0982" w:rsidP="001B0982"/>
    <w:p w14:paraId="4BDD87AC" w14:textId="75C4432E" w:rsidR="00B72002" w:rsidRPr="00EF5B89" w:rsidRDefault="00B72002" w:rsidP="002F59DD">
      <w:pPr>
        <w:pStyle w:val="Heading2"/>
        <w:numPr>
          <w:ilvl w:val="1"/>
          <w:numId w:val="27"/>
        </w:numPr>
      </w:pPr>
      <w:r w:rsidRPr="00EF5B89">
        <w:t>Estimation of Reynolds Number for the Hydrofoil</w:t>
      </w:r>
      <w:r w:rsidR="00FD1045" w:rsidRPr="00EF5B89">
        <w:t xml:space="preserve"> of the </w:t>
      </w:r>
      <w:r w:rsidR="002E541E" w:rsidRPr="00EF5B89">
        <w:t>fluid</w:t>
      </w:r>
      <w:r w:rsidR="00FD1045" w:rsidRPr="00EF5B89">
        <w:t xml:space="preserve"> flowing around the wing</w:t>
      </w:r>
    </w:p>
    <w:p w14:paraId="531D61BB" w14:textId="5C249D7F" w:rsidR="00794400" w:rsidRDefault="00794400" w:rsidP="002F59DD">
      <w:pPr>
        <w:pStyle w:val="Heading3"/>
        <w:numPr>
          <w:ilvl w:val="2"/>
          <w:numId w:val="27"/>
        </w:numPr>
      </w:pPr>
      <w:r>
        <w:t xml:space="preserve">Assumptions </w:t>
      </w:r>
    </w:p>
    <w:p w14:paraId="7A10599A" w14:textId="10E14D81" w:rsidR="00FF3D3A" w:rsidRPr="00B72002" w:rsidRDefault="00FF3D3A" w:rsidP="00FF3D3A">
      <w:r w:rsidRPr="00FF3D3A">
        <w:t>When calculating Reynolds number, it is assumed that the fluid has constant viscosity</w:t>
      </w:r>
      <w:r w:rsidR="00807B6A">
        <w:t xml:space="preserve"> </w:t>
      </w:r>
      <w:r w:rsidR="00807B6A" w:rsidRPr="00807B6A">
        <w:t>(Pozorski and Waclawczyk, 2000)</w:t>
      </w:r>
      <w:r w:rsidRPr="00FF3D3A">
        <w:t>, the flow is steady and incompressible</w:t>
      </w:r>
      <w:r w:rsidR="007344DF">
        <w:t xml:space="preserve"> </w:t>
      </w:r>
      <w:r w:rsidR="007344DF" w:rsidRPr="007344DF">
        <w:t>(Katz, 2010)</w:t>
      </w:r>
      <w:r w:rsidRPr="00FF3D3A">
        <w:t>, a representative length and velocity are used, and body forces are negligible</w:t>
      </w:r>
      <w:r w:rsidR="005C791E">
        <w:t xml:space="preserve"> </w:t>
      </w:r>
      <w:r w:rsidR="005C791E" w:rsidRPr="005C791E">
        <w:t>(Flandro, McMahon and Roach, 2011)</w:t>
      </w:r>
      <w:r w:rsidRPr="00FF3D3A">
        <w:t>.</w:t>
      </w:r>
    </w:p>
    <w:p w14:paraId="0C304D2C" w14:textId="5EFE2EAE" w:rsidR="00B72002" w:rsidRPr="00555A0C" w:rsidRDefault="0079464D" w:rsidP="00555A0C">
      <w:pPr>
        <w:pStyle w:val="Heading4"/>
        <w:numPr>
          <w:ilvl w:val="3"/>
          <w:numId w:val="27"/>
        </w:numPr>
      </w:pPr>
      <w:r w:rsidRPr="00555A0C">
        <w:t>Calculation</w:t>
      </w:r>
      <w:r w:rsidR="002B1816" w:rsidRPr="00555A0C">
        <w:t xml:space="preserve"> for </w:t>
      </w:r>
      <w:r w:rsidR="00F25CDD" w:rsidRPr="00555A0C">
        <w:t>seawater</w:t>
      </w:r>
    </w:p>
    <w:p w14:paraId="0F373ED8" w14:textId="3215E827" w:rsidR="0079464D" w:rsidRDefault="00B83459" w:rsidP="00B83459">
      <w:r>
        <w:t>Whereas:</w:t>
      </w:r>
    </w:p>
    <w:p w14:paraId="15ADFC37" w14:textId="1A9ED670" w:rsidR="00B07417" w:rsidRPr="00704802" w:rsidRDefault="00B07417" w:rsidP="00B72409">
      <w:pPr>
        <w:pStyle w:val="ListParagraph"/>
        <w:numPr>
          <w:ilvl w:val="0"/>
          <w:numId w:val="17"/>
        </w:numPr>
      </w:pPr>
      <w:r w:rsidRPr="00704802">
        <w:t xml:space="preserve">ρ = </w:t>
      </w:r>
      <w:r w:rsidRPr="00B72002">
        <w:t xml:space="preserve">Fluid density for </w:t>
      </w:r>
      <w:r>
        <w:t>sea water = 1026</w:t>
      </w:r>
      <w:r w:rsidRPr="00B72002">
        <w:t>kg/m³</w:t>
      </w:r>
      <w:r>
        <w:t xml:space="preserve"> </w:t>
      </w:r>
      <w:r w:rsidRPr="003D0FF3">
        <w:t>(Britannica, 2019</w:t>
      </w:r>
      <w:r>
        <w:t xml:space="preserve">; </w:t>
      </w:r>
      <w:r w:rsidRPr="00626610">
        <w:t>The Engineering ToolBox, 2019)</w:t>
      </w:r>
    </w:p>
    <w:p w14:paraId="4EB185FF" w14:textId="7C5B7DC0" w:rsidR="00B07417" w:rsidRPr="00704802" w:rsidRDefault="00B07417" w:rsidP="00B07417">
      <w:pPr>
        <w:pStyle w:val="ListParagraph"/>
        <w:numPr>
          <w:ilvl w:val="0"/>
          <w:numId w:val="17"/>
        </w:numPr>
      </w:pPr>
      <w:r w:rsidRPr="00704802">
        <w:t xml:space="preserve">V = </w:t>
      </w:r>
      <w:r w:rsidR="00097708">
        <w:t>6</w:t>
      </w:r>
      <w:r w:rsidR="00097708" w:rsidRPr="00B72002">
        <w:t>m/s</w:t>
      </w:r>
      <w:r w:rsidR="00097708">
        <w:t xml:space="preserve"> </w:t>
      </w:r>
      <w:r w:rsidR="00097708" w:rsidRPr="004B5498">
        <w:t>(DUNN , 2024)</w:t>
      </w:r>
    </w:p>
    <w:p w14:paraId="0B6E7470" w14:textId="4D97AB21" w:rsidR="00B07417" w:rsidRPr="00704802" w:rsidRDefault="00045A90" w:rsidP="003407FC">
      <w:pPr>
        <w:pStyle w:val="ListParagraph"/>
        <w:numPr>
          <w:ilvl w:val="0"/>
          <w:numId w:val="17"/>
        </w:numPr>
      </w:pPr>
      <w:r w:rsidRPr="00704802">
        <w:t>L =</w:t>
      </w:r>
      <w:r>
        <w:t xml:space="preserve"> 0.78m</w:t>
      </w:r>
      <w:r w:rsidRPr="00045A90">
        <w:rPr>
          <w:vertAlign w:val="superscript"/>
        </w:rPr>
        <w:t>2</w:t>
      </w:r>
      <w:r w:rsidR="003407FC">
        <w:rPr>
          <w:vertAlign w:val="superscript"/>
        </w:rPr>
        <w:t xml:space="preserve"> </w:t>
      </w:r>
      <w:r w:rsidR="003407FC">
        <w:t xml:space="preserve"> </w:t>
      </w:r>
      <w:r w:rsidR="003407FC" w:rsidRPr="003407FC">
        <w:t>(F-One, 2025)</w:t>
      </w:r>
    </w:p>
    <w:p w14:paraId="1AE9C818" w14:textId="63B0799F" w:rsidR="00B07417" w:rsidRDefault="00B07417" w:rsidP="00B83459">
      <w:pPr>
        <w:pStyle w:val="ListParagraph"/>
        <w:numPr>
          <w:ilvl w:val="0"/>
          <w:numId w:val="17"/>
        </w:numPr>
      </w:pPr>
      <w:r w:rsidRPr="00704802">
        <w:t xml:space="preserve">μ = </w:t>
      </w:r>
      <w:r w:rsidR="00097708">
        <w:t xml:space="preserve">sea water = </w:t>
      </w:r>
      <w:r w:rsidR="00097708" w:rsidRPr="00B72002">
        <w:t>1.0</w:t>
      </w:r>
      <w:r w:rsidR="00097708">
        <w:t>8</w:t>
      </w:r>
      <w:r w:rsidR="00097708" w:rsidRPr="00B72002">
        <w:t>×10</w:t>
      </w:r>
      <w:r w:rsidR="00097708" w:rsidRPr="00B83459">
        <w:rPr>
          <w:rFonts w:ascii="Cambria Math" w:hAnsi="Cambria Math" w:cs="Cambria Math"/>
        </w:rPr>
        <w:t>⁻</w:t>
      </w:r>
      <w:r w:rsidR="00097708" w:rsidRPr="00B83459">
        <w:rPr>
          <w:rFonts w:ascii="Aptos" w:hAnsi="Aptos" w:cs="Aptos"/>
        </w:rPr>
        <w:t>³</w:t>
      </w:r>
      <w:r w:rsidR="00097708" w:rsidRPr="00B72002">
        <w:t xml:space="preserve"> Pa</w:t>
      </w:r>
      <w:r w:rsidR="00097708" w:rsidRPr="00B83459">
        <w:rPr>
          <w:rFonts w:ascii="Aptos" w:hAnsi="Aptos" w:cs="Aptos"/>
        </w:rPr>
        <w:t>·</w:t>
      </w:r>
      <w:r w:rsidR="00097708" w:rsidRPr="00B72002">
        <w:t>s</w:t>
      </w:r>
      <w:r w:rsidR="00097708">
        <w:t xml:space="preserve"> </w:t>
      </w:r>
      <w:r w:rsidR="00097708" w:rsidRPr="00D701BC">
        <w:t>(Sharqawy, Lienhard and Zubair, 2010)</w:t>
      </w:r>
    </w:p>
    <w:p w14:paraId="58F46FA0" w14:textId="77777777" w:rsidR="00B27BD8" w:rsidRDefault="00B27BD8" w:rsidP="00B27BD8">
      <w:pPr>
        <w:pStyle w:val="ListParagraph"/>
      </w:pPr>
    </w:p>
    <w:p w14:paraId="19064F24" w14:textId="6615CBBA" w:rsidR="002A173D" w:rsidRDefault="002A173D" w:rsidP="00B83459">
      <w:r>
        <w:t>Applying Re</w:t>
      </w:r>
      <w:r w:rsidR="00F8165B">
        <w:t>y</w:t>
      </w:r>
      <w:r>
        <w:t>nold number, Re:</w:t>
      </w:r>
    </w:p>
    <w:p w14:paraId="3A96ECB5" w14:textId="61EE48BC" w:rsidR="002A173D" w:rsidRPr="00F441FC" w:rsidRDefault="002A173D" w:rsidP="00B83459">
      <m:oMathPara>
        <m:oMath>
          <m:r>
            <w:rPr>
              <w:rFonts w:ascii="Cambria Math" w:hAnsi="Cambria Math"/>
            </w:rPr>
            <m:t xml:space="preserve">Re= </m:t>
          </m:r>
          <m:f>
            <m:fPr>
              <m:ctrlPr>
                <w:rPr>
                  <w:rFonts w:ascii="Cambria Math" w:hAnsi="Cambria Math"/>
                  <w:i/>
                </w:rPr>
              </m:ctrlPr>
            </m:fPr>
            <m:num>
              <m:r>
                <w:rPr>
                  <w:rFonts w:ascii="Cambria Math" w:hAnsi="Cambria Math"/>
                </w:rPr>
                <m:t>1026 x 6 x 0.78</m:t>
              </m:r>
            </m:num>
            <m:den>
              <m:r>
                <w:rPr>
                  <w:rFonts w:ascii="Cambria Math" w:hAnsi="Cambria Math"/>
                </w:rPr>
                <m:t>1.08</m:t>
              </m:r>
              <m:sSup>
                <m:sSupPr>
                  <m:ctrlPr>
                    <w:rPr>
                      <w:rFonts w:ascii="Cambria Math" w:hAnsi="Cambria Math"/>
                      <w:i/>
                    </w:rPr>
                  </m:ctrlPr>
                </m:sSupPr>
                <m:e>
                  <m:r>
                    <w:rPr>
                      <w:rFonts w:ascii="Cambria Math" w:hAnsi="Cambria Math"/>
                    </w:rPr>
                    <m:t>x10</m:t>
                  </m:r>
                </m:e>
                <m:sup>
                  <m:r>
                    <w:rPr>
                      <w:rFonts w:ascii="Cambria Math" w:hAnsi="Cambria Math"/>
                    </w:rPr>
                    <m:t>-3</m:t>
                  </m:r>
                </m:sup>
              </m:sSup>
            </m:den>
          </m:f>
        </m:oMath>
      </m:oMathPara>
    </w:p>
    <w:p w14:paraId="719F8D28" w14:textId="420B6A38" w:rsidR="00F441FC" w:rsidRPr="00F441FC" w:rsidRDefault="00F441FC" w:rsidP="00F441FC">
      <w:pPr>
        <w:pStyle w:val="Caption"/>
        <w:jc w:val="center"/>
        <w:rPr>
          <w:i w:val="0"/>
        </w:rPr>
      </w:pPr>
      <w:bookmarkStart w:id="4" w:name="_Toc214140160"/>
      <w:r>
        <w:t xml:space="preserve">Equation </w:t>
      </w:r>
      <w:fldSimple w:instr=" SEQ Equation \* ARABIC ">
        <w:r>
          <w:rPr>
            <w:noProof/>
          </w:rPr>
          <w:t>2</w:t>
        </w:r>
      </w:fldSimple>
      <w:r>
        <w:t xml:space="preserve"> - Seawater calculation</w:t>
      </w:r>
      <w:bookmarkEnd w:id="4"/>
    </w:p>
    <w:p w14:paraId="66ED7E89" w14:textId="77777777" w:rsidR="00F441FC" w:rsidRPr="00B27BD8" w:rsidRDefault="00F441FC" w:rsidP="00B83459"/>
    <w:p w14:paraId="05BC66C9" w14:textId="6AD15359" w:rsidR="00B27BD8" w:rsidRDefault="00B27BD8" w:rsidP="00B83459">
      <w:pPr>
        <w:rPr>
          <w:vertAlign w:val="superscript"/>
        </w:rPr>
      </w:pPr>
      <w:r>
        <w:t xml:space="preserve">Re = </w:t>
      </w:r>
      <w:r w:rsidR="007D121A">
        <w:t>4.45</w:t>
      </w:r>
      <w:r w:rsidR="005C211D">
        <w:t xml:space="preserve"> x10</w:t>
      </w:r>
      <w:r w:rsidR="007D121A">
        <w:rPr>
          <w:vertAlign w:val="superscript"/>
        </w:rPr>
        <w:t>6</w:t>
      </w:r>
    </w:p>
    <w:p w14:paraId="60E9FD59" w14:textId="77777777" w:rsidR="00B72409" w:rsidRPr="005C211D" w:rsidRDefault="00B72409" w:rsidP="00B83459">
      <w:pPr>
        <w:rPr>
          <w:vertAlign w:val="superscript"/>
        </w:rPr>
      </w:pPr>
    </w:p>
    <w:p w14:paraId="4E252AC6" w14:textId="614BC20D" w:rsidR="00B72002" w:rsidRDefault="00F25CDD" w:rsidP="00555A0C">
      <w:pPr>
        <w:pStyle w:val="Heading4"/>
        <w:numPr>
          <w:ilvl w:val="3"/>
          <w:numId w:val="27"/>
        </w:numPr>
      </w:pPr>
      <w:r>
        <w:lastRenderedPageBreak/>
        <w:t xml:space="preserve">Calculation for </w:t>
      </w:r>
      <w:r w:rsidR="001A3BD9">
        <w:t>fresh water</w:t>
      </w:r>
    </w:p>
    <w:p w14:paraId="5E2F8305" w14:textId="488667C0" w:rsidR="001A3BD9" w:rsidRDefault="001A3BD9" w:rsidP="001A3BD9">
      <w:r>
        <w:t>Whereas:</w:t>
      </w:r>
    </w:p>
    <w:p w14:paraId="0007206B" w14:textId="2935959E" w:rsidR="00B72409" w:rsidRDefault="00B72409" w:rsidP="00B72409">
      <w:pPr>
        <w:pStyle w:val="ListParagraph"/>
        <w:numPr>
          <w:ilvl w:val="0"/>
          <w:numId w:val="17"/>
        </w:numPr>
      </w:pPr>
      <w:r w:rsidRPr="00704802">
        <w:t xml:space="preserve">ρ = </w:t>
      </w:r>
      <w:r w:rsidRPr="00B72002">
        <w:t xml:space="preserve">Fluid density for </w:t>
      </w:r>
      <w:r>
        <w:t>fresh water (lake) = 1</w:t>
      </w:r>
      <w:r w:rsidRPr="00B72002">
        <w:t>000kg/m³</w:t>
      </w:r>
      <w:r>
        <w:t xml:space="preserve"> </w:t>
      </w:r>
      <w:r w:rsidRPr="00AC3028">
        <w:t>(The Engineering ToolBox, 2003</w:t>
      </w:r>
      <w:r>
        <w:t xml:space="preserve">; </w:t>
      </w:r>
      <w:r w:rsidRPr="00EB287D">
        <w:t>The Open University, 2018)</w:t>
      </w:r>
    </w:p>
    <w:p w14:paraId="72300DCD" w14:textId="77777777" w:rsidR="00B72409" w:rsidRPr="00704802" w:rsidRDefault="00B72409" w:rsidP="00B72409">
      <w:pPr>
        <w:pStyle w:val="ListParagraph"/>
        <w:numPr>
          <w:ilvl w:val="0"/>
          <w:numId w:val="17"/>
        </w:numPr>
      </w:pPr>
      <w:r w:rsidRPr="00704802">
        <w:t xml:space="preserve">V = </w:t>
      </w:r>
      <w:r>
        <w:t>6</w:t>
      </w:r>
      <w:r w:rsidRPr="00B72002">
        <w:t>m/s</w:t>
      </w:r>
      <w:r>
        <w:t xml:space="preserve"> </w:t>
      </w:r>
      <w:r w:rsidRPr="004B5498">
        <w:t>(DUNN , 2024)</w:t>
      </w:r>
    </w:p>
    <w:p w14:paraId="64397304" w14:textId="462B1E92" w:rsidR="00B72409" w:rsidRPr="00045A90" w:rsidRDefault="00B72409" w:rsidP="003407FC">
      <w:pPr>
        <w:pStyle w:val="ListParagraph"/>
        <w:numPr>
          <w:ilvl w:val="0"/>
          <w:numId w:val="17"/>
        </w:numPr>
      </w:pPr>
      <w:r w:rsidRPr="00704802">
        <w:t>L =</w:t>
      </w:r>
      <w:r w:rsidR="00045A90">
        <w:t xml:space="preserve"> </w:t>
      </w:r>
      <w:r>
        <w:t>0.78m</w:t>
      </w:r>
      <w:r w:rsidRPr="00045A90">
        <w:rPr>
          <w:vertAlign w:val="superscript"/>
        </w:rPr>
        <w:t>2</w:t>
      </w:r>
      <w:r w:rsidR="003407FC">
        <w:rPr>
          <w:vertAlign w:val="superscript"/>
        </w:rPr>
        <w:t xml:space="preserve"> </w:t>
      </w:r>
      <w:r w:rsidR="003407FC">
        <w:t xml:space="preserve"> </w:t>
      </w:r>
      <w:r w:rsidR="003407FC" w:rsidRPr="003407FC">
        <w:t>(F-One, 2025)</w:t>
      </w:r>
    </w:p>
    <w:p w14:paraId="2C0F946B" w14:textId="43AF9770" w:rsidR="00B72409" w:rsidRDefault="00B72409" w:rsidP="00045A90">
      <w:pPr>
        <w:pStyle w:val="ListParagraph"/>
        <w:numPr>
          <w:ilvl w:val="0"/>
          <w:numId w:val="17"/>
        </w:numPr>
      </w:pPr>
      <w:r w:rsidRPr="00704802">
        <w:t xml:space="preserve">μ = </w:t>
      </w:r>
      <w:r w:rsidRPr="00B72002">
        <w:t xml:space="preserve">Dynamic viscosity </w:t>
      </w:r>
      <w:r>
        <w:t xml:space="preserve">for fresh water = </w:t>
      </w:r>
      <w:r w:rsidRPr="00B72002">
        <w:t>1.0</w:t>
      </w:r>
      <w:r>
        <w:t>02</w:t>
      </w:r>
      <w:r w:rsidRPr="00B72002">
        <w:t>×10</w:t>
      </w:r>
      <w:r w:rsidRPr="00B72409">
        <w:rPr>
          <w:rFonts w:ascii="Cambria Math" w:hAnsi="Cambria Math" w:cs="Cambria Math"/>
        </w:rPr>
        <w:t>⁻</w:t>
      </w:r>
      <w:r w:rsidRPr="00B72409">
        <w:rPr>
          <w:rFonts w:ascii="Aptos" w:hAnsi="Aptos" w:cs="Aptos"/>
        </w:rPr>
        <w:t>³</w:t>
      </w:r>
      <w:r w:rsidRPr="00B72002">
        <w:t xml:space="preserve"> Pa</w:t>
      </w:r>
      <w:r w:rsidRPr="00B72409">
        <w:rPr>
          <w:rFonts w:ascii="Aptos" w:hAnsi="Aptos" w:cs="Aptos"/>
        </w:rPr>
        <w:t>·</w:t>
      </w:r>
      <w:r w:rsidRPr="00B72002">
        <w:t>s</w:t>
      </w:r>
      <w:r>
        <w:t xml:space="preserve"> </w:t>
      </w:r>
      <w:r w:rsidRPr="00CE03B1">
        <w:t>(Engineering ToolBox, 2004)</w:t>
      </w:r>
    </w:p>
    <w:p w14:paraId="6836FCA2" w14:textId="77777777" w:rsidR="00560C18" w:rsidRDefault="00560C18" w:rsidP="00560C18">
      <w:pPr>
        <w:pStyle w:val="ListParagraph"/>
        <w:numPr>
          <w:ilvl w:val="0"/>
          <w:numId w:val="17"/>
        </w:numPr>
      </w:pPr>
      <w:r>
        <w:t>Applying Renold number, Re:</w:t>
      </w:r>
    </w:p>
    <w:p w14:paraId="2086CD23" w14:textId="42A07272" w:rsidR="00560C18" w:rsidRPr="00B27BD8" w:rsidRDefault="00560C18" w:rsidP="00560C18">
      <w:pPr>
        <w:pStyle w:val="ListParagraph"/>
        <w:jc w:val="center"/>
      </w:pPr>
      <m:oMathPara>
        <m:oMath>
          <m:r>
            <w:rPr>
              <w:rFonts w:ascii="Cambria Math" w:hAnsi="Cambria Math"/>
            </w:rPr>
            <m:t xml:space="preserve">Re= </m:t>
          </m:r>
          <m:f>
            <m:fPr>
              <m:ctrlPr>
                <w:rPr>
                  <w:rFonts w:ascii="Cambria Math" w:hAnsi="Cambria Math"/>
                  <w:i/>
                </w:rPr>
              </m:ctrlPr>
            </m:fPr>
            <m:num>
              <m:r>
                <w:rPr>
                  <w:rFonts w:ascii="Cambria Math" w:hAnsi="Cambria Math"/>
                </w:rPr>
                <m:t>1000 x 6 x 0.78</m:t>
              </m:r>
            </m:num>
            <m:den>
              <m:r>
                <w:rPr>
                  <w:rFonts w:ascii="Cambria Math" w:hAnsi="Cambria Math"/>
                </w:rPr>
                <m:t>1.002</m:t>
              </m:r>
              <m:sSup>
                <m:sSupPr>
                  <m:ctrlPr>
                    <w:rPr>
                      <w:rFonts w:ascii="Cambria Math" w:hAnsi="Cambria Math"/>
                      <w:i/>
                    </w:rPr>
                  </m:ctrlPr>
                </m:sSupPr>
                <m:e>
                  <m:r>
                    <w:rPr>
                      <w:rFonts w:ascii="Cambria Math" w:hAnsi="Cambria Math"/>
                    </w:rPr>
                    <m:t>x10</m:t>
                  </m:r>
                </m:e>
                <m:sup>
                  <m:r>
                    <w:rPr>
                      <w:rFonts w:ascii="Cambria Math" w:hAnsi="Cambria Math"/>
                    </w:rPr>
                    <m:t>-3</m:t>
                  </m:r>
                </m:sup>
              </m:sSup>
            </m:den>
          </m:f>
        </m:oMath>
      </m:oMathPara>
    </w:p>
    <w:p w14:paraId="45E8811F" w14:textId="5E443068" w:rsidR="00F441FC" w:rsidRDefault="00F441FC" w:rsidP="00F441FC">
      <w:pPr>
        <w:pStyle w:val="Caption"/>
        <w:jc w:val="center"/>
      </w:pPr>
      <w:bookmarkStart w:id="5" w:name="_Toc214140161"/>
      <w:r>
        <w:t xml:space="preserve">Equation </w:t>
      </w:r>
      <w:fldSimple w:instr=" SEQ Equation \* ARABIC ">
        <w:r>
          <w:rPr>
            <w:noProof/>
          </w:rPr>
          <w:t>3</w:t>
        </w:r>
      </w:fldSimple>
      <w:r>
        <w:t xml:space="preserve"> - fresh </w:t>
      </w:r>
      <w:r w:rsidRPr="00290CF4">
        <w:t>water calculation</w:t>
      </w:r>
      <w:bookmarkEnd w:id="5"/>
    </w:p>
    <w:p w14:paraId="32ADEF5B" w14:textId="39F34D47" w:rsidR="00B72409" w:rsidRDefault="00560C18" w:rsidP="00B72409">
      <w:pPr>
        <w:rPr>
          <w:vertAlign w:val="superscript"/>
        </w:rPr>
      </w:pPr>
      <w:r>
        <w:t>Re = 4.7x10</w:t>
      </w:r>
      <w:r>
        <w:rPr>
          <w:vertAlign w:val="superscript"/>
        </w:rPr>
        <w:t>6</w:t>
      </w:r>
    </w:p>
    <w:p w14:paraId="789AABCB" w14:textId="77777777" w:rsidR="00400F11" w:rsidRPr="00560C18" w:rsidRDefault="00400F11" w:rsidP="00B72409"/>
    <w:p w14:paraId="1F92A720" w14:textId="159B2407" w:rsidR="003A783D" w:rsidRPr="00B72002" w:rsidRDefault="00855124" w:rsidP="0045268E">
      <w:pPr>
        <w:pStyle w:val="Heading3"/>
        <w:numPr>
          <w:ilvl w:val="2"/>
          <w:numId w:val="27"/>
        </w:numPr>
      </w:pPr>
      <w:r w:rsidRPr="00B72002">
        <w:t xml:space="preserve">Interpret the result </w:t>
      </w:r>
    </w:p>
    <w:p w14:paraId="6B8796DB" w14:textId="75E0E961" w:rsidR="00B72002" w:rsidRPr="00451C50" w:rsidRDefault="005074DA" w:rsidP="00B72002">
      <w:r>
        <w:t xml:space="preserve">Based on the calculations in sections </w:t>
      </w:r>
      <w:r w:rsidR="00C73BD7">
        <w:t>1.4.1.1 and 1.4.1.2</w:t>
      </w:r>
      <w:r w:rsidR="00633C0A">
        <w:t>, the hydrofoil</w:t>
      </w:r>
      <w:r w:rsidR="0008453B">
        <w:t xml:space="preserve"> </w:t>
      </w:r>
      <w:r w:rsidR="00633C0A">
        <w:t>pro</w:t>
      </w:r>
      <w:r w:rsidR="00451C50">
        <w:t xml:space="preserve">duced </w:t>
      </w:r>
      <w:r w:rsidR="00946E04">
        <w:t>R</w:t>
      </w:r>
      <w:r w:rsidR="0008453B">
        <w:t>eynolds number</w:t>
      </w:r>
      <w:r w:rsidR="00451C50">
        <w:t xml:space="preserve"> of 4.45x10</w:t>
      </w:r>
      <w:r w:rsidR="00451C50">
        <w:rPr>
          <w:vertAlign w:val="superscript"/>
        </w:rPr>
        <w:t>6</w:t>
      </w:r>
      <w:r w:rsidR="00451C50">
        <w:t xml:space="preserve"> </w:t>
      </w:r>
      <w:r w:rsidR="0008453B">
        <w:t xml:space="preserve">in seawater and </w:t>
      </w:r>
      <w:r w:rsidR="00451C50">
        <w:t>4.7x10</w:t>
      </w:r>
      <w:r w:rsidR="00451C50">
        <w:rPr>
          <w:vertAlign w:val="superscript"/>
        </w:rPr>
        <w:t>6</w:t>
      </w:r>
      <w:r w:rsidR="0008453B">
        <w:rPr>
          <w:vertAlign w:val="superscript"/>
        </w:rPr>
        <w:t xml:space="preserve"> </w:t>
      </w:r>
      <w:r w:rsidR="006B3021">
        <w:t xml:space="preserve">in </w:t>
      </w:r>
      <w:r w:rsidR="00400F11">
        <w:t>freshwater</w:t>
      </w:r>
      <w:r w:rsidR="00451C50">
        <w:t xml:space="preserve">. These values were obtained using the </w:t>
      </w:r>
      <w:r w:rsidR="00C826F5">
        <w:t xml:space="preserve">equation </w:t>
      </w:r>
      <m:oMath>
        <m:r>
          <w:rPr>
            <w:rFonts w:ascii="Cambria Math" w:hAnsi="Cambria Math"/>
          </w:rPr>
          <m:t>Re=</m:t>
        </m:r>
        <m:f>
          <m:fPr>
            <m:ctrlPr>
              <w:rPr>
                <w:rFonts w:ascii="Cambria Math" w:hAnsi="Cambria Math"/>
              </w:rPr>
            </m:ctrlPr>
          </m:fPr>
          <m:num>
            <m:r>
              <w:rPr>
                <w:rFonts w:ascii="Cambria Math" w:hAnsi="Cambria Math"/>
              </w:rPr>
              <m:t>ρVL</m:t>
            </m:r>
          </m:num>
          <m:den>
            <m:r>
              <w:rPr>
                <w:rFonts w:ascii="Cambria Math" w:hAnsi="Cambria Math"/>
              </w:rPr>
              <m:t>μ</m:t>
            </m:r>
          </m:den>
        </m:f>
      </m:oMath>
      <w:r w:rsidR="006E2A93">
        <w:t xml:space="preserve"> </w:t>
      </w:r>
      <w:r w:rsidR="006E2A93" w:rsidRPr="008A32DB">
        <w:rPr>
          <w:rFonts w:ascii="Arial" w:eastAsia="Times New Roman" w:hAnsi="Arial" w:cs="Arial"/>
          <w:lang w:eastAsia="en-GB"/>
        </w:rPr>
        <w:t>(Bhuyan, 2023</w:t>
      </w:r>
      <w:r w:rsidR="006E2A93">
        <w:rPr>
          <w:rFonts w:ascii="Arial" w:eastAsia="Times New Roman" w:hAnsi="Arial" w:cs="Arial"/>
          <w:lang w:eastAsia="en-GB"/>
        </w:rPr>
        <w:t>)</w:t>
      </w:r>
      <w:r w:rsidR="00457CE7">
        <w:t xml:space="preserve">. </w:t>
      </w:r>
      <w:r w:rsidR="00170E85">
        <w:t xml:space="preserve"> </w:t>
      </w:r>
      <w:r w:rsidR="001E1043">
        <w:t>As the values are &gt;4000</w:t>
      </w:r>
      <w:r w:rsidR="006B3021">
        <w:t xml:space="preserve">, the flow </w:t>
      </w:r>
      <w:r w:rsidR="00122B48">
        <w:t xml:space="preserve">is </w:t>
      </w:r>
      <w:r w:rsidR="001E1043">
        <w:t>turbulent</w:t>
      </w:r>
      <w:r w:rsidR="00D33223">
        <w:t xml:space="preserve">. This means the boundary layer over the hydrofoil </w:t>
      </w:r>
      <w:r w:rsidR="00776FEF">
        <w:t xml:space="preserve">has </w:t>
      </w:r>
      <w:r w:rsidR="00122B48">
        <w:t>experienced increased</w:t>
      </w:r>
      <w:r w:rsidR="00776FEF">
        <w:t xml:space="preserve"> skin </w:t>
      </w:r>
      <w:r w:rsidR="00122B48">
        <w:t>friction</w:t>
      </w:r>
      <w:r w:rsidR="00776FEF">
        <w:t xml:space="preserve"> drag</w:t>
      </w:r>
      <w:r w:rsidR="00122B48">
        <w:t xml:space="preserve">; however, turbulence also </w:t>
      </w:r>
      <w:r w:rsidR="00776FEF">
        <w:t>delays flow separation</w:t>
      </w:r>
      <w:r w:rsidR="00400F11">
        <w:t>, improving stability and lift performance</w:t>
      </w:r>
      <w:r w:rsidR="00EF5B89">
        <w:t xml:space="preserve"> </w:t>
      </w:r>
      <w:r w:rsidR="00EF5B89" w:rsidRPr="00EF5B89">
        <w:t>(Bourgoyne et al., 2001)</w:t>
      </w:r>
      <w:r w:rsidR="00400F11">
        <w:t xml:space="preserve">. </w:t>
      </w:r>
    </w:p>
    <w:p w14:paraId="50EC2F3B" w14:textId="0D6DCEB1" w:rsidR="00EF10E6" w:rsidRPr="00B102DC" w:rsidRDefault="00EF10E6" w:rsidP="0045268E">
      <w:pPr>
        <w:pStyle w:val="Heading1"/>
        <w:rPr>
          <w:color w:val="EE0000"/>
        </w:rPr>
      </w:pPr>
      <w:r>
        <w:t xml:space="preserve">Task 2: </w:t>
      </w:r>
      <w:r w:rsidR="005C2930" w:rsidRPr="005C2930">
        <w:t>Boundary Layer Flow and Wing Design Analysis</w:t>
      </w:r>
      <w:r w:rsidR="00B102DC">
        <w:t xml:space="preserve"> </w:t>
      </w:r>
    </w:p>
    <w:p w14:paraId="3EA632B5" w14:textId="77777777" w:rsidR="00DE3248" w:rsidRPr="0045268E" w:rsidRDefault="00DE3248" w:rsidP="00E17BD2">
      <w:pPr>
        <w:pStyle w:val="Heading2"/>
      </w:pPr>
      <w:r w:rsidRPr="0045268E">
        <w:t>2.1. Introduction to Boundary Layer Theory</w:t>
      </w:r>
    </w:p>
    <w:p w14:paraId="15B46154" w14:textId="121DEC73" w:rsidR="004E6854" w:rsidRPr="004E6854" w:rsidRDefault="004E6854" w:rsidP="004E6854">
      <w:r w:rsidRPr="004E6854">
        <w:t>The boundary layer of a hydrofoil kiteboard wing is the thin region of fluid in direct contact with the wing's surface, where viscous forces impede the flow</w:t>
      </w:r>
      <w:r w:rsidR="008C4AF3">
        <w:t xml:space="preserve"> </w:t>
      </w:r>
      <w:r w:rsidR="008C4AF3" w:rsidRPr="008C4AF3">
        <w:t>(Wikipedia Contributors, 2019</w:t>
      </w:r>
      <w:r w:rsidR="00F8165B">
        <w:t xml:space="preserve">; </w:t>
      </w:r>
      <w:r w:rsidR="00D26553" w:rsidRPr="00D26553">
        <w:t>Ye et al., 2024)</w:t>
      </w:r>
      <w:r w:rsidRPr="004E6854">
        <w:t>. In this layer, fluid velocity increases from zero at the surface to the whole free-stream speed, establishing a gradient that affects drag and lift</w:t>
      </w:r>
      <w:r w:rsidR="00FD4E70">
        <w:t xml:space="preserve"> </w:t>
      </w:r>
      <w:r w:rsidR="00FD4E70" w:rsidRPr="00FD4E70">
        <w:t>(Smith et al., 2021)</w:t>
      </w:r>
      <w:r w:rsidRPr="004E6854">
        <w:t xml:space="preserve">. The boundary layer's transition </w:t>
      </w:r>
      <w:r>
        <w:t>from smooth laminar to turbulent flow influences the hydrofoil's lift-generation</w:t>
      </w:r>
      <w:r w:rsidRPr="004E6854">
        <w:t xml:space="preserve"> efficiency and its proneness to flow separation and stall</w:t>
      </w:r>
      <w:r w:rsidR="008E71F5">
        <w:t xml:space="preserve"> </w:t>
      </w:r>
      <w:r w:rsidR="008E71F5" w:rsidRPr="008E71F5">
        <w:t>(Ye et al., 2024)</w:t>
      </w:r>
      <w:r w:rsidRPr="004E6854">
        <w:t>.</w:t>
      </w:r>
    </w:p>
    <w:p w14:paraId="75C280B2" w14:textId="584A1624" w:rsidR="00DE3248" w:rsidRDefault="00DE3248" w:rsidP="00940D1B"/>
    <w:p w14:paraId="190CDEC7" w14:textId="5F7070C5" w:rsidR="00E50B91" w:rsidRPr="00E17BD2" w:rsidRDefault="00DE3248" w:rsidP="00E17BD2">
      <w:pPr>
        <w:pStyle w:val="Heading2"/>
      </w:pPr>
      <w:r w:rsidRPr="00E17BD2">
        <w:lastRenderedPageBreak/>
        <w:t>2.</w:t>
      </w:r>
      <w:r w:rsidR="00E17BD2">
        <w:t>2</w:t>
      </w:r>
      <w:r w:rsidRPr="00E17BD2">
        <w:t xml:space="preserve">. </w:t>
      </w:r>
      <w:r w:rsidR="00E50B91" w:rsidRPr="00E17BD2">
        <w:t>Flow Separation Around the Hydrofoil</w:t>
      </w:r>
    </w:p>
    <w:p w14:paraId="3508A132" w14:textId="5B90173C" w:rsidR="001B2B07" w:rsidRDefault="001B2B07" w:rsidP="001B2B07">
      <w:r>
        <w:t>Flow separation occurs when the fluid flowing over a surface detaches from that surface.  In relation to a hydrofoil wing, this occurs when the boundary layer close to the surface cannot overcome a pressure increase along the directional flow</w:t>
      </w:r>
      <w:r w:rsidR="00C30FE9">
        <w:t xml:space="preserve"> </w:t>
      </w:r>
      <w:r w:rsidR="00C30FE9" w:rsidRPr="00C30FE9">
        <w:t>(Works, 2025)</w:t>
      </w:r>
      <w:r>
        <w:t>.</w:t>
      </w:r>
    </w:p>
    <w:p w14:paraId="2A623B23" w14:textId="3DFEACD4" w:rsidR="001B2B07" w:rsidRDefault="001B2B07" w:rsidP="00DD32DF">
      <w:r>
        <w:t xml:space="preserve">As fluid moves along the hydrofoil, </w:t>
      </w:r>
      <w:r w:rsidR="00DD32DF">
        <w:t>it naturally slows down near the surface as it travels down the foil</w:t>
      </w:r>
      <w:r>
        <w:t xml:space="preserve">. If the pressure increases suddenly, the slow-moving fluid in the boundary layer cannot maintain forward motion, and the flow reverses locally. </w:t>
      </w:r>
      <w:r w:rsidR="001B01DF">
        <w:t xml:space="preserve">As a result, the boundary layer separates from the surface </w:t>
      </w:r>
      <w:r w:rsidR="006A3768" w:rsidRPr="006A3768">
        <w:t>(Ye et al., 2024)</w:t>
      </w:r>
      <w:r>
        <w:t>.</w:t>
      </w:r>
      <w:r w:rsidR="00DD32DF">
        <w:t xml:space="preserve"> </w:t>
      </w:r>
      <w:r w:rsidR="00DD32DF" w:rsidRPr="00DD32DF">
        <w:t>When separation occurs, the pressure distribution over the hydrofoil is disturbed, reducing lift. Meanwhile, the hydrofoil generates a larger, more turbulent flow, which increases drag and reduces lift</w:t>
      </w:r>
      <w:r w:rsidR="000E0C19">
        <w:t xml:space="preserve"> </w:t>
      </w:r>
      <w:r w:rsidR="000E0C19" w:rsidRPr="000E0C19">
        <w:t>(Ramesh, Mugendiran and Sivaraj, 2024)</w:t>
      </w:r>
      <w:r w:rsidR="00DD32DF" w:rsidRPr="00DD32DF">
        <w:t>.</w:t>
      </w:r>
    </w:p>
    <w:p w14:paraId="220D621B" w14:textId="18A35CFB" w:rsidR="009D286E" w:rsidRDefault="00B746D6" w:rsidP="00B746D6">
      <w:r w:rsidRPr="00B746D6">
        <w:t xml:space="preserve">Surface roughness, angle of attack, and hydrofoil shape </w:t>
      </w:r>
      <w:r w:rsidR="001B01DF">
        <w:t>affect</w:t>
      </w:r>
      <w:r w:rsidRPr="00B746D6">
        <w:t xml:space="preserve"> flow separation</w:t>
      </w:r>
      <w:r w:rsidR="004976F7">
        <w:t xml:space="preserve">, </w:t>
      </w:r>
      <w:r w:rsidR="00EF6F9B">
        <w:t>whether</w:t>
      </w:r>
      <w:r w:rsidR="004976F7">
        <w:t xml:space="preserve"> the flow re</w:t>
      </w:r>
      <w:r w:rsidR="00EF6F9B">
        <w:t>mains attached or separated from the surface (</w:t>
      </w:r>
      <w:r w:rsidR="00EF6F9B">
        <w:rPr>
          <w:i/>
          <w:iCs/>
        </w:rPr>
        <w:t xml:space="preserve">Figure </w:t>
      </w:r>
      <w:r w:rsidR="009D286E">
        <w:rPr>
          <w:i/>
          <w:iCs/>
        </w:rPr>
        <w:t>4</w:t>
      </w:r>
      <w:r w:rsidR="00EF6F9B">
        <w:rPr>
          <w:i/>
          <w:iCs/>
        </w:rPr>
        <w:t>)</w:t>
      </w:r>
      <w:r w:rsidRPr="00B746D6">
        <w:t xml:space="preserve">. </w:t>
      </w:r>
    </w:p>
    <w:p w14:paraId="2AA1FD54" w14:textId="5E89351B" w:rsidR="009D286E" w:rsidRDefault="009D286E" w:rsidP="00B746D6">
      <w:r>
        <w:rPr>
          <w:noProof/>
        </w:rPr>
        <mc:AlternateContent>
          <mc:Choice Requires="wps">
            <w:drawing>
              <wp:anchor distT="0" distB="0" distL="114300" distR="114300" simplePos="0" relativeHeight="251660288" behindDoc="0" locked="0" layoutInCell="1" allowOverlap="1" wp14:anchorId="50C724A9" wp14:editId="7D379A1E">
                <wp:simplePos x="0" y="0"/>
                <wp:positionH relativeFrom="column">
                  <wp:posOffset>920750</wp:posOffset>
                </wp:positionH>
                <wp:positionV relativeFrom="paragraph">
                  <wp:posOffset>1856105</wp:posOffset>
                </wp:positionV>
                <wp:extent cx="4229100" cy="635"/>
                <wp:effectExtent l="0" t="0" r="0" b="0"/>
                <wp:wrapSquare wrapText="bothSides"/>
                <wp:docPr id="1855624444" name="Text Box 1"/>
                <wp:cNvGraphicFramePr/>
                <a:graphic xmlns:a="http://schemas.openxmlformats.org/drawingml/2006/main">
                  <a:graphicData uri="http://schemas.microsoft.com/office/word/2010/wordprocessingShape">
                    <wps:wsp>
                      <wps:cNvSpPr txBox="1"/>
                      <wps:spPr>
                        <a:xfrm>
                          <a:off x="0" y="0"/>
                          <a:ext cx="4229100" cy="635"/>
                        </a:xfrm>
                        <a:prstGeom prst="rect">
                          <a:avLst/>
                        </a:prstGeom>
                        <a:solidFill>
                          <a:prstClr val="white"/>
                        </a:solidFill>
                        <a:ln>
                          <a:noFill/>
                        </a:ln>
                      </wps:spPr>
                      <wps:txbx>
                        <w:txbxContent>
                          <w:p w14:paraId="350B2B9F" w14:textId="744C9F1B" w:rsidR="009D286E" w:rsidRPr="007129F6" w:rsidRDefault="009D286E" w:rsidP="001B7D8A">
                            <w:pPr>
                              <w:pStyle w:val="Caption"/>
                              <w:jc w:val="center"/>
                            </w:pPr>
                            <w:bookmarkStart w:id="6" w:name="_Toc214140140"/>
                            <w:r>
                              <w:t xml:space="preserve">Figure </w:t>
                            </w:r>
                            <w:fldSimple w:instr=" SEQ Figure \* ARABIC ">
                              <w:r w:rsidR="00463B4D">
                                <w:rPr>
                                  <w:noProof/>
                                </w:rPr>
                                <w:t>4</w:t>
                              </w:r>
                            </w:fldSimple>
                            <w:r>
                              <w:t xml:space="preserve"> - Attached and separated flow characteristics</w:t>
                            </w:r>
                            <w:r w:rsidR="001B7D8A">
                              <w:t xml:space="preserve"> </w:t>
                            </w:r>
                            <w:r w:rsidR="001B7D8A" w:rsidRPr="001B7D8A">
                              <w:t>(Leishman, 2023)</w:t>
                            </w:r>
                            <w:bookmarkEnd w:id="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50C724A9" id="_x0000_t202" coordsize="21600,21600" o:spt="202" path="m,l,21600r21600,l21600,xe">
                <v:stroke joinstyle="miter"/>
                <v:path gradientshapeok="t" o:connecttype="rect"/>
              </v:shapetype>
              <v:shape id="Text Box 1" o:spid="_x0000_s1026" type="#_x0000_t202" style="position:absolute;margin-left:72.5pt;margin-top:146.15pt;width:333pt;height:.0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" stroked="f">
                <v:textbox style="mso-fit-shape-to-text:t" inset="0,0,0,0">
                  <w:txbxContent>
                    <w:p w14:paraId="350B2B9F" w14:textId="744C9F1B" w:rsidR="009D286E" w:rsidRPr="007129F6" w:rsidRDefault="009D286E" w:rsidP="001B7D8A">
                      <w:pPr>
                        <w:pStyle w:val="Caption"/>
                        <w:jc w:val="center"/>
                      </w:pPr>
                      <w:bookmarkStart w:id="7" w:name="_Toc214140140"/>
                      <w:r>
                        <w:t xml:space="preserve">Figure </w:t>
                      </w:r>
                      <w:fldSimple w:instr=" SEQ Figure \* ARABIC ">
                        <w:r w:rsidR="00463B4D">
                          <w:rPr>
                            <w:noProof/>
                          </w:rPr>
                          <w:t>4</w:t>
                        </w:r>
                      </w:fldSimple>
                      <w:r>
                        <w:t xml:space="preserve"> - Attached and separated flow characteristics</w:t>
                      </w:r>
                      <w:r w:rsidR="001B7D8A">
                        <w:t xml:space="preserve"> </w:t>
                      </w:r>
                      <w:r w:rsidR="001B7D8A" w:rsidRPr="001B7D8A">
                        <w:t>(Leishman, 2023)</w:t>
                      </w:r>
                      <w:bookmarkEnd w:id="7"/>
                    </w:p>
                  </w:txbxContent>
                </v:textbox>
                <w10:wrap type="square"/>
              </v:shape>
            </w:pict>
          </mc:Fallback>
        </mc:AlternateContent>
      </w:r>
      <w:r w:rsidRPr="009D286E">
        <w:rPr>
          <w:noProof/>
        </w:rPr>
        <w:drawing>
          <wp:anchor distT="0" distB="0" distL="114300" distR="114300" simplePos="0" relativeHeight="251658240" behindDoc="0" locked="0" layoutInCell="1" allowOverlap="1" wp14:anchorId="0DFBF786" wp14:editId="34B1FCA8">
            <wp:simplePos x="0" y="0"/>
            <wp:positionH relativeFrom="column">
              <wp:posOffset>920750</wp:posOffset>
            </wp:positionH>
            <wp:positionV relativeFrom="paragraph">
              <wp:posOffset>84455</wp:posOffset>
            </wp:positionV>
            <wp:extent cx="4229317" cy="1714588"/>
            <wp:effectExtent l="0" t="0" r="0" b="0"/>
            <wp:wrapSquare wrapText="bothSides"/>
            <wp:docPr id="1678880155" name="Picture 1" descr="A close-up of a ultras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8880155" name="Picture 1" descr="A close-up of a ultrasound&#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4229317" cy="1714588"/>
                    </a:xfrm>
                    <a:prstGeom prst="rect">
                      <a:avLst/>
                    </a:prstGeom>
                  </pic:spPr>
                </pic:pic>
              </a:graphicData>
            </a:graphic>
          </wp:anchor>
        </w:drawing>
      </w:r>
    </w:p>
    <w:p w14:paraId="0B1C6A53" w14:textId="77777777" w:rsidR="009D286E" w:rsidRDefault="009D286E" w:rsidP="00B746D6"/>
    <w:p w14:paraId="78601F47" w14:textId="77777777" w:rsidR="009D286E" w:rsidRDefault="009D286E" w:rsidP="00B746D6"/>
    <w:p w14:paraId="2E96252A" w14:textId="77777777" w:rsidR="009D286E" w:rsidRDefault="009D286E" w:rsidP="00B746D6"/>
    <w:p w14:paraId="4C67406A" w14:textId="77777777" w:rsidR="009D286E" w:rsidRDefault="009D286E" w:rsidP="00B746D6"/>
    <w:p w14:paraId="3122643A" w14:textId="77777777" w:rsidR="009D286E" w:rsidRDefault="009D286E" w:rsidP="00B746D6"/>
    <w:p w14:paraId="37A6EA14" w14:textId="77777777" w:rsidR="009D286E" w:rsidRDefault="009D286E" w:rsidP="00B746D6"/>
    <w:p w14:paraId="01542632" w14:textId="1B76A41D" w:rsidR="00B746D6" w:rsidRPr="00B746D6" w:rsidRDefault="00B746D6" w:rsidP="00B746D6">
      <w:r w:rsidRPr="00B746D6">
        <w:t>Moderately rough surfaces thicken the turbulent boundary layer, slowing separation. Moderate roughness thins the surface, accelerating separation</w:t>
      </w:r>
      <w:r w:rsidR="00C606F6">
        <w:t xml:space="preserve"> </w:t>
      </w:r>
      <w:r w:rsidR="00C606F6" w:rsidRPr="00C606F6">
        <w:t>(Ye et al., 2021)</w:t>
      </w:r>
      <w:r w:rsidRPr="00B746D6">
        <w:t>. The pressure differential increases as the angle of attack increases until the boundary layer separates</w:t>
      </w:r>
      <w:r w:rsidR="001B01DF">
        <w:t>—hydrofoil</w:t>
      </w:r>
      <w:r w:rsidRPr="00B746D6">
        <w:t xml:space="preserve"> angle and thickness distribution </w:t>
      </w:r>
      <w:r w:rsidR="001B01DF">
        <w:t>affect</w:t>
      </w:r>
      <w:r w:rsidRPr="00B746D6">
        <w:t xml:space="preserve"> surface pressure. Higher </w:t>
      </w:r>
      <w:r w:rsidR="001B01DF">
        <w:t>angles</w:t>
      </w:r>
      <w:r w:rsidR="00623250">
        <w:t xml:space="preserve"> of attacks, increased</w:t>
      </w:r>
      <w:r w:rsidR="005F103B">
        <w:t xml:space="preserve"> </w:t>
      </w:r>
      <w:r w:rsidR="007D09D2">
        <w:t>camber</w:t>
      </w:r>
      <w:r w:rsidRPr="00B746D6">
        <w:t xml:space="preserve"> and sudden thickness changes increase negative pressure gradients, </w:t>
      </w:r>
      <w:r w:rsidR="00623250">
        <w:t>raising</w:t>
      </w:r>
      <w:r w:rsidRPr="00B746D6">
        <w:t xml:space="preserve"> separation likelihood</w:t>
      </w:r>
      <w:r w:rsidR="0032317C">
        <w:t xml:space="preserve"> </w:t>
      </w:r>
      <w:r w:rsidR="0032317C" w:rsidRPr="0032317C">
        <w:t>(Butt et al., 2023</w:t>
      </w:r>
      <w:r w:rsidR="00F8165B">
        <w:t xml:space="preserve">; </w:t>
      </w:r>
      <w:r w:rsidR="00996BA6" w:rsidRPr="00996BA6">
        <w:t>KARASU et al., 2020)</w:t>
      </w:r>
      <w:r w:rsidRPr="00B746D6">
        <w:t>.</w:t>
      </w:r>
    </w:p>
    <w:p w14:paraId="687E944E" w14:textId="77777777" w:rsidR="00DD32DF" w:rsidRDefault="00DD32DF" w:rsidP="00DD32DF"/>
    <w:p w14:paraId="1223287A" w14:textId="119CEEA2" w:rsidR="00E50B91" w:rsidRPr="00E50B91" w:rsidRDefault="00E50B91" w:rsidP="00E17BD2">
      <w:pPr>
        <w:pStyle w:val="Heading2"/>
      </w:pPr>
      <w:r>
        <w:t>2.</w:t>
      </w:r>
      <w:r w:rsidR="00E17BD2">
        <w:t>3</w:t>
      </w:r>
      <w:r>
        <w:t xml:space="preserve">. </w:t>
      </w:r>
      <w:r w:rsidRPr="00E50B91">
        <w:t>Relationship Between Boundary Flow, Separation, and Design Features</w:t>
      </w:r>
    </w:p>
    <w:p w14:paraId="0FC91B9B" w14:textId="7E41B290" w:rsidR="003020D6" w:rsidRPr="003020D6" w:rsidRDefault="003020D6" w:rsidP="003020D6">
      <w:r w:rsidRPr="003020D6">
        <w:t>The shape of a hydrofoil is carefully designed to control how the boundary layer behaves and to delay flow separation. A curved (cambered) profile helps create a stronger pressure difference across the surface, which boosts lift and encourages the flow to stay attached. The way thickness is distributed not only adds structural strength but also helps maintain pressure conditions that reduce the risk of separation</w:t>
      </w:r>
      <w:r w:rsidR="00BB5977">
        <w:t xml:space="preserve"> </w:t>
      </w:r>
      <w:r w:rsidR="00BB5977" w:rsidRPr="00BB5977">
        <w:t xml:space="preserve">(Gupta et </w:t>
      </w:r>
      <w:r w:rsidR="00BB5977" w:rsidRPr="00BB5977">
        <w:lastRenderedPageBreak/>
        <w:t>al., 2023)</w:t>
      </w:r>
      <w:r w:rsidRPr="003020D6">
        <w:t>. A rounded leading edge allows the flow to enter smoothly, lowering the chance of early detachment</w:t>
      </w:r>
      <w:r w:rsidR="005F1259">
        <w:t xml:space="preserve"> </w:t>
      </w:r>
      <w:r w:rsidR="005F1259" w:rsidRPr="005F1259">
        <w:t>(Yan et al., 2022)</w:t>
      </w:r>
      <w:r w:rsidRPr="003020D6">
        <w:t xml:space="preserve">. Features like taper or twist help spread lift more evenly along the span and cut down on losses near the tips. </w:t>
      </w:r>
      <w:r w:rsidRPr="00685D70">
        <w:t>T</w:t>
      </w:r>
      <w:r w:rsidRPr="003020D6">
        <w:t>hese design</w:t>
      </w:r>
      <w:r w:rsidRPr="00685D70">
        <w:t xml:space="preserve"> factors </w:t>
      </w:r>
      <w:r w:rsidR="00685D70" w:rsidRPr="00685D70">
        <w:t>combined</w:t>
      </w:r>
      <w:r w:rsidRPr="003020D6">
        <w:t xml:space="preserve"> work</w:t>
      </w:r>
      <w:r w:rsidR="00685D70" w:rsidRPr="00685D70">
        <w:t>s</w:t>
      </w:r>
      <w:r w:rsidRPr="003020D6">
        <w:t xml:space="preserve"> to keep the flow attached and reduce overall drag</w:t>
      </w:r>
      <w:r w:rsidR="00405C1B">
        <w:t xml:space="preserve"> </w:t>
      </w:r>
      <w:r w:rsidR="00405C1B" w:rsidRPr="00405C1B">
        <w:t>(Nazemian and Ghadimi, 2020)</w:t>
      </w:r>
      <w:r w:rsidRPr="003020D6">
        <w:t>.</w:t>
      </w:r>
    </w:p>
    <w:p w14:paraId="51507F55" w14:textId="77777777" w:rsidR="003020D6" w:rsidRDefault="003020D6" w:rsidP="00137791">
      <w:pPr>
        <w:rPr>
          <w:b/>
          <w:bCs/>
        </w:rPr>
      </w:pPr>
    </w:p>
    <w:p w14:paraId="7704D413" w14:textId="0BE9C6D4" w:rsidR="0059794F" w:rsidRPr="00E17BD2" w:rsidRDefault="00E50B91" w:rsidP="00E17BD2">
      <w:pPr>
        <w:pStyle w:val="Heading2"/>
      </w:pPr>
      <w:r w:rsidRPr="00E17BD2">
        <w:t>2.</w:t>
      </w:r>
      <w:r w:rsidR="00E17BD2">
        <w:t>4</w:t>
      </w:r>
      <w:r w:rsidRPr="00E17BD2">
        <w:t xml:space="preserve">. </w:t>
      </w:r>
      <w:r w:rsidR="00137791" w:rsidRPr="00E17BD2">
        <w:t>Design Rationale and Performance Optimi</w:t>
      </w:r>
      <w:r w:rsidR="00AE229B" w:rsidRPr="00E17BD2">
        <w:t>s</w:t>
      </w:r>
      <w:r w:rsidR="00137791" w:rsidRPr="00E17BD2">
        <w:t>ation</w:t>
      </w:r>
      <w:r w:rsidR="00355EC9" w:rsidRPr="00E17BD2">
        <w:t xml:space="preserve"> </w:t>
      </w:r>
    </w:p>
    <w:p w14:paraId="20255604" w14:textId="77777777" w:rsidR="00DE21A7" w:rsidRPr="00DE21A7" w:rsidRDefault="00DE21A7" w:rsidP="00DE21A7">
      <w:r w:rsidRPr="00DE21A7">
        <w:t>Flow over a hydrofoil wing is governed by boundary layer behaviour, which affects lift, drag, and efficiency. At the Reynolds numbers typical of kiteboard hydrofoils, the boundary layer is predominantly turbulent. Although turbulence increases skin-friction drag, it is more resistant to adverse pressure gradients, helping the flow stay attached longer and reducing stall (Castillo, Wang and George, 2004; Ye et al., 2024d). Designers therefore encourage controlled transition to turbulence to maintain lift across a wider range of angles of attack.</w:t>
      </w:r>
    </w:p>
    <w:p w14:paraId="53618B14" w14:textId="77777777" w:rsidR="00DE21A7" w:rsidRPr="00DE21A7" w:rsidRDefault="00DE21A7" w:rsidP="00DE21A7">
      <w:r w:rsidRPr="00DE21A7">
        <w:t>The wing’s geometry reflects this balance: a high aspect ratio (6.0 (F-One, 2025)) and tapered tips reduce drag and vortices (Ghadimi et al., 2017); a rounded leading edge smooths pressure gradients; and moderate thickness and camber provide low-speed lift without harming pressure recovery (Breslin and Andersen, 1993). CFRP laminates ensure the wing retains its profile under load, preserving pressure distribution, while manufacturing methods such as pre-preg curing or vacuum infusion create smooth, low-void surfaces that minimise parasitic drag (Carbon Fibre Articles, 2015). Overall, the hydrofoil’s shape and materials optimise the lift–drag trade-off for stable, efficient performance in turbulent flow.</w:t>
      </w:r>
    </w:p>
    <w:p w14:paraId="0FB6BE5A" w14:textId="4FDA8837" w:rsidR="003256E7" w:rsidRPr="00AE229B" w:rsidRDefault="003256E7" w:rsidP="003256E7"/>
    <w:p w14:paraId="313AC1AC" w14:textId="77777777" w:rsidR="00B44E53" w:rsidRDefault="00B44E53" w:rsidP="00E17BD2">
      <w:pPr>
        <w:pStyle w:val="Heading1"/>
      </w:pPr>
    </w:p>
    <w:p w14:paraId="2C4D17F3" w14:textId="7550A0EE" w:rsidR="006D5F35" w:rsidRPr="00D16D05" w:rsidRDefault="006D5F35" w:rsidP="00E17BD2">
      <w:pPr>
        <w:pStyle w:val="Heading1"/>
      </w:pPr>
      <w:r w:rsidRPr="00D16D05">
        <w:t xml:space="preserve">Task 3 — </w:t>
      </w:r>
      <w:r w:rsidR="00D27C2D" w:rsidRPr="00D16D05">
        <w:t>Evaluation of the 500 N Load Assumption in Structural Analysis</w:t>
      </w:r>
    </w:p>
    <w:p w14:paraId="7A44F6FE" w14:textId="77777777" w:rsidR="00D13D44" w:rsidRDefault="00D13D44" w:rsidP="00C05827">
      <w:r w:rsidRPr="00D13D44">
        <w:t>In the structural design report, a 500 N vertical load was applied at each wing’s mid-span to approximate hydrodynamic lift under steady conditions. This simplification allowed a direct FEA comparison between steel and CFRP wings, focusing on stiffness, deflection, and weight optimisation. While effective as a consistent structural baseline, its accuracy from a fluid-mechanics standpoint requires further evaluation (George, C, 2025).</w:t>
      </w:r>
    </w:p>
    <w:p w14:paraId="4EA404E2" w14:textId="1BED50E4" w:rsidR="00C05827" w:rsidRPr="007662C8" w:rsidRDefault="00C05827" w:rsidP="00C05827">
      <w:r w:rsidRPr="007662C8">
        <w:lastRenderedPageBreak/>
        <w:t>To assess the validity of this load, the lift equation was applied:</w:t>
      </w:r>
    </w:p>
    <w:p w14:paraId="055C35AF" w14:textId="0C1DB956" w:rsidR="00C05827" w:rsidRDefault="00C05827" w:rsidP="008D021C">
      <w:pPr>
        <w:jc w:val="center"/>
      </w:pPr>
      <w:r w:rsidRPr="00C05827">
        <w:t>L</w:t>
      </w:r>
      <w:r w:rsidR="00CC56A8">
        <w:t xml:space="preserve">= </w:t>
      </w:r>
      <m:oMath>
        <m:sSub>
          <m:sSubPr>
            <m:ctrlPr>
              <w:rPr>
                <w:rFonts w:ascii="Cambria Math" w:hAnsi="Cambria Math"/>
                <w:i/>
              </w:rPr>
            </m:ctrlPr>
          </m:sSubPr>
          <m:e>
            <m:r>
              <w:rPr>
                <w:rFonts w:ascii="Cambria Math" w:hAnsi="Cambria Math"/>
              </w:rPr>
              <m:t>C</m:t>
            </m:r>
          </m:e>
          <m:sub>
            <m:r>
              <w:rPr>
                <w:rFonts w:ascii="Cambria Math" w:hAnsi="Cambria Math"/>
              </w:rPr>
              <m:t>l</m:t>
            </m:r>
          </m:sub>
        </m:sSub>
        <m:f>
          <m:fPr>
            <m:ctrlPr>
              <w:rPr>
                <w:rFonts w:ascii="Cambria Math" w:hAnsi="Cambria Math"/>
                <w:i/>
              </w:rPr>
            </m:ctrlPr>
          </m:fPr>
          <m:num>
            <m:r>
              <w:rPr>
                <w:rFonts w:ascii="Cambria Math" w:hAnsi="Cambria Math"/>
              </w:rPr>
              <m:t>ρ</m:t>
            </m:r>
            <m:sSup>
              <m:sSupPr>
                <m:ctrlPr>
                  <w:rPr>
                    <w:rFonts w:ascii="Cambria Math" w:hAnsi="Cambria Math"/>
                    <w:i/>
                  </w:rPr>
                </m:ctrlPr>
              </m:sSupPr>
              <m:e>
                <m:r>
                  <w:rPr>
                    <w:rFonts w:ascii="Cambria Math" w:hAnsi="Cambria Math"/>
                  </w:rPr>
                  <m:t>V</m:t>
                </m:r>
              </m:e>
              <m:sup>
                <m:r>
                  <w:rPr>
                    <w:rFonts w:ascii="Cambria Math" w:hAnsi="Cambria Math"/>
                  </w:rPr>
                  <m:t>2</m:t>
                </m:r>
              </m:sup>
            </m:sSup>
          </m:num>
          <m:den>
            <m:r>
              <w:rPr>
                <w:rFonts w:ascii="Cambria Math" w:hAnsi="Cambria Math"/>
              </w:rPr>
              <m:t>2</m:t>
            </m:r>
          </m:den>
        </m:f>
        <m:r>
          <w:rPr>
            <w:rFonts w:ascii="Cambria Math" w:hAnsi="Cambria Math"/>
          </w:rPr>
          <m:t>A</m:t>
        </m:r>
      </m:oMath>
    </w:p>
    <w:p w14:paraId="5B5E6779" w14:textId="6C91E8F7" w:rsidR="00713D6A" w:rsidRDefault="00713D6A" w:rsidP="00713D6A">
      <w:pPr>
        <w:pStyle w:val="Caption"/>
        <w:keepNext/>
        <w:jc w:val="center"/>
      </w:pPr>
      <w:bookmarkStart w:id="8" w:name="_Toc214140162"/>
      <w:r>
        <w:t xml:space="preserve">Equation </w:t>
      </w:r>
      <w:fldSimple w:instr=" SEQ Equation \* ARABIC ">
        <w:r w:rsidR="00F441FC">
          <w:rPr>
            <w:noProof/>
          </w:rPr>
          <w:t>4</w:t>
        </w:r>
      </w:fldSimple>
      <w:r>
        <w:t xml:space="preserve"> - Lift equation </w:t>
      </w:r>
      <w:r w:rsidRPr="0081250E">
        <w:t>(NASA, 2022)</w:t>
      </w:r>
      <w:bookmarkEnd w:id="8"/>
    </w:p>
    <w:p w14:paraId="65FE3844" w14:textId="77777777" w:rsidR="008D021C" w:rsidRDefault="008D021C" w:rsidP="008D021C">
      <w:r>
        <w:t>Whereas:</w:t>
      </w:r>
    </w:p>
    <w:p w14:paraId="64C16C35" w14:textId="25AD396A" w:rsidR="008D021C" w:rsidRDefault="003D07D9" w:rsidP="008D021C">
      <w:pPr>
        <w:pStyle w:val="ListParagraph"/>
        <w:numPr>
          <w:ilvl w:val="0"/>
          <w:numId w:val="17"/>
        </w:numPr>
      </w:pPr>
      <w:r>
        <w:t xml:space="preserve">L </w:t>
      </w:r>
      <w:r w:rsidR="008D021C" w:rsidRPr="00704802">
        <w:t xml:space="preserve">= </w:t>
      </w:r>
      <w:r>
        <w:t>Lif</w:t>
      </w:r>
      <w:r w:rsidR="00AC47B6">
        <w:t>t</w:t>
      </w:r>
      <w:r w:rsidR="00D310D0">
        <w:t xml:space="preserve"> (N)</w:t>
      </w:r>
    </w:p>
    <w:p w14:paraId="479DD9A6" w14:textId="1DC0366F" w:rsidR="006F5730" w:rsidRDefault="006F5730" w:rsidP="008D021C">
      <w:pPr>
        <w:pStyle w:val="ListParagraph"/>
        <w:numPr>
          <w:ilvl w:val="0"/>
          <w:numId w:val="17"/>
        </w:numPr>
      </w:pPr>
      <w:r w:rsidRPr="006F5730">
        <w:t>C</w:t>
      </w:r>
      <w:r w:rsidRPr="006F5730">
        <w:rPr>
          <w:vertAlign w:val="subscript"/>
        </w:rPr>
        <w:t>l</w:t>
      </w:r>
      <w:r>
        <w:rPr>
          <w:vertAlign w:val="subscript"/>
        </w:rPr>
        <w:t xml:space="preserve"> </w:t>
      </w:r>
      <w:r>
        <w:t xml:space="preserve">= </w:t>
      </w:r>
      <w:r w:rsidR="00AC47B6">
        <w:t>Lift coefficient</w:t>
      </w:r>
    </w:p>
    <w:p w14:paraId="5D706EB0" w14:textId="7565508E" w:rsidR="00AC47B6" w:rsidRPr="006F5730" w:rsidRDefault="00AC47B6" w:rsidP="008D021C">
      <w:pPr>
        <w:pStyle w:val="ListParagraph"/>
        <w:numPr>
          <w:ilvl w:val="0"/>
          <w:numId w:val="17"/>
        </w:numPr>
      </w:pPr>
      <w:r w:rsidRPr="00AC47B6">
        <w:t>Ρ</w:t>
      </w:r>
      <w:r>
        <w:t xml:space="preserve"> = </w:t>
      </w:r>
      <w:r w:rsidR="00B57199">
        <w:t>Rho</w:t>
      </w:r>
      <w:r w:rsidR="00D310D0">
        <w:t xml:space="preserve"> (kg/m</w:t>
      </w:r>
      <w:r w:rsidR="00D310D0">
        <w:rPr>
          <w:vertAlign w:val="superscript"/>
        </w:rPr>
        <w:t>3</w:t>
      </w:r>
      <w:r w:rsidR="00D310D0">
        <w:t>)</w:t>
      </w:r>
    </w:p>
    <w:p w14:paraId="6B610F7C" w14:textId="310B3820" w:rsidR="008D021C" w:rsidRPr="00704802" w:rsidRDefault="008D021C" w:rsidP="008D021C">
      <w:pPr>
        <w:pStyle w:val="ListParagraph"/>
        <w:numPr>
          <w:ilvl w:val="0"/>
          <w:numId w:val="17"/>
        </w:numPr>
      </w:pPr>
      <w:r w:rsidRPr="00704802">
        <w:t xml:space="preserve">V = </w:t>
      </w:r>
      <w:r w:rsidR="00C634DD">
        <w:t>V</w:t>
      </w:r>
      <w:r w:rsidRPr="00704802">
        <w:t>elocity</w:t>
      </w:r>
      <w:r w:rsidR="00EA7B78">
        <w:t xml:space="preserve"> squared</w:t>
      </w:r>
      <w:r w:rsidRPr="00704802">
        <w:t xml:space="preserve"> (m/s)</w:t>
      </w:r>
    </w:p>
    <w:p w14:paraId="48F62A9F" w14:textId="27CAD3AF" w:rsidR="008D021C" w:rsidRDefault="00B57199" w:rsidP="008D021C">
      <w:pPr>
        <w:pStyle w:val="ListParagraph"/>
        <w:numPr>
          <w:ilvl w:val="0"/>
          <w:numId w:val="17"/>
        </w:numPr>
      </w:pPr>
      <w:r>
        <w:t xml:space="preserve">A = </w:t>
      </w:r>
      <w:r w:rsidR="00C634DD">
        <w:t>Area of the wing</w:t>
      </w:r>
      <w:r w:rsidR="00D310D0">
        <w:t xml:space="preserve"> (m</w:t>
      </w:r>
      <w:r w:rsidR="00D310D0">
        <w:rPr>
          <w:vertAlign w:val="superscript"/>
        </w:rPr>
        <w:t>2</w:t>
      </w:r>
      <w:r w:rsidR="00D310D0">
        <w:t>)</w:t>
      </w:r>
    </w:p>
    <w:p w14:paraId="655F992C" w14:textId="77777777" w:rsidR="00067115" w:rsidRPr="00067115" w:rsidRDefault="00067115" w:rsidP="00067115">
      <w:pPr>
        <w:spacing w:after="0" w:line="240" w:lineRule="auto"/>
        <w:rPr>
          <w:rFonts w:ascii="Times New Roman" w:eastAsia="Times New Roman" w:hAnsi="Times New Roman" w:cs="Times New Roman"/>
          <w:lang w:eastAsia="en-GB"/>
        </w:rPr>
      </w:pPr>
      <w:r w:rsidRPr="00E17BD2">
        <w:t>(Engineering ToolBox , 2010)</w:t>
      </w:r>
    </w:p>
    <w:p w14:paraId="23BA74F6" w14:textId="3D843D69" w:rsidR="001731EA" w:rsidRPr="007662C8" w:rsidRDefault="001731EA" w:rsidP="006D5F35"/>
    <w:p w14:paraId="04BC8301" w14:textId="0D7816DE" w:rsidR="00C537CB" w:rsidRPr="00C537CB" w:rsidRDefault="00C537CB" w:rsidP="00C537CB">
      <w:r w:rsidRPr="00C537CB">
        <w:t>According to Backas (2017), most kiteboard hydrofoil wings have areas between 0.035 m² and 0.06 m². Using an average value of 0.04 m², and a lift coefficient of 0.7 reported in experimental and CFD studies (</w:t>
      </w:r>
      <w:r w:rsidR="00A45875" w:rsidRPr="003E04AF">
        <w:t>Shang and Horrillo, 2021</w:t>
      </w:r>
      <w:r w:rsidR="00F021AC" w:rsidRPr="003E04AF">
        <w:t xml:space="preserve">; </w:t>
      </w:r>
      <w:r w:rsidRPr="00C537CB">
        <w:t>Martínez-Barberá et al., 2025</w:t>
      </w:r>
      <w:r w:rsidR="00F021AC" w:rsidRPr="003E04AF">
        <w:t xml:space="preserve">; </w:t>
      </w:r>
      <w:r w:rsidRPr="00C537CB">
        <w:t>Liu et al., 2023), the resulting flow velocity is approximately 6 m/s. Studies show that kiteboard foils operate within a similar cruising speed range, confirming that a 500N lift is a realistic order-of-magnitude estimate for a front wing of this size.</w:t>
      </w:r>
    </w:p>
    <w:p w14:paraId="1BED6946" w14:textId="7372E12F" w:rsidR="005F5539" w:rsidRPr="005F5539" w:rsidRDefault="005F5539" w:rsidP="005F5539">
      <w:r>
        <w:t>However, i</w:t>
      </w:r>
      <w:r w:rsidRPr="005F5539">
        <w:t>n practice, the front and rear hydrofoil wings do not carry equal vertical loads. The front wing generates most of the positive lift, while the rear stabiliser produces a smaller negative lift for pitch stability (Backas, 2017; Martínez-Barberá et al., 2025). Assuming identical 500 N upward forces</w:t>
      </w:r>
      <w:r>
        <w:t>,</w:t>
      </w:r>
      <w:r w:rsidRPr="005F5539">
        <w:t xml:space="preserve"> therefore overestimates the stabiliser’s role and slightly distorts the overall bending-moment balance.</w:t>
      </w:r>
    </w:p>
    <w:p w14:paraId="7DEC742C" w14:textId="77777777" w:rsidR="005F5539" w:rsidRPr="005F5539" w:rsidRDefault="005F5539" w:rsidP="005F5539">
      <w:r w:rsidRPr="005F5539">
        <w:t>Load representation is another limitation. The model applies the 500 N force at the mid-span, whereas real hydrodynamic lift acts as a distributed pressure field across the wing (Shang and Horrillo, 2021; Nie et al., 2025). Concentrating the load at a single node can exaggerate local stresses and underpredict bending moments. While acceptable for comparative FEA, more accurate analyses should use a continuous pressure distribution.</w:t>
      </w:r>
    </w:p>
    <w:p w14:paraId="57F2BA6D" w14:textId="77777777" w:rsidR="006775D7" w:rsidRPr="006775D7" w:rsidRDefault="006775D7" w:rsidP="006775D7">
      <w:r w:rsidRPr="006775D7">
        <w:t>The FEA also assumed the load acted at the geometric centre, whereas real lift acts through the centre of pressure (CoP), which shifts with angle of attack and Reynolds number (Liu et al., 2023; Martínez-Barberá et al., 2025). This movement generates pitching moments and torsion that are not captured by a purely vertical, fixed-position load.</w:t>
      </w:r>
    </w:p>
    <w:p w14:paraId="15E6C689" w14:textId="77777777" w:rsidR="006775D7" w:rsidRPr="006775D7" w:rsidRDefault="006775D7" w:rsidP="006775D7">
      <w:r w:rsidRPr="006775D7">
        <w:t>Environmental factors further affect lift behaviour. Changes in water density, velocity fluctuations, and phenomena such as cavitation or ventilation modify both the magnitude and distribution of pressure on the wing (Shang and Horrillo, 2021; Martínez-</w:t>
      </w:r>
      <w:r w:rsidRPr="006775D7">
        <w:lastRenderedPageBreak/>
        <w:t>Barberá et al., 2025). As a result, a constant 500 N force represents only an idealised steady-state case, not the full range of dynamic conditions experienced during real operation.</w:t>
      </w:r>
    </w:p>
    <w:p w14:paraId="1D31199C" w14:textId="1D920F01" w:rsidR="005B776F" w:rsidRPr="007662C8" w:rsidRDefault="00B028CF" w:rsidP="006D5F35">
      <w:r w:rsidRPr="007662C8">
        <w:t xml:space="preserve">In summary, the 500 N vertical load used in the structural report </w:t>
      </w:r>
      <w:r w:rsidR="008F4742" w:rsidRPr="007662C8">
        <w:t>is estimated</w:t>
      </w:r>
      <w:r w:rsidRPr="007662C8">
        <w:t xml:space="preserve"> for a small kiteboard hydrofoil at moderate speed, but it remains an idealised simplification. Real hydrodynamic lift is distributed</w:t>
      </w:r>
      <w:r w:rsidR="00F527FF">
        <w:t xml:space="preserve"> and variable, acting</w:t>
      </w:r>
      <w:r w:rsidRPr="007662C8">
        <w:t xml:space="preserve"> through a shifting CoP. Future analyses should </w:t>
      </w:r>
      <w:r w:rsidR="007D1FE3" w:rsidRPr="007662C8">
        <w:t>combine</w:t>
      </w:r>
      <w:r w:rsidRPr="007662C8">
        <w:t xml:space="preserve"> CFD or experimental measurements with structural FEA to capture true load distributions and to predict bending, torsion, and deflection behaviour under realistic fluid-structure interaction conditions.</w:t>
      </w:r>
    </w:p>
    <w:p w14:paraId="25E21490" w14:textId="77777777" w:rsidR="005B776F" w:rsidRDefault="005B776F" w:rsidP="006D5F35"/>
    <w:p w14:paraId="7D0AAD30" w14:textId="40F381A9" w:rsidR="006D5F35" w:rsidRPr="00D16D05" w:rsidRDefault="006D5F35" w:rsidP="00E17BD2">
      <w:pPr>
        <w:pStyle w:val="Heading1"/>
      </w:pPr>
      <w:r w:rsidRPr="00D16D05">
        <w:t xml:space="preserve"> Task 4 — Evaluate the use of Carbon Fibre Reinforced Plastic for the hydrofoil</w:t>
      </w:r>
    </w:p>
    <w:p w14:paraId="73AAFC4C" w14:textId="42B52634" w:rsidR="00AF7C66" w:rsidRDefault="00EB2003" w:rsidP="00E17BD2">
      <w:pPr>
        <w:pStyle w:val="Heading2"/>
      </w:pPr>
      <w:r>
        <w:t xml:space="preserve">4.1. </w:t>
      </w:r>
      <w:r w:rsidRPr="00EB2003">
        <w:t>Mechanical Properties vs Hydrofoil Demands</w:t>
      </w:r>
    </w:p>
    <w:p w14:paraId="58AD8893" w14:textId="563C5932" w:rsidR="00A97389" w:rsidRPr="00A97389" w:rsidRDefault="00A97389" w:rsidP="00A97389">
      <w:r w:rsidRPr="00A97389">
        <w:t>Hydrofoils require materials capable of withstanding substantial hydrodynamic forces while maintaining shape and alignment under varying conditions</w:t>
      </w:r>
      <w:r w:rsidR="00CC7BC1">
        <w:t xml:space="preserve"> </w:t>
      </w:r>
      <w:r w:rsidR="00CC7BC1" w:rsidRPr="00CC7BC1">
        <w:t>(Liao et al., 2020)</w:t>
      </w:r>
      <w:r w:rsidRPr="00A97389">
        <w:t>. The main performance determinants, strength-to-weight ratio, stiffness, fatigue resistance, and corrosion characteristics, are directly related to the benefits of Carbon Fibre Reinforced Plastic (CFRP)</w:t>
      </w:r>
      <w:r w:rsidR="00F10141">
        <w:t xml:space="preserve"> </w:t>
      </w:r>
      <w:r w:rsidR="00F10141" w:rsidRPr="00F10141">
        <w:t>(Rubino et al., 2020)</w:t>
      </w:r>
      <w:r w:rsidRPr="00A97389">
        <w:t>.</w:t>
      </w:r>
    </w:p>
    <w:p w14:paraId="72EACA70" w14:textId="56F6D89A" w:rsidR="00EB2003" w:rsidRDefault="00EB2003" w:rsidP="006D5F35"/>
    <w:p w14:paraId="2784F1FE" w14:textId="6FD06432" w:rsidR="00A97389" w:rsidRDefault="00A97389" w:rsidP="00E17BD2">
      <w:pPr>
        <w:pStyle w:val="Heading3"/>
      </w:pPr>
      <w:r>
        <w:t xml:space="preserve">4.1.1. </w:t>
      </w:r>
      <w:r w:rsidR="00FD5DF4">
        <w:t>S</w:t>
      </w:r>
      <w:r w:rsidR="00FD5DF4" w:rsidRPr="00FD5DF4">
        <w:t>trength-to-weight ratio.</w:t>
      </w:r>
    </w:p>
    <w:p w14:paraId="4166C2CC" w14:textId="6B90E403" w:rsidR="002C5FC1" w:rsidRPr="002C5FC1" w:rsidRDefault="00C63E43" w:rsidP="002C5FC1">
      <w:r w:rsidRPr="00C63E43">
        <w:t>CFRP has a tensile strength of 600</w:t>
      </w:r>
      <w:r w:rsidRPr="00C63E43">
        <w:rPr>
          <w:rFonts w:ascii="Arial" w:hAnsi="Arial" w:cs="Arial"/>
        </w:rPr>
        <w:t> </w:t>
      </w:r>
      <w:r w:rsidRPr="00C63E43">
        <w:t>MPa and a low density of 1.6</w:t>
      </w:r>
      <w:r w:rsidRPr="00C63E43">
        <w:rPr>
          <w:rFonts w:ascii="Arial" w:hAnsi="Arial" w:cs="Arial"/>
        </w:rPr>
        <w:t> </w:t>
      </w:r>
      <w:r w:rsidRPr="00C63E43">
        <w:t>g/cm</w:t>
      </w:r>
      <w:r w:rsidRPr="00C63E43">
        <w:rPr>
          <w:rFonts w:ascii="Aptos" w:hAnsi="Aptos" w:cs="Aptos"/>
        </w:rPr>
        <w:t>³</w:t>
      </w:r>
      <w:r w:rsidRPr="00C63E43">
        <w:t>, giving it a much higher specific strength than aluminium (500</w:t>
      </w:r>
      <w:r w:rsidRPr="00C63E43">
        <w:rPr>
          <w:rFonts w:ascii="Arial" w:hAnsi="Arial" w:cs="Arial"/>
        </w:rPr>
        <w:t> </w:t>
      </w:r>
      <w:r w:rsidRPr="00C63E43">
        <w:t>MPa, 2.7</w:t>
      </w:r>
      <w:r w:rsidRPr="00C63E43">
        <w:rPr>
          <w:rFonts w:ascii="Arial" w:hAnsi="Arial" w:cs="Arial"/>
        </w:rPr>
        <w:t> </w:t>
      </w:r>
      <w:r w:rsidRPr="00C63E43">
        <w:t>g/cm</w:t>
      </w:r>
      <w:r w:rsidRPr="00C63E43">
        <w:rPr>
          <w:rFonts w:ascii="Aptos" w:hAnsi="Aptos" w:cs="Aptos"/>
        </w:rPr>
        <w:t>³</w:t>
      </w:r>
      <w:r w:rsidRPr="00C63E43">
        <w:t>) or stainless steel (1000</w:t>
      </w:r>
      <w:r w:rsidRPr="00C63E43">
        <w:rPr>
          <w:rFonts w:ascii="Arial" w:hAnsi="Arial" w:cs="Arial"/>
        </w:rPr>
        <w:t> </w:t>
      </w:r>
      <w:r w:rsidRPr="00C63E43">
        <w:t>MPa, 7.9</w:t>
      </w:r>
      <w:r w:rsidRPr="00C63E43">
        <w:rPr>
          <w:rFonts w:ascii="Arial" w:hAnsi="Arial" w:cs="Arial"/>
        </w:rPr>
        <w:t> </w:t>
      </w:r>
      <w:r w:rsidRPr="00C63E43">
        <w:t>g/cm</w:t>
      </w:r>
      <w:r w:rsidRPr="00C63E43">
        <w:rPr>
          <w:rFonts w:ascii="Aptos" w:hAnsi="Aptos" w:cs="Aptos"/>
        </w:rPr>
        <w:t>³</w:t>
      </w:r>
      <w:r w:rsidRPr="00C63E43">
        <w:t>) (Dexcraft, 2015).</w:t>
      </w:r>
      <w:r>
        <w:t xml:space="preserve"> </w:t>
      </w:r>
      <w:r w:rsidR="00DA0138">
        <w:t>In accordance with ASTM D3039, the standard addresses</w:t>
      </w:r>
      <w:r w:rsidR="001125FE">
        <w:t xml:space="preserve"> tensile testing </w:t>
      </w:r>
      <w:r w:rsidR="00906EBE">
        <w:t xml:space="preserve">of composites; CFRP’s strength-to-weight ratio </w:t>
      </w:r>
      <w:r w:rsidR="002776BB">
        <w:t xml:space="preserve">allows </w:t>
      </w:r>
      <w:r w:rsidR="00906EBE">
        <w:t xml:space="preserve">for thinner </w:t>
      </w:r>
      <w:r w:rsidR="002776BB">
        <w:t xml:space="preserve">wing </w:t>
      </w:r>
      <w:r w:rsidR="00906EBE">
        <w:t xml:space="preserve">sections, lighter foils, </w:t>
      </w:r>
      <w:r w:rsidR="005F7C9C">
        <w:t xml:space="preserve">and </w:t>
      </w:r>
      <w:r w:rsidR="002776BB">
        <w:t xml:space="preserve">reducing drag </w:t>
      </w:r>
      <w:r w:rsidR="00906EBE">
        <w:t>a</w:t>
      </w:r>
      <w:r w:rsidR="002776BB">
        <w:t xml:space="preserve">llows riders to </w:t>
      </w:r>
      <w:r w:rsidR="005F7C9C">
        <w:t>achieve take-off speeds more easily in both sea and lake water conditions</w:t>
      </w:r>
      <w:r w:rsidR="00906EBE">
        <w:t>(Liao, Martins, and Young, 2023; SWZ MARITIME</w:t>
      </w:r>
      <w:r w:rsidR="004A1CBB" w:rsidRPr="004A1CBB">
        <w:t>, 2021</w:t>
      </w:r>
      <w:r w:rsidR="005F7C9C">
        <w:t>; ASTM International</w:t>
      </w:r>
      <w:r w:rsidR="005F7C9C" w:rsidRPr="00906EBE">
        <w:t>, 2017</w:t>
      </w:r>
      <w:r w:rsidR="004A1CBB" w:rsidRPr="004A1CBB">
        <w:t>)</w:t>
      </w:r>
      <w:r w:rsidR="004A1CBB">
        <w:t>.</w:t>
      </w:r>
    </w:p>
    <w:p w14:paraId="5E77AF49" w14:textId="77777777" w:rsidR="002C5FC1" w:rsidRDefault="002C5FC1" w:rsidP="006D5F35"/>
    <w:p w14:paraId="395F4460" w14:textId="4CC76EFC" w:rsidR="00177F05" w:rsidRDefault="00177F05" w:rsidP="00E17BD2">
      <w:pPr>
        <w:pStyle w:val="Heading3"/>
      </w:pPr>
      <w:r>
        <w:t xml:space="preserve">4.1.2. </w:t>
      </w:r>
      <w:r w:rsidR="000B4F47">
        <w:t>Fatigue resistance</w:t>
      </w:r>
    </w:p>
    <w:p w14:paraId="23CEAC22" w14:textId="642EE36B" w:rsidR="00850C83" w:rsidRDefault="00FA5118" w:rsidP="006D5F35">
      <w:r w:rsidRPr="00FA5118">
        <w:t>Hydrofoils experience numerous load cycles from waves to manoeuvres. Experimental and modelling research on composite hydrofoils and laminates demonstrate fibre load paths and durability under cycle loading when layups are oriented to principal stresses</w:t>
      </w:r>
      <w:r w:rsidR="00895987">
        <w:t xml:space="preserve"> </w:t>
      </w:r>
      <w:r w:rsidR="00895987" w:rsidRPr="00895987">
        <w:t>(Yingqian et al., 2020)</w:t>
      </w:r>
      <w:r w:rsidR="00895987">
        <w:t>.</w:t>
      </w:r>
      <w:r w:rsidR="00F46014">
        <w:t xml:space="preserve"> </w:t>
      </w:r>
    </w:p>
    <w:p w14:paraId="1FC64AFC" w14:textId="77777777" w:rsidR="00850C83" w:rsidRDefault="00850C83" w:rsidP="006D5F35"/>
    <w:p w14:paraId="3F8054AD" w14:textId="4AAE6786" w:rsidR="00FA5118" w:rsidRDefault="00FA5118" w:rsidP="00B6294E">
      <w:pPr>
        <w:pStyle w:val="Heading3"/>
      </w:pPr>
      <w:r>
        <w:t xml:space="preserve">4.1.3. </w:t>
      </w:r>
      <w:r w:rsidR="006D01BD" w:rsidRPr="006D01BD">
        <w:t>Corrosion resistance</w:t>
      </w:r>
    </w:p>
    <w:p w14:paraId="5D3C27EE" w14:textId="6704B83A" w:rsidR="00F24765" w:rsidRPr="00F24765" w:rsidRDefault="004B20A6" w:rsidP="00F24765">
      <w:r w:rsidRPr="004B20A6">
        <w:t xml:space="preserve">CFRP is resistant to oxidation in seawater, which constrains aluminium and steel; only galvanic metallic inserts require prevention. </w:t>
      </w:r>
      <w:r w:rsidR="00F24765">
        <w:t>(</w:t>
      </w:r>
      <w:r w:rsidR="00F24765" w:rsidRPr="00F24765">
        <w:t>Osa-uwagboe, Silberschmidt and Demirci 2024</w:t>
      </w:r>
      <w:r w:rsidR="004B6B6F">
        <w:t xml:space="preserve">). </w:t>
      </w:r>
      <w:r w:rsidR="006705E0">
        <w:t xml:space="preserve"> Corros</w:t>
      </w:r>
      <w:r w:rsidR="00EB4726">
        <w:t>io</w:t>
      </w:r>
      <w:r w:rsidR="004B6B6F">
        <w:t>n</w:t>
      </w:r>
      <w:r w:rsidR="00EB4726">
        <w:t xml:space="preserve"> resistance requirements for composite marine structures indicate that CFRP hydrofoil wings are suitable for </w:t>
      </w:r>
      <w:r w:rsidR="001646E6">
        <w:t>long-term</w:t>
      </w:r>
      <w:r w:rsidR="00EB4726">
        <w:t xml:space="preserve"> function in both sea and lake water conditions in</w:t>
      </w:r>
      <w:r w:rsidR="004B6B6F">
        <w:t xml:space="preserve"> accordance with ISO 12215-5</w:t>
      </w:r>
      <w:r w:rsidR="008E2C39">
        <w:t xml:space="preserve"> </w:t>
      </w:r>
      <w:r w:rsidR="008E2C39" w:rsidRPr="008E2C39">
        <w:t>(ISO, 2019)</w:t>
      </w:r>
      <w:r w:rsidR="008E2C39">
        <w:t xml:space="preserve">. </w:t>
      </w:r>
    </w:p>
    <w:p w14:paraId="1F4B7B3F" w14:textId="01AFAC80" w:rsidR="00AF7C66" w:rsidRDefault="004B20A6" w:rsidP="006D01BD">
      <w:r w:rsidRPr="004B20A6">
        <w:t>.</w:t>
      </w:r>
    </w:p>
    <w:p w14:paraId="0442A58C" w14:textId="4788A2DD" w:rsidR="006D01BD" w:rsidRPr="006D01BD" w:rsidRDefault="006D01BD" w:rsidP="00B6294E">
      <w:pPr>
        <w:pStyle w:val="Heading3"/>
        <w:rPr>
          <w:b/>
          <w:bCs/>
        </w:rPr>
      </w:pPr>
      <w:r>
        <w:t>4.</w:t>
      </w:r>
      <w:r w:rsidR="00B6294E">
        <w:t>1.</w:t>
      </w:r>
      <w:r>
        <w:t>2.</w:t>
      </w:r>
      <w:r w:rsidRPr="000B584B">
        <w:t xml:space="preserve"> Implications for hydrofoil performance</w:t>
      </w:r>
    </w:p>
    <w:p w14:paraId="279F6A9D" w14:textId="77777777" w:rsidR="00494261" w:rsidRPr="00494261" w:rsidRDefault="00494261" w:rsidP="00494261">
      <w:r w:rsidRPr="00494261">
        <w:t>Reducing a kiteboard wing’s weight lowers hydrodynamic drag by decreasing submerged mass and the energy needed for acceleration, helping the board reach take-off speed with fewer losses (Obara and Holmes, 1986). Increasing structural stiffness further enhances performance by preserving the wing’s shape under load, maintaining consistent lift and delaying flow separation (Liao et al., 2020). Prepreg and resin-infusion manufacturing methods produce smooth, low-waviness surfaces that support laminar flow in calm water and stable turbulent behaviour in rougher conditions (Vilumbrales-Garcia et al., 2024).</w:t>
      </w:r>
    </w:p>
    <w:p w14:paraId="278CAE4F" w14:textId="77777777" w:rsidR="001646E6" w:rsidRDefault="001646E6" w:rsidP="006D01BD"/>
    <w:p w14:paraId="515BDCBC" w14:textId="14F3DBB1" w:rsidR="00AF7C66" w:rsidRDefault="00CB4F5F" w:rsidP="00B6294E">
      <w:pPr>
        <w:pStyle w:val="Heading2"/>
      </w:pPr>
      <w:r>
        <w:t xml:space="preserve">4.3. </w:t>
      </w:r>
      <w:r w:rsidRPr="00CB4F5F">
        <w:t>Manufacturing implications</w:t>
      </w:r>
    </w:p>
    <w:p w14:paraId="7506B70D" w14:textId="23EDBC84" w:rsidR="00CB4F5F" w:rsidRDefault="002D449E" w:rsidP="00B6294E">
      <w:pPr>
        <w:pStyle w:val="Heading3"/>
      </w:pPr>
      <w:r>
        <w:t xml:space="preserve">4.3.1. </w:t>
      </w:r>
      <w:r w:rsidRPr="002D449E">
        <w:t>Layup Orientations</w:t>
      </w:r>
    </w:p>
    <w:p w14:paraId="3BFA6B48" w14:textId="30BF2798" w:rsidR="00E078C1" w:rsidRDefault="00E078C1" w:rsidP="006D5F35">
      <w:r w:rsidRPr="00E078C1">
        <w:t>Accurate layup orientation is critical for hydrofoil performance. Balanced, symmetric stacking minimises distortion, but complex ply angles increase labour and cost. Pre-preg ensures fibre alignment, whereas hand layup may cause stiffness issues</w:t>
      </w:r>
      <w:r w:rsidR="00355887">
        <w:t xml:space="preserve"> </w:t>
      </w:r>
      <w:r w:rsidR="00355887" w:rsidRPr="00355887">
        <w:t>(Torres et al., 2022)</w:t>
      </w:r>
      <w:r w:rsidRPr="00E078C1">
        <w:t>.</w:t>
      </w:r>
      <w:r w:rsidR="005E6D38">
        <w:t xml:space="preserve"> </w:t>
      </w:r>
      <w:r w:rsidR="005E6D38" w:rsidRPr="005E6D38">
        <w:t xml:space="preserve">In accordance with ASTM D5687, which </w:t>
      </w:r>
      <w:r w:rsidR="005E6D38">
        <w:t>guides</w:t>
      </w:r>
      <w:r w:rsidR="005E6D38" w:rsidRPr="005E6D38">
        <w:t xml:space="preserve"> composite laminate fabrication, layup processes are controlled to ensure repeatability</w:t>
      </w:r>
      <w:r w:rsidR="00FC0DBC">
        <w:t xml:space="preserve"> </w:t>
      </w:r>
      <w:r w:rsidR="00FC0DBC" w:rsidRPr="00FC0DBC">
        <w:t>(ASTM International , 2020)</w:t>
      </w:r>
      <w:r w:rsidR="00FC0DBC">
        <w:t>.</w:t>
      </w:r>
    </w:p>
    <w:p w14:paraId="47F74E61" w14:textId="77777777" w:rsidR="00103F70" w:rsidRDefault="00103F70" w:rsidP="006D5F35"/>
    <w:p w14:paraId="05041C0E" w14:textId="00491745" w:rsidR="00103F70" w:rsidRDefault="00103F70" w:rsidP="00B6294E">
      <w:pPr>
        <w:pStyle w:val="Heading3"/>
      </w:pPr>
      <w:r>
        <w:t xml:space="preserve">4.3.2. </w:t>
      </w:r>
      <w:r w:rsidR="00D05EF6" w:rsidRPr="00D05EF6">
        <w:t>Process</w:t>
      </w:r>
      <w:r w:rsidR="001A3479">
        <w:t>es</w:t>
      </w:r>
    </w:p>
    <w:p w14:paraId="3779CA35" w14:textId="768193D1" w:rsidR="007C5CF6" w:rsidRDefault="0022664B" w:rsidP="006D5F35">
      <w:r w:rsidRPr="0022664B">
        <w:t xml:space="preserve">CFRP hydrofoils </w:t>
      </w:r>
      <w:r w:rsidR="00B6294E">
        <w:t>require</w:t>
      </w:r>
      <w:r w:rsidRPr="0022664B">
        <w:t xml:space="preserve"> high stiffness, strength, and fatigue resistance, making the manufacturing process critical. Park et al. (2018) found that non-autoclave processes can achieve similar strength</w:t>
      </w:r>
      <w:r w:rsidR="007B143E">
        <w:t>s</w:t>
      </w:r>
      <w:r w:rsidRPr="0022664B">
        <w:t xml:space="preserve"> when tightly controlled, while Kubit et al. (2024) and Shen et al. (2024) </w:t>
      </w:r>
      <w:r w:rsidR="00CC122A">
        <w:t>state</w:t>
      </w:r>
      <w:r w:rsidRPr="0022664B">
        <w:t xml:space="preserve"> that Vacuum Infusion (VARTM) often suffers from voids and resin-rich areas if resin flow is uneven. Brouwer (2003) supports this by showing that large</w:t>
      </w:r>
      <w:r w:rsidR="00876B41">
        <w:t>, infrequently used</w:t>
      </w:r>
      <w:r w:rsidRPr="0022664B">
        <w:t xml:space="preserve"> parts are prone to quality variations. In contrast, Huberty et al. (2024) report that Resin Transfer Moulding (RTM) provides more consistent results and lower </w:t>
      </w:r>
      <w:r w:rsidRPr="0022664B">
        <w:lastRenderedPageBreak/>
        <w:t>porosity due to its closed-mould pressure control, though at higher cost. Overall, VARTM offers flexibility and low cost, whereas RTM delivers better repeatability and laminate quality.</w:t>
      </w:r>
    </w:p>
    <w:p w14:paraId="3D260803" w14:textId="77777777" w:rsidR="00D05EF6" w:rsidRDefault="00D05EF6" w:rsidP="006D5F35"/>
    <w:p w14:paraId="76A1452C" w14:textId="2C133391" w:rsidR="00D05EF6" w:rsidRDefault="00D07644" w:rsidP="00B6294E">
      <w:pPr>
        <w:pStyle w:val="Heading2"/>
      </w:pPr>
      <w:r>
        <w:t xml:space="preserve">4.4. </w:t>
      </w:r>
      <w:r w:rsidRPr="00D07644">
        <w:t>History and Current Developments</w:t>
      </w:r>
    </w:p>
    <w:p w14:paraId="48E5CE2B" w14:textId="0FF53839" w:rsidR="00DE6F77" w:rsidRDefault="00662421" w:rsidP="007B4D2A">
      <w:pPr>
        <w:rPr>
          <w:b/>
          <w:bCs/>
        </w:rPr>
      </w:pPr>
      <w:r w:rsidRPr="00662421">
        <w:t>Carbon Fibre Reinforced Plastic (CFRP) use in kiteboard hydrofoil wings has evolved significantly. Early foils in the mid-2000s were mainly aluminium or glass-fibre composites, chosen for cost and simplicity but limited by higher density, corrosion, and poor fatigue resistance (Serra and Báez, 2019; Phillips et al., 2017). As performance demands increased, manufacturers shifted to CFRP for its superior stiffness-to-weight ratio and fatigue behaviour (Rubino et al., 2020). Improvements in carbon fibre quality and resin-infusion methods from the late 2010s enabled thinner, more accurate, and hydrodynamically optimised wing profiles with better surface finish (Schmidt et al., 2020). More recent developments, including automated fibre placement and hybrid carbon–thermoplastic laminates, have further enhanced impact strength, reparability, and overall durability of modern hydrofoils (Boon, Joshi and Bhudolia, 2021).</w:t>
      </w:r>
    </w:p>
    <w:p w14:paraId="219CF141" w14:textId="13194AD1" w:rsidR="006D5F35" w:rsidRPr="002717D5" w:rsidRDefault="006D5F35" w:rsidP="00B6294E">
      <w:pPr>
        <w:pStyle w:val="Heading1"/>
      </w:pPr>
      <w:r w:rsidRPr="002717D5">
        <w:t xml:space="preserve"> Task 5 — Analyse modelling techniques to simulate fluid flow around </w:t>
      </w:r>
      <w:r w:rsidR="009B2E52">
        <w:t>a</w:t>
      </w:r>
      <w:r w:rsidRPr="002717D5">
        <w:t xml:space="preserve"> hydrofoil</w:t>
      </w:r>
    </w:p>
    <w:p w14:paraId="31109D6F" w14:textId="1ED6971D" w:rsidR="00AB6E3F" w:rsidRDefault="00AB6E3F" w:rsidP="005B5BA4">
      <w:r>
        <w:t>Numeral</w:t>
      </w:r>
      <w:r w:rsidR="005E28B2">
        <w:t xml:space="preserve"> </w:t>
      </w:r>
      <w:r w:rsidR="005E28B2" w:rsidRPr="005E28B2">
        <w:t>methods exist to simulate fluid flow around a hydrofoil, with Computational Fluid Dynamics (CFD) being the most detailed. CFD numerically solves the Navier–Stokes equations and uses turbulence models such as RANS and LES to capture complex flow behaviour (Chaouat, 2017; Gorman et al., 2021). It reveals pressure and velocity distributions across the hydrofoil, allowing engineers to predict lift, drag, and flow separation (Zhao, Wan and Gao, 2021).</w:t>
      </w:r>
      <w:r>
        <w:t xml:space="preserve"> </w:t>
      </w:r>
    </w:p>
    <w:p w14:paraId="26F42DAB" w14:textId="716B00F5" w:rsidR="005B5BA4" w:rsidRPr="005B5BA4" w:rsidRDefault="00463B4D" w:rsidP="005B5BA4">
      <w:r>
        <w:rPr>
          <w:i/>
          <w:iCs/>
        </w:rPr>
        <w:t>Figure 5</w:t>
      </w:r>
      <w:r w:rsidR="005B5BA4" w:rsidRPr="005B5BA4">
        <w:t xml:space="preserve"> demonstrates the transition of the boundary layer from smooth to turbulent flow</w:t>
      </w:r>
      <w:r w:rsidR="006626BD">
        <w:t>,</w:t>
      </w:r>
      <w:r w:rsidR="005B5BA4" w:rsidRPr="005B5BA4">
        <w:t xml:space="preserve"> which affects </w:t>
      </w:r>
      <w:r w:rsidR="006626BD">
        <w:t>d</w:t>
      </w:r>
      <w:r w:rsidR="005B5BA4" w:rsidRPr="005B5BA4">
        <w:t>rag and flow separation. Understanding this transition is critical for CFD simulations of hydrofoils</w:t>
      </w:r>
      <w:r w:rsidR="006626BD">
        <w:t>,</w:t>
      </w:r>
      <w:r w:rsidR="005B5BA4" w:rsidRPr="005B5BA4">
        <w:t xml:space="preserve"> as this determines the distribution of pressure across the surface and overall performance of the kiteboard wing</w:t>
      </w:r>
      <w:r w:rsidR="006626BD">
        <w:t xml:space="preserve"> </w:t>
      </w:r>
      <w:r w:rsidR="006626BD" w:rsidRPr="006626BD">
        <w:t>(Hall, 2023)</w:t>
      </w:r>
      <w:r w:rsidR="005B5BA4" w:rsidRPr="005B5BA4">
        <w:t xml:space="preserve">. </w:t>
      </w:r>
    </w:p>
    <w:p w14:paraId="2A1611E8" w14:textId="77777777" w:rsidR="008F17D8" w:rsidRDefault="008F17D8" w:rsidP="002717D5"/>
    <w:p w14:paraId="78969937" w14:textId="77777777" w:rsidR="00463B4D" w:rsidRDefault="00682AFF" w:rsidP="00463B4D">
      <w:pPr>
        <w:keepNext/>
      </w:pPr>
      <w:r w:rsidRPr="00682AFF">
        <w:rPr>
          <w:noProof/>
        </w:rPr>
        <w:lastRenderedPageBreak/>
        <w:drawing>
          <wp:inline distT="0" distB="0" distL="0" distR="0" wp14:anchorId="0D2C0CE7" wp14:editId="6B10C35A">
            <wp:extent cx="5731510" cy="1987550"/>
            <wp:effectExtent l="0" t="0" r="2540" b="0"/>
            <wp:docPr id="2488393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839309" name=""/>
                    <pic:cNvPicPr/>
                  </pic:nvPicPr>
                  <pic:blipFill>
                    <a:blip r:embed="rId12"/>
                    <a:stretch>
                      <a:fillRect/>
                    </a:stretch>
                  </pic:blipFill>
                  <pic:spPr>
                    <a:xfrm>
                      <a:off x="0" y="0"/>
                      <a:ext cx="5731510" cy="1987550"/>
                    </a:xfrm>
                    <a:prstGeom prst="rect">
                      <a:avLst/>
                    </a:prstGeom>
                  </pic:spPr>
                </pic:pic>
              </a:graphicData>
            </a:graphic>
          </wp:inline>
        </w:drawing>
      </w:r>
    </w:p>
    <w:p w14:paraId="456884B4" w14:textId="073AE098" w:rsidR="00682AFF" w:rsidRDefault="00463B4D" w:rsidP="00463B4D">
      <w:pPr>
        <w:pStyle w:val="Caption"/>
        <w:jc w:val="center"/>
      </w:pPr>
      <w:bookmarkStart w:id="9" w:name="_Toc214140141"/>
      <w:r>
        <w:t xml:space="preserve">Figure </w:t>
      </w:r>
      <w:fldSimple w:instr=" SEQ Figure \* ARABIC ">
        <w:r>
          <w:rPr>
            <w:noProof/>
          </w:rPr>
          <w:t>5</w:t>
        </w:r>
      </w:fldSimple>
      <w:r>
        <w:t xml:space="preserve"> - </w:t>
      </w:r>
      <w:r w:rsidRPr="002E1F1C">
        <w:t xml:space="preserve">smooth to turbulent </w:t>
      </w:r>
      <w:r>
        <w:t xml:space="preserve">flow transition </w:t>
      </w:r>
      <w:r w:rsidRPr="002E1F1C">
        <w:t>(Leishman, 2023a)</w:t>
      </w:r>
      <w:bookmarkEnd w:id="9"/>
    </w:p>
    <w:p w14:paraId="597645F9" w14:textId="77777777" w:rsidR="008B2EF2" w:rsidRDefault="008B2EF2" w:rsidP="002717D5"/>
    <w:p w14:paraId="4F011C7C" w14:textId="2B50E537" w:rsidR="006A73FE" w:rsidRDefault="002717D5" w:rsidP="002717D5">
      <w:r w:rsidRPr="002717D5">
        <w:t>The main advantage of CFD is the high level of detail it provides; however, this can result in significant processing time depending on how the mesh and boundary conditions are set up</w:t>
      </w:r>
      <w:r w:rsidR="00883FB6">
        <w:t xml:space="preserve"> </w:t>
      </w:r>
      <w:r w:rsidR="006A73FE" w:rsidRPr="006A73FE">
        <w:t>(Pena and Huang, 2021)</w:t>
      </w:r>
      <w:r w:rsidRPr="002717D5">
        <w:t>. CFD is therefore better suited to the later stages of desig</w:t>
      </w:r>
      <w:r w:rsidR="006A73FE">
        <w:t>n.</w:t>
      </w:r>
    </w:p>
    <w:p w14:paraId="1A1DC610" w14:textId="77777777" w:rsidR="009527D7" w:rsidRPr="009527D7" w:rsidRDefault="009527D7" w:rsidP="009527D7">
      <w:r w:rsidRPr="009527D7">
        <w:t>Panel or Boundary Element Methods (BEM) provide a simpler, faster alternative to CFD by modelling the flow as inviscid and frictionless (Nicolas et al., 2023). This makes them ideal for early design exploration, but their neglect of viscosity means they cannot capture phenomena such as flow separation or stall, reducing accuracy at high angles of attack or for thicker foils (Krishnaswamy, 2001). They are useful for quick comparisons but not sufficient for final performance predictions.</w:t>
      </w:r>
    </w:p>
    <w:p w14:paraId="0344086B" w14:textId="77777777" w:rsidR="009527D7" w:rsidRPr="009527D7" w:rsidRDefault="009527D7" w:rsidP="009527D7">
      <w:r w:rsidRPr="009527D7">
        <w:t>Experimental methods—such as wind-tunnel or water-channel testing—offer the most reliable performance data because they measure real physical effects, including surface roughness, turbulence, and cavitation (Ni, Dhanak and Su, 2021). Flow-visualisation tools like dye injection provide additional qualitative insight. However, these tests are costly and time-consuming, making them less practical in early design stages (Teo and Lung, 2019).</w:t>
      </w:r>
    </w:p>
    <w:p w14:paraId="31D869D0" w14:textId="77777777" w:rsidR="009A7730" w:rsidRDefault="009A7730" w:rsidP="006D5F35"/>
    <w:p w14:paraId="1651A9B5" w14:textId="400C45A4" w:rsidR="006D5F35" w:rsidRPr="009A7730" w:rsidRDefault="006D5F35" w:rsidP="00B6294E">
      <w:pPr>
        <w:pStyle w:val="Heading1"/>
      </w:pPr>
      <w:r w:rsidRPr="009A7730">
        <w:t>Task 6 — Experimental testing plan for validating the hydrofoil</w:t>
      </w:r>
    </w:p>
    <w:p w14:paraId="2A894635" w14:textId="4AD28FC6" w:rsidR="00F540C7" w:rsidRPr="00F540C7" w:rsidRDefault="00F540C7" w:rsidP="00F540C7">
      <w:r w:rsidRPr="00F540C7">
        <w:t>To validate the performance of a kiteboard hydrofoil wing prototype, testing would be conducted in a controlled water channel. The wing would be mounted on a rigid test rig equipped with a force balance to measure lift and drag. The angle of attack could be adjusted between –2° and +10° to evaluate performance across typical operating conditions</w:t>
      </w:r>
      <w:r w:rsidR="00A1187A">
        <w:t xml:space="preserve"> </w:t>
      </w:r>
      <w:r w:rsidR="00A1187A" w:rsidRPr="00A1187A">
        <w:t>(Backas and Kenmore, 2025</w:t>
      </w:r>
      <w:r w:rsidR="00A1187A">
        <w:t xml:space="preserve">; </w:t>
      </w:r>
      <w:r w:rsidR="00022F9E" w:rsidRPr="00022F9E">
        <w:t>Putranto and Sulisetyono, 2017</w:t>
      </w:r>
      <w:r w:rsidR="00A1187A" w:rsidRPr="00A1187A">
        <w:t>)</w:t>
      </w:r>
      <w:r w:rsidRPr="00F540C7">
        <w:t xml:space="preserve">. </w:t>
      </w:r>
      <w:r w:rsidR="00994A4A">
        <w:t xml:space="preserve">Take off </w:t>
      </w:r>
      <w:r w:rsidR="00994A4A">
        <w:lastRenderedPageBreak/>
        <w:t>speeds</w:t>
      </w:r>
      <w:r w:rsidR="00D71F5D">
        <w:t xml:space="preserve"> of approx. 10mph (</w:t>
      </w:r>
      <w:r w:rsidRPr="00F540C7">
        <w:t>4</w:t>
      </w:r>
      <w:r w:rsidR="00D71F5D">
        <w:t>.47</w:t>
      </w:r>
      <w:r w:rsidRPr="00F540C7">
        <w:rPr>
          <w:rFonts w:ascii="Arial" w:hAnsi="Arial" w:cs="Arial"/>
        </w:rPr>
        <w:t> </w:t>
      </w:r>
      <w:r w:rsidRPr="00F540C7">
        <w:t>m/s</w:t>
      </w:r>
      <w:r w:rsidR="00D71F5D">
        <w:t>)</w:t>
      </w:r>
      <w:r w:rsidRPr="00F540C7">
        <w:t xml:space="preserve"> would simulate realistic kiteboarding motion, with the foil submerged deep enough to minimise wave and ventilation effects</w:t>
      </w:r>
      <w:r w:rsidR="008405BE">
        <w:t xml:space="preserve"> </w:t>
      </w:r>
      <w:r w:rsidR="008405BE" w:rsidRPr="008405BE">
        <w:t>(Backas and Kenmore, 2025a)</w:t>
      </w:r>
      <w:r w:rsidRPr="00F540C7">
        <w:t>.</w:t>
      </w:r>
    </w:p>
    <w:p w14:paraId="6F5721CA" w14:textId="081AC04D" w:rsidR="00F540C7" w:rsidRPr="00F540C7" w:rsidRDefault="00F540C7" w:rsidP="00F540C7">
      <w:r w:rsidRPr="00F540C7">
        <w:t>During each run, data such as lift, drag, pressure, and flow behaviour would be recorded. Dye injection would help visualise separation points, while temperature and velocity sensors would ensure consistent test conditions. To replicate real-world loading, the system would be weighted to match the combined mass of the rider and board</w:t>
      </w:r>
      <w:r w:rsidR="007D4F8C">
        <w:t xml:space="preserve"> </w:t>
      </w:r>
      <w:r w:rsidR="007D4F8C" w:rsidRPr="007D4F8C">
        <w:t>(Martínez-Barberá et al., 2025b)</w:t>
      </w:r>
      <w:r w:rsidRPr="00F540C7">
        <w:t>.</w:t>
      </w:r>
    </w:p>
    <w:p w14:paraId="7CB8279C" w14:textId="52E5853B" w:rsidR="00F540C7" w:rsidRPr="00F540C7" w:rsidRDefault="00F540C7" w:rsidP="00F540C7">
      <w:r w:rsidRPr="00F540C7">
        <w:t>Measurements would be captured using calibrated strain gauges, verified with known loads before testing</w:t>
      </w:r>
      <w:r w:rsidR="00230353">
        <w:t xml:space="preserve"> </w:t>
      </w:r>
      <w:r w:rsidR="00230353" w:rsidRPr="00230353">
        <w:t>(RS, 2023)</w:t>
      </w:r>
      <w:r w:rsidRPr="00F540C7">
        <w:t>. A high-speed data system would track force fluctuations, and temperature readings would account for changes in water density and viscosity. All results would be logged for comparison with CFD simulations</w:t>
      </w:r>
      <w:r w:rsidR="00C37DC0">
        <w:t xml:space="preserve"> </w:t>
      </w:r>
      <w:r w:rsidR="00C37DC0" w:rsidRPr="00C37DC0">
        <w:t>(Acosta , 2008)</w:t>
      </w:r>
      <w:r w:rsidRPr="00F540C7">
        <w:t>.</w:t>
      </w:r>
    </w:p>
    <w:p w14:paraId="3FD474CC" w14:textId="25BB6E96" w:rsidR="00F540C7" w:rsidRPr="00F540C7" w:rsidRDefault="00F540C7" w:rsidP="00F540C7">
      <w:r w:rsidRPr="00F540C7">
        <w:t>In the evaluation phase, results would be checked for repeatability and benchmarked against predicted values. Potential errors—such as sensor misalignment, turbulence, or vibration—would be mitigated through repeated trials, regular recalibration, and careful control of flow conditions</w:t>
      </w:r>
      <w:r w:rsidR="00C21D1B">
        <w:t xml:space="preserve"> </w:t>
      </w:r>
      <w:r w:rsidR="00C21D1B" w:rsidRPr="00C21D1B">
        <w:t>(Dagenais and Aegerter, 2021)</w:t>
      </w:r>
      <w:r w:rsidRPr="00F540C7">
        <w:t>. While lab testing offers precision, it cannot fully replicate dynamic rider movement or wave interaction, which remain important real-world factors</w:t>
      </w:r>
      <w:r w:rsidR="005521A6">
        <w:t xml:space="preserve"> </w:t>
      </w:r>
      <w:r w:rsidR="005521A6" w:rsidRPr="005521A6">
        <w:t>(Hou et al., 2024)</w:t>
      </w:r>
      <w:r w:rsidRPr="00F540C7">
        <w:t>.</w:t>
      </w:r>
    </w:p>
    <w:p w14:paraId="2E1AB2B3" w14:textId="77777777" w:rsidR="006D5F35" w:rsidRPr="004044CE" w:rsidRDefault="006D5F35" w:rsidP="00EF10E6"/>
    <w:p w14:paraId="67C713BF" w14:textId="77777777" w:rsidR="00527961" w:rsidRDefault="00736197" w:rsidP="000C2AD4">
      <w:pPr>
        <w:pStyle w:val="Heading1"/>
      </w:pPr>
      <w:r>
        <w:t>Reference</w:t>
      </w:r>
    </w:p>
    <w:p w14:paraId="30649B2E" w14:textId="77777777" w:rsidR="00527961" w:rsidRDefault="00527961" w:rsidP="00527961">
      <w:r>
        <w:t>Abbott, I.H. and Doenhoff, V. (1959). Theory of wing sections : including a summary of airfoil data. New York: Dover Publications.</w:t>
      </w:r>
    </w:p>
    <w:p w14:paraId="1EA202B0" w14:textId="77777777" w:rsidR="00527961" w:rsidRDefault="00527961" w:rsidP="00527961">
      <w:r>
        <w:t>Acosta , J. (2008). Comparative Hydrodynamic Testing of Small Scale Models. [online] ScholarWorks. Available at: https://scholarworks.uno.edu/cgi/viewcontent.cgi?article=1844&amp;context=td&amp;httpsredir=1&amp;referer [Accessed 11 Nov. 2025].</w:t>
      </w:r>
    </w:p>
    <w:p w14:paraId="484DDEA6" w14:textId="77777777" w:rsidR="00527961" w:rsidRDefault="00527961" w:rsidP="00527961">
      <w:r>
        <w:t>admin (2025). Understanding Reynolds Number: The Ratio of Inertial to Viscous Forces - CSIR NET LIFE SCIENCE COACHING | NTA NET LIFE SCIENCE | CSIR LIFE SCIENCE. [online] CSIR NET LIFE SCIENCE COACHING | NTA NET LIFE SCIENCE | CSIR LIFE SCIENCE. Available at: https://www.letstalkacademy.com/reynolds-number-ratio-inertial-viscous-forces/ [Accessed 31 Oct. 2025].</w:t>
      </w:r>
    </w:p>
    <w:p w14:paraId="6E634F6F" w14:textId="77777777" w:rsidR="00527961" w:rsidRDefault="00527961" w:rsidP="00527961">
      <w:r>
        <w:t>All Info ChE / (2024). Types Of Fluid Flow In Fluid Mechanics» All Info ChE. [online] All Info ChE. Available at: https://allinfoche.com/types-of-fluid-flow/ [Accessed 31 Oct. 2025].</w:t>
      </w:r>
    </w:p>
    <w:p w14:paraId="72EB39F3" w14:textId="77777777" w:rsidR="00527961" w:rsidRDefault="00527961" w:rsidP="00527961">
      <w:r>
        <w:lastRenderedPageBreak/>
        <w:t>Ancalle , D.S. (2020). Internal Flows 9.1 Entrance Region 9.1.1 The Reynolds Number. [online] Available at: https://www.ancalle.net/wp-content/uploads/Fluid-Mechanics-Module-9.pdf [Accessed 31 Oct. 2025].</w:t>
      </w:r>
    </w:p>
    <w:p w14:paraId="451B1D62" w14:textId="77777777" w:rsidR="00527961" w:rsidRDefault="00527961" w:rsidP="00527961">
      <w:r>
        <w:t>ASTM International (2017). Test Method for Tensile Properties of Polymer Matrix Composite Materials. Standard Test Method for Tensile Properties of Polymer Matrix Composite Materials. [online] doi:https://doi.org/10.1520/d3039_d3039m-17.</w:t>
      </w:r>
    </w:p>
    <w:p w14:paraId="3C43070D" w14:textId="77777777" w:rsidR="00527961" w:rsidRDefault="00527961" w:rsidP="00527961">
      <w:r>
        <w:t>ASTM International (2020). Guide for Preparation of Flat Composite Panels with Processing Guidelines for Specimen Preparation. Standard Guide for Preparation of Flat Composite Panels with Processing Guidelines for Specimen Preparation. [online] doi:https://doi.org/10.1520/d5687_d5687m-20.</w:t>
      </w:r>
    </w:p>
    <w:p w14:paraId="72725E61" w14:textId="77777777" w:rsidR="00527961" w:rsidRDefault="00527961" w:rsidP="00527961">
      <w:r>
        <w:t>AZO Materials (2003). Carbon / Epoxy Composite Materials - Properties - Supplier Data by Goodfellow. [online] AZoM.com. Available at: https://www.azom.com/article.aspx?ArticleID=1995 [Accessed 7 Nov. 2025].</w:t>
      </w:r>
    </w:p>
    <w:p w14:paraId="289B9538" w14:textId="77777777" w:rsidR="00527961" w:rsidRDefault="00527961" w:rsidP="00527961">
      <w:r>
        <w:t>Backas, Z. and Kenmore, S. (2025). Parametric Optimization of a Kiteboarding Hydrofoil Using Computational Fluid Dynamics AUTHOR. [online] Available at: https://www.foils.org/wp-content/uploads/2017/10/Backas-Paper.pdf [Accessed 7 Nov. 2025].</w:t>
      </w:r>
    </w:p>
    <w:p w14:paraId="73B8410F" w14:textId="77777777" w:rsidR="00527961" w:rsidRDefault="00527961" w:rsidP="00527961">
      <w:r>
        <w:t>Besnard, E., Schmitz, A., Kaups, K., Tzong, G., Hefazi, H., Kural, O., Chen, H. and Cebeci, T. (1998). HYDROFOIL DESIGN AND OPTIMIZATION FOR FAST SHIPS. [online] Available at: https://www.foils.org/wp-content/uploads/2018/01/asme_IEC_1998Nov.pdf [Accessed 1 Nov. 2025].</w:t>
      </w:r>
    </w:p>
    <w:p w14:paraId="7EA4D3BB" w14:textId="77777777" w:rsidR="00527961" w:rsidRDefault="00527961" w:rsidP="00527961">
      <w:r>
        <w:t>Bhuyan, S. (2023). Reynolds Number: Definition, Equation, and Solved Problem. [online] Science Facts. Available at: https://www.sciencefacts.net/reynolds-number.html [Accessed 31 Oct. 2025].</w:t>
      </w:r>
    </w:p>
    <w:p w14:paraId="145BB3BC" w14:textId="77777777" w:rsidR="00527961" w:rsidRDefault="00527961" w:rsidP="00527961">
      <w:r>
        <w:t>Boon, Y.D., Joshi, S.C. and Bhudolia, S.K. (2021). Review: Filament Winding and Automated Fiber Placement with In Situ Consolidation for Fiber Reinforced Thermoplastic Polymer Composites. Polymers, 13(12), p.1951. doi:https://doi.org/10.3390/polym13121951.</w:t>
      </w:r>
    </w:p>
    <w:p w14:paraId="1D0ADE15" w14:textId="77777777" w:rsidR="00527961" w:rsidRDefault="00527961" w:rsidP="00527961">
      <w:r>
        <w:t>Bourgoyne, D., Ceccico, S., Dowling, D., Brewer, W., Jessup, S., Park, J. and Pankajakshan, R. (2001). Twenty-Third Symposium on Naval Hydrodynamics. [online] National Academies Press eBooks. National Academies Press. doi:https://doi.org/10.17226/10189.</w:t>
      </w:r>
    </w:p>
    <w:p w14:paraId="44F69A9A" w14:textId="77777777" w:rsidR="00527961" w:rsidRDefault="00527961" w:rsidP="00527961">
      <w:r>
        <w:t>Breslin, J.P. and Andersen, P. (1993). Design of hydrofoil sections. Hydrodynamics of Ship Propellers, [online] pp.86–110. doi:https://doi.org/10.1017/cbo9780511624254.008.</w:t>
      </w:r>
    </w:p>
    <w:p w14:paraId="4395F105" w14:textId="77777777" w:rsidR="00527961" w:rsidRDefault="00527961" w:rsidP="00527961">
      <w:r>
        <w:lastRenderedPageBreak/>
        <w:t>Britannica (2019). Seawater - density of seawater and pressure. In: Encyclopædia Britannica. [online] Available at: https://www.britannica.com/science/seawater/Density-of-seawater-and-pressure [Accessed 14 Nov. 2025].</w:t>
      </w:r>
    </w:p>
    <w:p w14:paraId="6A4C15F2" w14:textId="77777777" w:rsidR="00527961" w:rsidRDefault="00527961" w:rsidP="00527961">
      <w:r>
        <w:t>Brouwer, W.D., van Herpt, E.C.F.C. and Labordus, M. (2003). Vacuum injection moulding for large structural applications. Composites Part A: Applied Science and Manufacturing, 34(6), pp.551–558. doi:https://doi.org/10.1016/s1359-835x(03)00060-5.</w:t>
      </w:r>
    </w:p>
    <w:p w14:paraId="03F2C98C" w14:textId="77777777" w:rsidR="00527961" w:rsidRDefault="00527961" w:rsidP="00527961">
      <w:r>
        <w:t>Butt, H., Damani, S., Srivastava, S., Chaware, S.S., Szoke, M., Devenport, W.J., Lowe, T., Hales, A., Colbrook, M. and Ayton, L.J. (2023). Pressure Gradient Effects on Boundary Layer Superstructures. AIAA AVIATION 2023 Forum. [online] doi:https://doi.org/10.2514/6.2023-3337.</w:t>
      </w:r>
    </w:p>
    <w:p w14:paraId="142AB12A" w14:textId="77777777" w:rsidR="00527961" w:rsidRDefault="00527961" w:rsidP="00527961">
      <w:r>
        <w:t>Carbon Fiber Articles (2015). Carbon Fiber Composites: properties | manufacturing methods | pros and cons. [online] Carbon fiber blog. Available at: https://www.dexcraft.com/carbon-fiber-composites [Accessed 14 Nov. 2025].</w:t>
      </w:r>
    </w:p>
    <w:p w14:paraId="44DB5FAA" w14:textId="77777777" w:rsidR="00527961" w:rsidRDefault="00527961" w:rsidP="00527961">
      <w:r>
        <w:t>Castillo, L., Wang, X. and George, W.K. (2004). Separation Criterion for Turbulent Boundary Layers Via Similarity Analysis. Journal of Fluids Engineering, 126(3), pp.297–304. doi:https://doi.org/10.1115/1.1758262.</w:t>
      </w:r>
    </w:p>
    <w:p w14:paraId="2EF1DA92" w14:textId="77777777" w:rsidR="00527961" w:rsidRDefault="00527961" w:rsidP="00527961">
      <w:r>
        <w:t>Chaouat, B. (2017). The State of the Art of Hybrid RANS/LES Modeling for the Simulation of Turbulent Flows. Flow, Turbulence and Combustion, 99(2), pp.279–327. doi:https://doi.org/10.1007/s10494-017-9828-8.</w:t>
      </w:r>
    </w:p>
    <w:p w14:paraId="0F5AD667" w14:textId="77777777" w:rsidR="00527961" w:rsidRDefault="00527961" w:rsidP="00527961">
      <w:r>
        <w:t>Chica E, Aguilar J and Rubio-Clemente A (2024). Analysis of a lift augmented hydrofoil for hydrokinetic turbines. RE&amp;PQJ, [online] 17(1). doi:https://doi.org/10.24084/repqj17.216.</w:t>
      </w:r>
    </w:p>
    <w:p w14:paraId="2ADFEC36" w14:textId="77777777" w:rsidR="00527961" w:rsidRDefault="00527961" w:rsidP="00527961">
      <w:r>
        <w:t>Dagenais, P. and Aegerter, C.M. (2021). Hydrodynamic stress maps on the surface of a flexible fin-like foil. PLoS ONE, 16(1), pp.e0244674–e0244674. doi:https://doi.org/10.1371/journal.pone.0244674.</w:t>
      </w:r>
    </w:p>
    <w:p w14:paraId="6B758F55" w14:textId="77777777" w:rsidR="00527961" w:rsidRDefault="00527961" w:rsidP="00527961">
      <w:r>
        <w:t>Dexcraft (2015). Carbon fiber vs aluminium - comprasion. [online] Carbon fiber blog. Available at: https://www.dexcraft.com/articles/carbon-fiber-composites/aluminium-vs-carbon-fiber-comparison-of-materials [Accessed 7 Nov. 2025].</w:t>
      </w:r>
    </w:p>
    <w:p w14:paraId="1808A72B" w14:textId="77777777" w:rsidR="00527961" w:rsidRDefault="00527961" w:rsidP="00527961">
      <w:r>
        <w:t>DUNN , D.J. (2024). FLUID MECHANICS. [online] Available at: http://freestudy.co.uk/fluid%20mechanics/t5203.pdf [Accessed 14 Nov. 2025].</w:t>
      </w:r>
    </w:p>
    <w:p w14:paraId="1F01D6B1" w14:textId="77777777" w:rsidR="00527961" w:rsidRDefault="00527961" w:rsidP="00527961">
      <w:r>
        <w:t>Engineering ToolBox (2004). Water - Dynamic and Kinematic Viscosity. [online] Engineeringtoolbox.com. Available at: https://www.engineeringtoolbox.com/water-dynamic-kinematic-viscosity-d_596.html [Accessed 14 Nov. 2025].</w:t>
      </w:r>
    </w:p>
    <w:p w14:paraId="24961560" w14:textId="77777777" w:rsidR="00527961" w:rsidRDefault="00527961" w:rsidP="00527961">
      <w:r>
        <w:lastRenderedPageBreak/>
        <w:t>Engineering ToolBox (2010). Lift and Drag. [online] Engineeringtoolbox.com. Available at: https://www.engineeringtoolbox.com/lift-drag-fluid-flow-d_1657.html [Accessed 7 Nov. 2025].</w:t>
      </w:r>
    </w:p>
    <w:p w14:paraId="2CBECBE2" w14:textId="77777777" w:rsidR="00527961" w:rsidRDefault="00527961" w:rsidP="00527961">
      <w:r>
        <w:t>Flandro, G.A., McMahon, H.M. and Roach, R.L. (2011). Fundamentals of Steady, Incompressible, Inviscid Flows. Basic Aerodynamics, [online] pp.110–168. doi:https://doi.org/10.1017/cbo9780511996269.005.</w:t>
      </w:r>
    </w:p>
    <w:p w14:paraId="2EA065EF" w14:textId="77777777" w:rsidR="00527961" w:rsidRDefault="00527961" w:rsidP="00527961">
      <w:r>
        <w:t>F-One (2025). PHANTOM CARBON - F-ONE PHANTOM CARBON. [online] F-ONE. Available at: https://www.f-one.world/product/phantom-carbon/ [Accessed 14 Nov. 2025].</w:t>
      </w:r>
    </w:p>
    <w:p w14:paraId="5A734A94" w14:textId="77777777" w:rsidR="00527961" w:rsidRDefault="00527961" w:rsidP="00527961">
      <w:r>
        <w:t>George, C. (2025). Designing a kiteboard hydrofoil wing – structural design. [Unpublished university assignment]. University of Wales Trinity Saint David.</w:t>
      </w:r>
    </w:p>
    <w:p w14:paraId="1400F7EB" w14:textId="77777777" w:rsidR="00527961" w:rsidRDefault="00527961" w:rsidP="00527961">
      <w:r>
        <w:t>Ghadimi, P., Tanha, A., Kourabbasloo, N.N. and Tavakoli, S. (2017). Effects of Boundary Layer Control Method on Hydrodynamic Characteristics and Tip Vortex Creation of a Hydrofoil. Polish Maritime Research, 24(2), pp.27–39. doi:https://doi.org/10.1515/pomr-2017-0047.</w:t>
      </w:r>
    </w:p>
    <w:p w14:paraId="0433B848" w14:textId="77777777" w:rsidR="00527961" w:rsidRDefault="00527961" w:rsidP="00527961">
      <w:r>
        <w:t>Gorman, J., Bhattacharyya, S., Cheng, L. and Abraham, J. (2021). Turbulence Models Commonly Used in CFD. Computational Fluid Dynamics [Working Title]. doi:https://doi.org/10.5772/intechopen.99784.</w:t>
      </w:r>
    </w:p>
    <w:p w14:paraId="4F3167B0" w14:textId="77777777" w:rsidR="00527961" w:rsidRDefault="00527961" w:rsidP="00527961">
      <w:r>
        <w:t>Gupta, S., Sharma, A., Agrawal, A., Thompson, M.C. and Hourigan, K. (2023). Role of Shape and Kinematics in the Hydrodynamics of a Fish-like Oscillating Hydrofoil. Journal of Marine Science and Engineering, 11(10), pp.1923–1923. doi:https://doi.org/10.3390/jmse11101923.</w:t>
      </w:r>
    </w:p>
    <w:p w14:paraId="3563BA5B" w14:textId="77777777" w:rsidR="00527961" w:rsidRDefault="00527961" w:rsidP="00527961">
      <w:r>
        <w:t>Hall, N. (2023). Lift to Drag (L/D) Ratio | Glenn Research Center | NASA. [online] Glenn Research Center | NASA. Available at: https://www1.grc.nasa.gov/beginners-guide-to-aeronautics/lift-to-drag-l-d-ratio [Accessed 30 Jun. 2025].</w:t>
      </w:r>
    </w:p>
    <w:p w14:paraId="4DF112B8" w14:textId="77777777" w:rsidR="00527961" w:rsidRDefault="00527961" w:rsidP="00527961">
      <w:r>
        <w:t>Hou, H., Krajewski, M., Kaan Ilter, Y., Day, S., Atlar, M. and Shi, W. (2024). An Experimental Investigation of the Impact of Retrofitting an Underwater Stern Foil on the Resistance and Motion . [online] Pure.Strath. Available at: https://pure.strath.ac.uk/ws/portalfiles/portal/101371008/Hou_etal_OE_2020_An_experimental_investigation_of_the_impact_of_retrofitting.pdf [Accessed 11 Nov. 2025].</w:t>
      </w:r>
    </w:p>
    <w:p w14:paraId="3467F8A2" w14:textId="77777777" w:rsidR="00527961" w:rsidRDefault="00527961" w:rsidP="00527961">
      <w:r>
        <w:t>Huberty, W., Roberson, M., Cai, B., Hendrickson, M. and State, M. (2024). State of the Industry – Resin Infusion: A Literature Review. Bts.gov. [online] doi:https://doi.org/10.21949/1528268.</w:t>
      </w:r>
    </w:p>
    <w:p w14:paraId="13BA25E3" w14:textId="77777777" w:rsidR="00527961" w:rsidRDefault="00527961" w:rsidP="00527961">
      <w:r>
        <w:t>ISO (2019). ISO 12215-5:2019. [online] ISO. Available at: https://www.iso.org/standard/69552.html [Accessed 15 Nov. 2025].</w:t>
      </w:r>
    </w:p>
    <w:p w14:paraId="674C306E" w14:textId="77777777" w:rsidR="00527961" w:rsidRDefault="00527961" w:rsidP="00527961">
      <w:r>
        <w:lastRenderedPageBreak/>
        <w:t>KARASU, İ., AÇIKEL, H.H., KOCA, K. and GENÇ, M.S. (2020). EFFECTS OF THICKNESS AND CAMBER RATIO ON FLOW CHARACTERISTICS OVER AIRFOILS. Journal of Thermal Engineering, 6, pp.242–252. doi:https://doi.org/10.18186/thermal.710967.</w:t>
      </w:r>
    </w:p>
    <w:p w14:paraId="70EAEA4A" w14:textId="77777777" w:rsidR="00527961" w:rsidRDefault="00527961" w:rsidP="00527961">
      <w:r>
        <w:t>Katz, J. (2010). Dimensional Analysis and High-Reynolds-Number Flows. Introductory Fluid Mechanics, [online] pp.213–226. doi:https://doi.org/10.1017/cbo9780511761348.008.</w:t>
      </w:r>
    </w:p>
    <w:p w14:paraId="7F2AFC29" w14:textId="77777777" w:rsidR="00527961" w:rsidRDefault="00527961" w:rsidP="00527961">
      <w:r>
        <w:t>Krishnaswamy, P. (2001). Flow Modelling for Partially Cavitating Hydrofoils. [online] Welcome to DTU Research Database. Available at: https://orbit.dtu.dk/en/publications/flow-modelling-for-partially-cavitating-hydrofoils/ [Accessed 11 Nov. 2025].</w:t>
      </w:r>
    </w:p>
    <w:p w14:paraId="2F18A4A9" w14:textId="77777777" w:rsidR="00527961" w:rsidRDefault="00527961" w:rsidP="00527961">
      <w:r>
        <w:t>Kubit, A., Debnath, K., Slota, J., Dominik, F., Dubey, A.D., Rao, G.S. and Krzysztof Żaba (2024). Analysis of the Influence of Manufacturing Technology on Selected Static, Fatigue and Morphological Properties of CFRP Composites. Materials, [online] 18(1), pp.102–102. doi:https://doi.org/10.3390/ma18010102.</w:t>
      </w:r>
    </w:p>
    <w:p w14:paraId="5F71B34C" w14:textId="77777777" w:rsidR="00527961" w:rsidRDefault="00527961" w:rsidP="00527961">
      <w:r>
        <w:t>Kumar, A., Govt, S., College, N. and Choudhary (2019). VISCOUS FORCES AND INERTIAL FORCES. VISCOUS FORCES AND INERTIAL FORCES, [online] 6(6). Available at: https://www.jetir.org/papers/JETIR1906P37.pdf [Accessed 31 Oct. 2025].</w:t>
      </w:r>
    </w:p>
    <w:p w14:paraId="27F84486" w14:textId="77777777" w:rsidR="00527961" w:rsidRDefault="00527961" w:rsidP="00527961">
      <w:r>
        <w:t>Leishman, J.G. (2023). Stalling &amp; Spinning. eaglepubs.erau.edu. [online] doi:https://doi.org/10.15394/eaglepub.2022.1066.n41.</w:t>
      </w:r>
    </w:p>
    <w:p w14:paraId="7A69A151" w14:textId="77777777" w:rsidR="00527961" w:rsidRDefault="00527961" w:rsidP="00527961">
      <w:r>
        <w:t>Leishman, J.G. (2023a). Boundary Layers. eaglepubs.erau.edu. [online] doi:https://doi.org/10.15394/eaglepub.2022.1066.n22.</w:t>
      </w:r>
    </w:p>
    <w:p w14:paraId="415E9C0F" w14:textId="77777777" w:rsidR="00527961" w:rsidRDefault="00527961" w:rsidP="00527961">
      <w:r>
        <w:t>Liao, Y., He, S., Joaquim and Young, Y.L. (2020). Hydrostructural Optimization of Generic Composite Hydrofoils. AIAA Scitech 2020 Forum. doi:https://doi.org/10.2514/6.2020-0164.</w:t>
      </w:r>
    </w:p>
    <w:p w14:paraId="6595BA32" w14:textId="77777777" w:rsidR="00527961" w:rsidRDefault="00527961" w:rsidP="00527961">
      <w:r>
        <w:t>Liao, Y., Martins, J.R.R.A. and Young, Y.L. (2023). Hydrostructural optimization of single-layer and multi-layer composite lifting surfaces. Composite Structures, 307, p.116650. doi:https://doi.org/10.1016/j.compstruct.2022.116650.</w:t>
      </w:r>
    </w:p>
    <w:p w14:paraId="3C150CB2" w14:textId="77777777" w:rsidR="00527961" w:rsidRDefault="00527961" w:rsidP="00527961">
      <w:r>
        <w:t>Martínez-Barberá, H., Calderon-Sanchez, J., Moulian, L. and Souto-Iglesias, A. (2025). Fluid Forces on a Hydrofoil for Kitefoil and Windfoil Boards: Experimental Investigation on Their Dependence on the Froude Number Based on Submergence. Journal of Marine Science and Application. doi:https://doi.org/10.1007/s11804-025-00708-2.</w:t>
      </w:r>
    </w:p>
    <w:p w14:paraId="0E94DE29" w14:textId="77777777" w:rsidR="00527961" w:rsidRDefault="00527961" w:rsidP="00527961">
      <w:r>
        <w:t>NASA (2022). Lift Equation - Glenn Research Center | NASA. [online] Glenn Research Center | NASA. Available at: https://www1.grc.nasa.gov/beginners-guide-to-aeronautics/lift-equation/ [Accessed 7 Nov. 2025].</w:t>
      </w:r>
    </w:p>
    <w:p w14:paraId="001B880A" w14:textId="77777777" w:rsidR="00527961" w:rsidRDefault="00527961" w:rsidP="00527961">
      <w:r>
        <w:lastRenderedPageBreak/>
        <w:t>NASA (2025). Boundary Layer. [online] www.grc.nasa.gov. Available at: https://www.grc.nasa.gov/WWW/BGH/boundlay.html [Accessed 31 Oct. 2025].</w:t>
      </w:r>
    </w:p>
    <w:p w14:paraId="3B3EA380" w14:textId="77777777" w:rsidR="00527961" w:rsidRDefault="00527961" w:rsidP="00527961">
      <w:r>
        <w:t>Nazemian, A. and Ghadimi, P. (2020). Shape optimization of a hydrofoil with leading edge protuberances using full factorial sweep sampling and an RBF surrogate model. [online] https://pure.strath.ac.uk/. Available at: https://pure.strath.ac.uk/ws/portalfiles/portal/213123205/13-zn-am-62-134-nazemian-ghadimi.pdf [Accessed 6 Nov. 2025].</w:t>
      </w:r>
    </w:p>
    <w:p w14:paraId="6D13445C" w14:textId="77777777" w:rsidR="00527961" w:rsidRDefault="00527961" w:rsidP="00527961">
      <w:r>
        <w:t>Ni, Z., Dhanak, M. and Su, T. (2021). Performance of a hydrofoil operating close to a free surface over a range of angles of attack. International Journal of Naval Architecture and Ocean Engineering, 13, pp.1–11. doi:https://doi.org/10.1016/j.ijnaoe.2020.11.002.</w:t>
      </w:r>
    </w:p>
    <w:p w14:paraId="17326400" w14:textId="77777777" w:rsidR="00527961" w:rsidRDefault="00527961" w:rsidP="00527961">
      <w:r>
        <w:t>Nicolas, H., Perali, P., Sacher, M. and Bot, P. (2023). Boundary Element Method Analysis of 3D Effects and Free-Surface Proximity on Hydrofoil Lift and Drag Coefficients in Varied Operating Conditions. Journal of Sailing Technology, 8(01), pp.183–199. doi:https://doi.org/10.5957/jst/2023.8.10.183.</w:t>
      </w:r>
    </w:p>
    <w:p w14:paraId="0333211B" w14:textId="77777777" w:rsidR="00527961" w:rsidRDefault="00527961" w:rsidP="00527961">
      <w:r>
        <w:t>Obara, C.J. and Holmes, B.J. (1986). Roughness and waviness requirements for laminar flow surfaces. [online] Langley Symposium on Aerodynamics, Volume 1. Available at: https://ntrs.nasa.gov/citations/19880005571 [Accessed 7 Nov. 2025].</w:t>
      </w:r>
    </w:p>
    <w:p w14:paraId="5B89B8C3" w14:textId="77777777" w:rsidR="00527961" w:rsidRDefault="00527961" w:rsidP="00527961">
      <w:r>
        <w:t>Osa-uwagboe, N., Silberschmidt, V.V. and Demirci, E. (2024). Review on Mechanical Performance of Fibre-Reinforced Plastics in Marine Environments. Applied Composite Materials. doi:https://doi.org/10.1007/s10443-024-10247-8.</w:t>
      </w:r>
    </w:p>
    <w:p w14:paraId="4D81F446" w14:textId="77777777" w:rsidR="00527961" w:rsidRDefault="00527961" w:rsidP="00527961">
      <w:r>
        <w:t>Park, S.Y., Choi, C.H., Choi, W.J. and Hwang, S.S. (2018). A Comparison of the Properties of Carbon Fiber Epoxy Composites Produced by Non-autoclave with Vacuum Bag Only Prepreg and Autoclave Process. Applied Composite Materials, 26(1), pp.187–204. doi:https://doi.org/10.1007/s10443-018-9688-y.</w:t>
      </w:r>
    </w:p>
    <w:p w14:paraId="0D84ED56" w14:textId="77777777" w:rsidR="00527961" w:rsidRDefault="00527961" w:rsidP="00527961">
      <w:r>
        <w:t>Pena, B. and Huang, L. (2021). A review on the turbulence modelling strategy for ship hydrodynamic simulations. Ocean Engineering, 241, p.110082. doi:https://doi.org/10.1016/j.oceaneng.2021.110082.</w:t>
      </w:r>
    </w:p>
    <w:p w14:paraId="3F91AFCB" w14:textId="77777777" w:rsidR="00527961" w:rsidRDefault="00527961" w:rsidP="00527961">
      <w:r>
        <w:t>Phillips, A., Cairns, R., Davis, C., Norman, P., Brandner, P., Pearce, B. and Young, Y. (2017). Effect of material design parameters on the forced vibration response of composite hydrofoils in air and in water. [online] Available at: https://www.marinepropulsors.com/proceedings/2017/THB2-3.pdf [Accessed 9 Nov. 2025].</w:t>
      </w:r>
    </w:p>
    <w:p w14:paraId="5311D763" w14:textId="77777777" w:rsidR="00527961" w:rsidRDefault="00527961" w:rsidP="00527961">
      <w:r>
        <w:t>Pozorski, J. and Waclawczyk, M. (2000). Flow at Large Reynolds Number: Effects of Viscosity. An Introduction to Fluid Dynamics, [online] pp.264–377. doi:https://doi.org/10.1017/cbo9780511800955.007.</w:t>
      </w:r>
    </w:p>
    <w:p w14:paraId="6E80C63B" w14:textId="77777777" w:rsidR="00527961" w:rsidRDefault="00527961" w:rsidP="00527961">
      <w:r>
        <w:lastRenderedPageBreak/>
        <w:t>Pozorski, J. and Wacławczyk, M. (2020). Mixing in Turbulent Flows: An Overview of Physics and Modelling. Processes, 8(11), p.1379. doi:https://doi.org/10.3390/pr8111379.</w:t>
      </w:r>
    </w:p>
    <w:p w14:paraId="5D41BA65" w14:textId="77777777" w:rsidR="00527961" w:rsidRDefault="00527961" w:rsidP="00527961">
      <w:r>
        <w:t>Putranto, T. and Sulisetyono, A. (2017). Lift-Drag Coefficient and Form Factor Analyses of Hydrofoil due to The Shape and Angle of Attack. International Journal of Applied Engineering Research, [online] 12, pp.11152–11156. Available at: https://www.ripublication.com/ijaer17/ijaerv12n21_90.pdf [Accessed 11 Nov. 2025].</w:t>
      </w:r>
    </w:p>
    <w:p w14:paraId="3D98A35C" w14:textId="77777777" w:rsidR="00527961" w:rsidRDefault="00527961" w:rsidP="00527961">
      <w:r>
        <w:t>Qiao, D., Zhi, G., Liang, H., Ning, D., Yan, J. and Li, B. (2021). Scaling Orchestration in Physical Model Test of Oscillating Buoy Wave Energy Converter. Frontiers in Marine Science, 8. doi:https://doi.org/10.3389/fmars.2021.627453.</w:t>
      </w:r>
    </w:p>
    <w:p w14:paraId="23BFE521" w14:textId="77777777" w:rsidR="00527961" w:rsidRDefault="00527961" w:rsidP="00527961">
      <w:r>
        <w:t>Rahman, M.M., Hasan, K. and Pan, H. (2022). Capturing transition around low-Reynolds number hydrofoil with zero-equation transition model. Capturing transition around low-Reynolds number hydrofoil with zero-equation transition model, 34(7), pp.074115–074115. doi:https://doi.org/10.1063/5.0097859.</w:t>
      </w:r>
    </w:p>
    <w:p w14:paraId="13C5DB43" w14:textId="77777777" w:rsidR="00527961" w:rsidRDefault="00527961" w:rsidP="00527961">
      <w:r>
        <w:t>Ramesh, J.P., Mugendiran, V. and G.S. and Sivaraj, G. (2024). Increasing L/D Ratio of Wing by Delaying Flow Separation for Better Aerodynamic Performance. Journal of Applied Fluid Mechanics, [online] 17(12). doi:https://doi.org/10.47176/jafm.17.12.2611.</w:t>
      </w:r>
    </w:p>
    <w:p w14:paraId="28795CA1" w14:textId="77777777" w:rsidR="00527961" w:rsidRDefault="00527961" w:rsidP="00527961">
      <w:r>
        <w:t>Rehm, B. and Schubert, J. (2008). Reynolds’ Number - an overview | ScienceDirect Topics. [online] Sciencedirect.com. Available at: https://www.sciencedirect.com/topics/engineering/reynolds-number [Accessed 31 Oct. 2025].</w:t>
      </w:r>
    </w:p>
    <w:p w14:paraId="52E3444F" w14:textId="77777777" w:rsidR="00527961" w:rsidRDefault="00527961" w:rsidP="00527961">
      <w:r>
        <w:t>RS (2023). A Guide to Strain Gauges. [online] Rs-online.com. Available at: https://uk.rs-online.com/web/content/discovery/ideas-and-advice/strain-gauges-guide?msockid=1cac8ebbecaa60cc17979d24ed83613a [Accessed 11 Nov. 2025].</w:t>
      </w:r>
    </w:p>
    <w:p w14:paraId="73C070E6" w14:textId="77777777" w:rsidR="00527961" w:rsidRDefault="00527961" w:rsidP="00527961">
      <w:r>
        <w:t>Rubino, F., Nisticò, A., Tucci, F. and Carlone, P. (2020). Marine Application of Fiber Reinforced Composites: A Review. Journal of Marine Science and Engineering, 8(1), p.26. doi:https://doi.org/10.3390/jmse8010026.</w:t>
      </w:r>
    </w:p>
    <w:p w14:paraId="38B81E77" w14:textId="77777777" w:rsidR="00527961" w:rsidRDefault="00527961" w:rsidP="00527961">
      <w:r>
        <w:t>Saldana, M., Gallegos, S., Gálvez, E., Castillo, J., Salinas-Rodríguez, E., Cerecedo-Sáenz, E., Hernández-Ávila, J., Navarra, A. and Toro, N. (2024). The Reynolds Number: A Journey from Its Origin to Modern Applications. Fluids, [online] 9(12), pp.299–299. doi:https://doi.org/10.3390/fluids9120299 [Accessed 31 Oct. 2025].</w:t>
      </w:r>
    </w:p>
    <w:p w14:paraId="0A759F43" w14:textId="77777777" w:rsidR="00527961" w:rsidRDefault="00527961" w:rsidP="00527961">
      <w:r>
        <w:t>Sayed, M.A. (2023). CFD Dose. [online] Cfddose.com. Available at: https://www.cfddose.com/blogpost/laminar-to-turbulent-transition-flow-separation [Accessed 1 Nov. 2025].</w:t>
      </w:r>
    </w:p>
    <w:p w14:paraId="5D6B939F" w14:textId="77777777" w:rsidR="00527961" w:rsidRDefault="00527961" w:rsidP="00527961">
      <w:r>
        <w:lastRenderedPageBreak/>
        <w:t>Schmidt, J., Fleischmann, M., Ehemann, C., Kaufmann, J. and Cebulla, H. (2020). Parametric Shape and Manufacturing Optimization of Customized Kitesurf Hydrofoils. Proceedings, [online] 49(1), p.126. doi:https://doi.org/10.3390/proceedings2020049126.</w:t>
      </w:r>
    </w:p>
    <w:p w14:paraId="030B2324" w14:textId="77777777" w:rsidR="00527961" w:rsidRDefault="00527961" w:rsidP="00527961">
      <w:r>
        <w:t>Serra, P.B. and Báez , A. (2019). Hydrofoil Design and Construction . [online] upcommons.upc.edu. Available at: https://upcommons.upc.edu/server/api/core/bitstreams/967e1dba-b7f8-446e-9b5d-8c374bd068d7/content [Accessed 9 Nov. 2025].</w:t>
      </w:r>
    </w:p>
    <w:p w14:paraId="5D4FD087" w14:textId="77777777" w:rsidR="00527961" w:rsidRDefault="00527961" w:rsidP="00527961">
      <w:r>
        <w:t>Shang, Y. and Horrillo, J.J. (2021). Numerical Simulation and Hydrodynamic Performance Predicting of 2 Two-Dimensional Hydrofoils in Tandem Configuration. Journal of Marine Science and Engineering, 9(5), p.462. doi:https://doi.org/10.3390/jmse9050462.</w:t>
      </w:r>
    </w:p>
    <w:p w14:paraId="59FFAA94" w14:textId="77777777" w:rsidR="00527961" w:rsidRDefault="00527961" w:rsidP="00527961">
      <w:r>
        <w:t>Sharqawy, M.H., Lienhard, J.H. and Zubair, S.M. (2010). Thermophysical properties of seawater: a review of existing correlations and data. Desalination and Water Treatment, 16(1-3), pp.354–380. doi:https://doi.org/10.5004/dwt.2010.1079.</w:t>
      </w:r>
    </w:p>
    <w:p w14:paraId="403FD0F3" w14:textId="77777777" w:rsidR="00527961" w:rsidRDefault="00527961" w:rsidP="00527961">
      <w:r>
        <w:t>Shen, R., Liu, T., Liu, H., Zou, X., Gong, Y. and Guo, H. (2024). An Enhanced Vacuum-Assisted Resin Transfer Molding Process and Its Pressure Effect on Resin Infusion Behavior and Composite Material Performance. Polymers, [online] 16(10), p.1386. doi:https://doi.org/10.3390/polym16101386.</w:t>
      </w:r>
    </w:p>
    <w:p w14:paraId="6B3FC44E" w14:textId="77777777" w:rsidR="00527961" w:rsidRDefault="00527961" w:rsidP="00527961">
      <w:r>
        <w:t>Smith, S.M., Brandner, P.A., Pearce, B.W., Venning, J.A., Moreau, D.J. and Clarke, D.B. (2021). Steady and unsteady loading on a hydrofoil immersed in a turbulent boundary layer. Journal of Fluids and Structures, 102, pp.103225–103225. doi:https://doi.org/10.1016/j.jfluidstructs.2021.103225.</w:t>
      </w:r>
    </w:p>
    <w:p w14:paraId="085ACFDD" w14:textId="77777777" w:rsidR="00527961" w:rsidRDefault="00527961" w:rsidP="00527961">
      <w:r>
        <w:t>SWZ MARITIME (2021). HYDROFOIL RESEARCH. [online] marin. Available at: https://www.marin.nl/api/marin/downloads/get-download/8150/1/1710/block_files_g2j5lziiyt7q/dfef-DZI6UBA0zsJB303EhkXTWE%3D/hydrofoil-research-swz-september-2021.pdf [Accessed 7 Nov. 2025].</w:t>
      </w:r>
    </w:p>
    <w:p w14:paraId="1EE4F793" w14:textId="77777777" w:rsidR="00527961" w:rsidRDefault="00527961" w:rsidP="00527961">
      <w:r>
        <w:t>Teo, C. and Lung (2019). FLOW VISUALIZATION STUDY OF WATER TUNNEL FOR MICRO-HYDROKINETIC TURBINE APPLICATION. [online] Available at: https://eprints.usm.my/58655/1/Flow%20Visualization%20Study%20Of%20Water%20Tunnel%20For%20Micro-Hydrokinetic%20Turbine%20Application.pdf [Accessed 11 Nov. 2025].</w:t>
      </w:r>
    </w:p>
    <w:p w14:paraId="50FA9546" w14:textId="77777777" w:rsidR="00527961" w:rsidRDefault="00527961" w:rsidP="00527961">
      <w:r>
        <w:t>The editors of Encyclopaedia Britannica (2017). Reynolds number | Definition &amp; History. In: Encyclopædia Britannica. [online] Available at: https://www.britannica.com/science/Reynolds-number [Accessed 31 Oct. 2025].</w:t>
      </w:r>
    </w:p>
    <w:p w14:paraId="383D7439" w14:textId="77777777" w:rsidR="00527961" w:rsidRDefault="00527961" w:rsidP="00527961">
      <w:r>
        <w:lastRenderedPageBreak/>
        <w:t>The Engineering ToolBox (2003). Water - Density, Specific Weight and Thermal Expansion Coefficient. [online] The Engineering Toolbox. Available at: https://www.engineeringtoolbox.com/water-density-specific-weight-d_595.html [Accessed 14 Nov. 2025].</w:t>
      </w:r>
    </w:p>
    <w:p w14:paraId="28A087B9" w14:textId="77777777" w:rsidR="00527961" w:rsidRDefault="00527961" w:rsidP="00527961">
      <w:r>
        <w:t>The Engineering ToolBox (2019). Properties of Seawater. [online] Engineeringtoolbox.com. Available at: https://www.engineeringtoolbox.com/sea-water-properties-d_840.html [Accessed 14 Nov. 2025].</w:t>
      </w:r>
    </w:p>
    <w:p w14:paraId="318395F4" w14:textId="77777777" w:rsidR="00527961" w:rsidRDefault="00527961" w:rsidP="00527961">
      <w:r>
        <w:t>The Open University (2018). The oceans. [online] OpenLearn. Available at: https://www.open.edu/openlearn/science-maths-technology/the-oceans/content-section-3.2 [Accessed 14 Nov. 2025].</w:t>
      </w:r>
    </w:p>
    <w:p w14:paraId="201C9200" w14:textId="77777777" w:rsidR="00527961" w:rsidRDefault="00527961" w:rsidP="00527961">
      <w:r>
        <w:t>Torres, J., Sket, F., González, C. and Simmons, M. (2022). A study of the factors influencing air removal in Out-of-Autoclave processing of composites. Revista de Materiales Compuestos. [online] doi:https://doi.org/10.23967/r.matcomp.2021.10.008.</w:t>
      </w:r>
    </w:p>
    <w:p w14:paraId="0319D41C" w14:textId="77777777" w:rsidR="00527961" w:rsidRDefault="00527961" w:rsidP="00527961">
      <w:r>
        <w:t>Varvne, M. and Eriksson, W. (2024). Scaling Effects for Hydrofoil Testing. [online] odr.chalmers. Available at: https://odr.chalmers.se/bitstreams/e66c3b66-038b-4825-abd5-0e1dd3c88b3f/download [Accessed 1 Nov. 2025].</w:t>
      </w:r>
    </w:p>
    <w:p w14:paraId="10EADBF0" w14:textId="77777777" w:rsidR="00527961" w:rsidRDefault="00527961" w:rsidP="00527961">
      <w:r>
        <w:t>Veldman, A.E.P. (2017). Entrainment and boundary-layer separation: a modeling history. Journal of Engineering Mathematics, 107(1), pp.5–17. doi:https://doi.org/10.1007/s10665-017-9930-x.</w:t>
      </w:r>
    </w:p>
    <w:p w14:paraId="1D044EA6" w14:textId="77777777" w:rsidR="00527961" w:rsidRDefault="00527961" w:rsidP="00527961">
      <w:r>
        <w:t>Vilumbrales-Garcia, R., Kurt, M., Weymouth, G.D. and Ganapathisubramani, B. (2024). Effects of surface roughness on the propulsive performance of pitching foils. Journal of Fluid Mechanics, [online] 982. doi:https://doi.org/10.1017/jfm.2023.1009.</w:t>
      </w:r>
    </w:p>
    <w:p w14:paraId="4949F339" w14:textId="77777777" w:rsidR="00527961" w:rsidRDefault="00527961" w:rsidP="00527961">
      <w:r>
        <w:t>Wikipedia Contributors (2019). Boundary layer. [online] Wikipedia. Available at: https://en.wikipedia.org/wiki/Boundary_layer [Accessed 2 Nov. 2025].</w:t>
      </w:r>
    </w:p>
    <w:p w14:paraId="35049F09" w14:textId="77777777" w:rsidR="00527961" w:rsidRDefault="00527961" w:rsidP="00527961">
      <w:r>
        <w:t>Wikipedia Contributors (2019b). NACA airfoil. [online] Wikipedia. Available at: https://en.wikipedia.org/wiki/NACA_airfoil [Accessed 11 Nov. 2025].</w:t>
      </w:r>
    </w:p>
    <w:p w14:paraId="0D55E122" w14:textId="77777777" w:rsidR="00527961" w:rsidRDefault="00527961" w:rsidP="00527961">
      <w:r>
        <w:t>Works, H.E. (2025). What is flow separation, and why does it occur? [online] How Engineering Works. Available at: https://www.howengineeringworks.com/questions/what-is-flow-separation-and-why-does-it-occur/ [Accessed 2 Nov. 2025].</w:t>
      </w:r>
    </w:p>
    <w:p w14:paraId="32AA860E" w14:textId="77777777" w:rsidR="00527961" w:rsidRDefault="00527961" w:rsidP="00527961">
      <w:r>
        <w:t>Yan, H., Zhang, H., Wang, J., Song, T. and Qi, F. (2022). The Leading-Edge Structure Based on Geometric Bionics Affects the Transient Cavitating Flow and Vortex Evolution of Hydrofoils. Frontiers in Energy Research, 9. doi:https://doi.org/10.3389/fenrg.2021.821925.</w:t>
      </w:r>
    </w:p>
    <w:p w14:paraId="52E5A379" w14:textId="77777777" w:rsidR="00527961" w:rsidRDefault="00527961" w:rsidP="00527961">
      <w:r>
        <w:lastRenderedPageBreak/>
        <w:t>Ye, C., Wang, Y., An, D., Chen, J., Yan, H., Zheng, Y., Kan, K. and Bart (2024). Study of Hydrofoil Boundary Layer Prediction with Two Correlation-Based Transition Models. Journal of Marine Science and Engineering, [online] 12(11), pp.1965–1965. doi:https://doi.org/10.3390/jmse12111965.</w:t>
      </w:r>
    </w:p>
    <w:p w14:paraId="4EBD315F" w14:textId="77777777" w:rsidR="00527961" w:rsidRDefault="00527961" w:rsidP="00527961">
      <w:r>
        <w:t>Ye, C., Wang, Y., An, D., Kan, K., Yan, H., Zheng, Y. and van Esch, B.P.M. (Bart) (2024d). Investigation on transition characteristics of hydrofoil boundary layer based on algebraic local-correlation-based transition modeling model. Physics of Fluids, 36(10). doi:https://doi.org/10.1063/5.0238044.</w:t>
      </w:r>
    </w:p>
    <w:p w14:paraId="4B1BF03D" w14:textId="77777777" w:rsidR="00527961" w:rsidRDefault="00527961" w:rsidP="00527961">
      <w:r>
        <w:t>Ye, Q., Avallone, F., Ragni, D., Choudhari, M. and Casalino, D. (2021). Effect of Surface Roughness Geometry on Boundary-Layer Transition and Far-Field Noise. AIAA Journal, [online] 59(7), pp.2396–2408. doi:https://doi.org/10.2514/1.j059335.</w:t>
      </w:r>
    </w:p>
    <w:p w14:paraId="09DC2F20" w14:textId="77777777" w:rsidR="00527961" w:rsidRDefault="00527961" w:rsidP="00527961">
      <w:r>
        <w:t>Yingqian, L., Sicheng, He., Joaquim, R.R., Martins, A. and Young, Y.L. (2020). An Application of DBSCAN Clustering for Flight Anomaly Detection During the Approach Phase | AIAA SciTech Forum. AIAA SciTech Forum. [online] doi:https://doi.org/10.2514/MSCITECH20;groupTopic:topic:long_toc_pubs.</w:t>
      </w:r>
    </w:p>
    <w:p w14:paraId="4681FF64" w14:textId="5F08A5BB" w:rsidR="00527961" w:rsidRDefault="00527961" w:rsidP="00527961">
      <w:r>
        <w:t>Zhao, M., Wan, D. and Gao, Y. (2021). Comparative Study of Different Turbulence Models for Cavitational Flows around NACA0012 Hydrofoil. Journal of Marine Science and Engineering, 9(7), p.742. doi:https://doi.org/10.3390/jmse9070742.</w:t>
      </w:r>
    </w:p>
    <w:p w14:paraId="31942E0B" w14:textId="77777777" w:rsidR="00527961" w:rsidRPr="00527961" w:rsidRDefault="00527961" w:rsidP="00527961"/>
    <w:p w14:paraId="7BA51CFC" w14:textId="3E168F7A" w:rsidR="00736197" w:rsidRDefault="000C2AD4" w:rsidP="000C2AD4">
      <w:pPr>
        <w:pStyle w:val="Heading1"/>
      </w:pPr>
      <w:r>
        <w:t>Table of figures</w:t>
      </w:r>
    </w:p>
    <w:p w14:paraId="74068301" w14:textId="1B5C1E33" w:rsidR="00036FAA" w:rsidRDefault="00036FAA">
      <w:pPr>
        <w:pStyle w:val="TableofFigures"/>
        <w:tabs>
          <w:tab w:val="right" w:pos="9016"/>
        </w:tabs>
        <w:rPr>
          <w:noProof/>
        </w:rPr>
      </w:pPr>
      <w:r>
        <w:fldChar w:fldCharType="begin"/>
      </w:r>
      <w:r>
        <w:instrText xml:space="preserve"> TOC \h \z \c "Figure" </w:instrText>
      </w:r>
      <w:r>
        <w:fldChar w:fldCharType="separate"/>
      </w:r>
      <w:hyperlink w:anchor="_Toc214140137" w:history="1">
        <w:r w:rsidRPr="006B555E">
          <w:rPr>
            <w:rStyle w:val="Hyperlink"/>
            <w:noProof/>
          </w:rPr>
          <w:t>Figure 1: Laminar Flow (All Info ChE /, 2024)</w:t>
        </w:r>
        <w:r>
          <w:rPr>
            <w:noProof/>
            <w:webHidden/>
          </w:rPr>
          <w:tab/>
        </w:r>
        <w:r>
          <w:rPr>
            <w:noProof/>
            <w:webHidden/>
          </w:rPr>
          <w:fldChar w:fldCharType="begin"/>
        </w:r>
        <w:r>
          <w:rPr>
            <w:noProof/>
            <w:webHidden/>
          </w:rPr>
          <w:instrText xml:space="preserve"> PAGEREF _Toc214140137 \h </w:instrText>
        </w:r>
        <w:r>
          <w:rPr>
            <w:noProof/>
            <w:webHidden/>
          </w:rPr>
        </w:r>
        <w:r>
          <w:rPr>
            <w:noProof/>
            <w:webHidden/>
          </w:rPr>
          <w:fldChar w:fldCharType="separate"/>
        </w:r>
        <w:r>
          <w:rPr>
            <w:noProof/>
            <w:webHidden/>
          </w:rPr>
          <w:t>3</w:t>
        </w:r>
        <w:r>
          <w:rPr>
            <w:noProof/>
            <w:webHidden/>
          </w:rPr>
          <w:fldChar w:fldCharType="end"/>
        </w:r>
      </w:hyperlink>
    </w:p>
    <w:p w14:paraId="38DCBF37" w14:textId="5A950903" w:rsidR="00036FAA" w:rsidRDefault="00036FAA">
      <w:pPr>
        <w:pStyle w:val="TableofFigures"/>
        <w:tabs>
          <w:tab w:val="right" w:pos="9016"/>
        </w:tabs>
        <w:rPr>
          <w:noProof/>
        </w:rPr>
      </w:pPr>
      <w:hyperlink w:anchor="_Toc214140138" w:history="1">
        <w:r w:rsidRPr="006B555E">
          <w:rPr>
            <w:rStyle w:val="Hyperlink"/>
            <w:noProof/>
          </w:rPr>
          <w:t>Figure 2: Transition Flow (All Info ChE /, 2024)</w:t>
        </w:r>
        <w:r>
          <w:rPr>
            <w:noProof/>
            <w:webHidden/>
          </w:rPr>
          <w:tab/>
        </w:r>
        <w:r>
          <w:rPr>
            <w:noProof/>
            <w:webHidden/>
          </w:rPr>
          <w:fldChar w:fldCharType="begin"/>
        </w:r>
        <w:r>
          <w:rPr>
            <w:noProof/>
            <w:webHidden/>
          </w:rPr>
          <w:instrText xml:space="preserve"> PAGEREF _Toc214140138 \h </w:instrText>
        </w:r>
        <w:r>
          <w:rPr>
            <w:noProof/>
            <w:webHidden/>
          </w:rPr>
        </w:r>
        <w:r>
          <w:rPr>
            <w:noProof/>
            <w:webHidden/>
          </w:rPr>
          <w:fldChar w:fldCharType="separate"/>
        </w:r>
        <w:r>
          <w:rPr>
            <w:noProof/>
            <w:webHidden/>
          </w:rPr>
          <w:t>3</w:t>
        </w:r>
        <w:r>
          <w:rPr>
            <w:noProof/>
            <w:webHidden/>
          </w:rPr>
          <w:fldChar w:fldCharType="end"/>
        </w:r>
      </w:hyperlink>
    </w:p>
    <w:p w14:paraId="07A07295" w14:textId="45A5ACC1" w:rsidR="00036FAA" w:rsidRDefault="00036FAA">
      <w:pPr>
        <w:pStyle w:val="TableofFigures"/>
        <w:tabs>
          <w:tab w:val="right" w:pos="9016"/>
        </w:tabs>
        <w:rPr>
          <w:noProof/>
        </w:rPr>
      </w:pPr>
      <w:hyperlink w:anchor="_Toc214140139" w:history="1">
        <w:r w:rsidRPr="006B555E">
          <w:rPr>
            <w:rStyle w:val="Hyperlink"/>
            <w:noProof/>
          </w:rPr>
          <w:t>Figure 3: Turbulent Flow (All Info ChE /, 2024)</w:t>
        </w:r>
        <w:r>
          <w:rPr>
            <w:noProof/>
            <w:webHidden/>
          </w:rPr>
          <w:tab/>
        </w:r>
        <w:r>
          <w:rPr>
            <w:noProof/>
            <w:webHidden/>
          </w:rPr>
          <w:fldChar w:fldCharType="begin"/>
        </w:r>
        <w:r>
          <w:rPr>
            <w:noProof/>
            <w:webHidden/>
          </w:rPr>
          <w:instrText xml:space="preserve"> PAGEREF _Toc214140139 \h </w:instrText>
        </w:r>
        <w:r>
          <w:rPr>
            <w:noProof/>
            <w:webHidden/>
          </w:rPr>
        </w:r>
        <w:r>
          <w:rPr>
            <w:noProof/>
            <w:webHidden/>
          </w:rPr>
          <w:fldChar w:fldCharType="separate"/>
        </w:r>
        <w:r>
          <w:rPr>
            <w:noProof/>
            <w:webHidden/>
          </w:rPr>
          <w:t>3</w:t>
        </w:r>
        <w:r>
          <w:rPr>
            <w:noProof/>
            <w:webHidden/>
          </w:rPr>
          <w:fldChar w:fldCharType="end"/>
        </w:r>
      </w:hyperlink>
    </w:p>
    <w:p w14:paraId="31586A30" w14:textId="7FA63F91" w:rsidR="00036FAA" w:rsidRDefault="00036FAA">
      <w:pPr>
        <w:pStyle w:val="TableofFigures"/>
        <w:tabs>
          <w:tab w:val="right" w:pos="9016"/>
        </w:tabs>
        <w:rPr>
          <w:noProof/>
        </w:rPr>
      </w:pPr>
      <w:hyperlink w:anchor="_Toc214140140" w:history="1">
        <w:r w:rsidRPr="006B555E">
          <w:rPr>
            <w:rStyle w:val="Hyperlink"/>
            <w:noProof/>
          </w:rPr>
          <w:t>Figure 4 - Attached and separated flow characteristics (Leishman, 2023)</w:t>
        </w:r>
        <w:r>
          <w:rPr>
            <w:noProof/>
            <w:webHidden/>
          </w:rPr>
          <w:tab/>
        </w:r>
        <w:r>
          <w:rPr>
            <w:noProof/>
            <w:webHidden/>
          </w:rPr>
          <w:fldChar w:fldCharType="begin"/>
        </w:r>
        <w:r>
          <w:rPr>
            <w:noProof/>
            <w:webHidden/>
          </w:rPr>
          <w:instrText xml:space="preserve"> PAGEREF _Toc214140140 \h </w:instrText>
        </w:r>
        <w:r>
          <w:rPr>
            <w:noProof/>
            <w:webHidden/>
          </w:rPr>
        </w:r>
        <w:r>
          <w:rPr>
            <w:noProof/>
            <w:webHidden/>
          </w:rPr>
          <w:fldChar w:fldCharType="separate"/>
        </w:r>
        <w:r>
          <w:rPr>
            <w:noProof/>
            <w:webHidden/>
          </w:rPr>
          <w:t>6</w:t>
        </w:r>
        <w:r>
          <w:rPr>
            <w:noProof/>
            <w:webHidden/>
          </w:rPr>
          <w:fldChar w:fldCharType="end"/>
        </w:r>
      </w:hyperlink>
    </w:p>
    <w:p w14:paraId="27EE85C9" w14:textId="169D850A" w:rsidR="00036FAA" w:rsidRDefault="00036FAA">
      <w:pPr>
        <w:pStyle w:val="TableofFigures"/>
        <w:tabs>
          <w:tab w:val="right" w:pos="9016"/>
        </w:tabs>
        <w:rPr>
          <w:noProof/>
        </w:rPr>
      </w:pPr>
      <w:hyperlink w:anchor="_Toc214140141" w:history="1">
        <w:r w:rsidRPr="006B555E">
          <w:rPr>
            <w:rStyle w:val="Hyperlink"/>
            <w:noProof/>
          </w:rPr>
          <w:t>Figure 5 - smooth to turbulent flow transition (Leishman, 2023a)</w:t>
        </w:r>
        <w:r>
          <w:rPr>
            <w:noProof/>
            <w:webHidden/>
          </w:rPr>
          <w:tab/>
        </w:r>
        <w:r>
          <w:rPr>
            <w:noProof/>
            <w:webHidden/>
          </w:rPr>
          <w:fldChar w:fldCharType="begin"/>
        </w:r>
        <w:r>
          <w:rPr>
            <w:noProof/>
            <w:webHidden/>
          </w:rPr>
          <w:instrText xml:space="preserve"> PAGEREF _Toc214140141 \h </w:instrText>
        </w:r>
        <w:r>
          <w:rPr>
            <w:noProof/>
            <w:webHidden/>
          </w:rPr>
        </w:r>
        <w:r>
          <w:rPr>
            <w:noProof/>
            <w:webHidden/>
          </w:rPr>
          <w:fldChar w:fldCharType="separate"/>
        </w:r>
        <w:r>
          <w:rPr>
            <w:noProof/>
            <w:webHidden/>
          </w:rPr>
          <w:t>12</w:t>
        </w:r>
        <w:r>
          <w:rPr>
            <w:noProof/>
            <w:webHidden/>
          </w:rPr>
          <w:fldChar w:fldCharType="end"/>
        </w:r>
      </w:hyperlink>
    </w:p>
    <w:p w14:paraId="61886531" w14:textId="048F3B67" w:rsidR="00736197" w:rsidRDefault="00036FAA">
      <w:r>
        <w:fldChar w:fldCharType="end"/>
      </w:r>
    </w:p>
    <w:p w14:paraId="1BDF471F" w14:textId="44CBD621" w:rsidR="000C2AD4" w:rsidRDefault="000C2AD4" w:rsidP="000C2AD4">
      <w:pPr>
        <w:pStyle w:val="Heading1"/>
      </w:pPr>
      <w:r>
        <w:t>Table of equations</w:t>
      </w:r>
    </w:p>
    <w:p w14:paraId="7C0DE130" w14:textId="01329399" w:rsidR="00036FAA" w:rsidRDefault="00036FAA">
      <w:pPr>
        <w:pStyle w:val="TableofFigures"/>
        <w:tabs>
          <w:tab w:val="right" w:pos="9016"/>
        </w:tabs>
        <w:rPr>
          <w:noProof/>
          <w:kern w:val="2"/>
          <w:lang w:eastAsia="en-GB"/>
          <w14:ligatures w14:val="standardContextual"/>
        </w:rPr>
      </w:pPr>
      <w:r>
        <w:fldChar w:fldCharType="begin"/>
      </w:r>
      <w:r>
        <w:instrText xml:space="preserve"> TOC \h \z \c "Equation" </w:instrText>
      </w:r>
      <w:r>
        <w:fldChar w:fldCharType="separate"/>
      </w:r>
      <w:hyperlink w:anchor="_Toc214140159" w:history="1">
        <w:r w:rsidRPr="00EA086B">
          <w:rPr>
            <w:rStyle w:val="Hyperlink"/>
            <w:noProof/>
          </w:rPr>
          <w:t>Equation 1 - Reynolds equation (Bhuyan, 2023)</w:t>
        </w:r>
        <w:r>
          <w:rPr>
            <w:noProof/>
            <w:webHidden/>
          </w:rPr>
          <w:tab/>
        </w:r>
        <w:r>
          <w:rPr>
            <w:noProof/>
            <w:webHidden/>
          </w:rPr>
          <w:fldChar w:fldCharType="begin"/>
        </w:r>
        <w:r>
          <w:rPr>
            <w:noProof/>
            <w:webHidden/>
          </w:rPr>
          <w:instrText xml:space="preserve"> PAGEREF _Toc214140159 \h </w:instrText>
        </w:r>
        <w:r>
          <w:rPr>
            <w:noProof/>
            <w:webHidden/>
          </w:rPr>
        </w:r>
        <w:r>
          <w:rPr>
            <w:noProof/>
            <w:webHidden/>
          </w:rPr>
          <w:fldChar w:fldCharType="separate"/>
        </w:r>
        <w:r>
          <w:rPr>
            <w:noProof/>
            <w:webHidden/>
          </w:rPr>
          <w:t>2</w:t>
        </w:r>
        <w:r>
          <w:rPr>
            <w:noProof/>
            <w:webHidden/>
          </w:rPr>
          <w:fldChar w:fldCharType="end"/>
        </w:r>
      </w:hyperlink>
    </w:p>
    <w:p w14:paraId="3B84F2C3" w14:textId="344B62D3" w:rsidR="00036FAA" w:rsidRDefault="00036FAA">
      <w:pPr>
        <w:pStyle w:val="TableofFigures"/>
        <w:tabs>
          <w:tab w:val="right" w:pos="9016"/>
        </w:tabs>
        <w:rPr>
          <w:noProof/>
          <w:kern w:val="2"/>
          <w:lang w:eastAsia="en-GB"/>
          <w14:ligatures w14:val="standardContextual"/>
        </w:rPr>
      </w:pPr>
      <w:hyperlink w:anchor="_Toc214140160" w:history="1">
        <w:r w:rsidRPr="00EA086B">
          <w:rPr>
            <w:rStyle w:val="Hyperlink"/>
            <w:noProof/>
          </w:rPr>
          <w:t>Equation 2 - Seawater calculation</w:t>
        </w:r>
        <w:r>
          <w:rPr>
            <w:noProof/>
            <w:webHidden/>
          </w:rPr>
          <w:tab/>
        </w:r>
        <w:r>
          <w:rPr>
            <w:noProof/>
            <w:webHidden/>
          </w:rPr>
          <w:fldChar w:fldCharType="begin"/>
        </w:r>
        <w:r>
          <w:rPr>
            <w:noProof/>
            <w:webHidden/>
          </w:rPr>
          <w:instrText xml:space="preserve"> PAGEREF _Toc214140160 \h </w:instrText>
        </w:r>
        <w:r>
          <w:rPr>
            <w:noProof/>
            <w:webHidden/>
          </w:rPr>
        </w:r>
        <w:r>
          <w:rPr>
            <w:noProof/>
            <w:webHidden/>
          </w:rPr>
          <w:fldChar w:fldCharType="separate"/>
        </w:r>
        <w:r>
          <w:rPr>
            <w:noProof/>
            <w:webHidden/>
          </w:rPr>
          <w:t>5</w:t>
        </w:r>
        <w:r>
          <w:rPr>
            <w:noProof/>
            <w:webHidden/>
          </w:rPr>
          <w:fldChar w:fldCharType="end"/>
        </w:r>
      </w:hyperlink>
    </w:p>
    <w:p w14:paraId="7661F449" w14:textId="64DCD8D5" w:rsidR="00036FAA" w:rsidRDefault="00036FAA">
      <w:pPr>
        <w:pStyle w:val="TableofFigures"/>
        <w:tabs>
          <w:tab w:val="right" w:pos="9016"/>
        </w:tabs>
        <w:rPr>
          <w:noProof/>
          <w:kern w:val="2"/>
          <w:lang w:eastAsia="en-GB"/>
          <w14:ligatures w14:val="standardContextual"/>
        </w:rPr>
      </w:pPr>
      <w:hyperlink w:anchor="_Toc214140161" w:history="1">
        <w:r w:rsidRPr="00EA086B">
          <w:rPr>
            <w:rStyle w:val="Hyperlink"/>
            <w:noProof/>
          </w:rPr>
          <w:t>Equation 3 - fresh water calculation</w:t>
        </w:r>
        <w:r>
          <w:rPr>
            <w:noProof/>
            <w:webHidden/>
          </w:rPr>
          <w:tab/>
        </w:r>
        <w:r>
          <w:rPr>
            <w:noProof/>
            <w:webHidden/>
          </w:rPr>
          <w:fldChar w:fldCharType="begin"/>
        </w:r>
        <w:r>
          <w:rPr>
            <w:noProof/>
            <w:webHidden/>
          </w:rPr>
          <w:instrText xml:space="preserve"> PAGEREF _Toc214140161 \h </w:instrText>
        </w:r>
        <w:r>
          <w:rPr>
            <w:noProof/>
            <w:webHidden/>
          </w:rPr>
        </w:r>
        <w:r>
          <w:rPr>
            <w:noProof/>
            <w:webHidden/>
          </w:rPr>
          <w:fldChar w:fldCharType="separate"/>
        </w:r>
        <w:r>
          <w:rPr>
            <w:noProof/>
            <w:webHidden/>
          </w:rPr>
          <w:t>5</w:t>
        </w:r>
        <w:r>
          <w:rPr>
            <w:noProof/>
            <w:webHidden/>
          </w:rPr>
          <w:fldChar w:fldCharType="end"/>
        </w:r>
      </w:hyperlink>
    </w:p>
    <w:p w14:paraId="26E57F5F" w14:textId="077F5BF9" w:rsidR="00036FAA" w:rsidRDefault="00036FAA">
      <w:pPr>
        <w:pStyle w:val="TableofFigures"/>
        <w:tabs>
          <w:tab w:val="right" w:pos="9016"/>
        </w:tabs>
        <w:rPr>
          <w:noProof/>
          <w:kern w:val="2"/>
          <w:lang w:eastAsia="en-GB"/>
          <w14:ligatures w14:val="standardContextual"/>
        </w:rPr>
      </w:pPr>
      <w:hyperlink w:anchor="_Toc214140162" w:history="1">
        <w:r w:rsidRPr="00EA086B">
          <w:rPr>
            <w:rStyle w:val="Hyperlink"/>
            <w:noProof/>
          </w:rPr>
          <w:t>Equation 4 - Lift equation (NASA, 2022)</w:t>
        </w:r>
        <w:r>
          <w:rPr>
            <w:noProof/>
            <w:webHidden/>
          </w:rPr>
          <w:tab/>
        </w:r>
        <w:r>
          <w:rPr>
            <w:noProof/>
            <w:webHidden/>
          </w:rPr>
          <w:fldChar w:fldCharType="begin"/>
        </w:r>
        <w:r>
          <w:rPr>
            <w:noProof/>
            <w:webHidden/>
          </w:rPr>
          <w:instrText xml:space="preserve"> PAGEREF _Toc214140162 \h </w:instrText>
        </w:r>
        <w:r>
          <w:rPr>
            <w:noProof/>
            <w:webHidden/>
          </w:rPr>
        </w:r>
        <w:r>
          <w:rPr>
            <w:noProof/>
            <w:webHidden/>
          </w:rPr>
          <w:fldChar w:fldCharType="separate"/>
        </w:r>
        <w:r>
          <w:rPr>
            <w:noProof/>
            <w:webHidden/>
          </w:rPr>
          <w:t>8</w:t>
        </w:r>
        <w:r>
          <w:rPr>
            <w:noProof/>
            <w:webHidden/>
          </w:rPr>
          <w:fldChar w:fldCharType="end"/>
        </w:r>
      </w:hyperlink>
    </w:p>
    <w:p w14:paraId="52A717F9" w14:textId="4D5413E3" w:rsidR="00036FAA" w:rsidRDefault="00036FAA">
      <w:r>
        <w:fldChar w:fldCharType="end"/>
      </w:r>
    </w:p>
    <w:p w14:paraId="3BC82754" w14:textId="77777777" w:rsidR="00CF5B31" w:rsidRDefault="00CF5B31" w:rsidP="004044CE">
      <w:pPr>
        <w:jc w:val="center"/>
      </w:pPr>
    </w:p>
    <w:p w14:paraId="075A0A33" w14:textId="77777777" w:rsidR="00F61F23" w:rsidRDefault="00F61F23" w:rsidP="004044CE">
      <w:pPr>
        <w:jc w:val="center"/>
      </w:pPr>
    </w:p>
    <w:p w14:paraId="21720653" w14:textId="77777777" w:rsidR="00DB1EF0" w:rsidRPr="00F61F23" w:rsidRDefault="00DB1EF0" w:rsidP="00A377D0">
      <w:pPr>
        <w:rPr>
          <w:color w:val="EE0000"/>
        </w:rPr>
      </w:pPr>
    </w:p>
    <w:sectPr w:rsidR="00DB1EF0" w:rsidRPr="00F61F23">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7DE861" w14:textId="77777777" w:rsidR="000B024D" w:rsidRDefault="000B024D" w:rsidP="00CB4F5F">
      <w:pPr>
        <w:spacing w:after="0" w:line="240" w:lineRule="auto"/>
      </w:pPr>
      <w:r>
        <w:separator/>
      </w:r>
    </w:p>
  </w:endnote>
  <w:endnote w:type="continuationSeparator" w:id="0">
    <w:p w14:paraId="6708CDBD" w14:textId="77777777" w:rsidR="000B024D" w:rsidRDefault="000B024D" w:rsidP="00CB4F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BAD8BF" w14:textId="77777777" w:rsidR="000B024D" w:rsidRDefault="000B024D" w:rsidP="00CB4F5F">
      <w:pPr>
        <w:spacing w:after="0" w:line="240" w:lineRule="auto"/>
      </w:pPr>
      <w:r>
        <w:separator/>
      </w:r>
    </w:p>
  </w:footnote>
  <w:footnote w:type="continuationSeparator" w:id="0">
    <w:p w14:paraId="42643769" w14:textId="77777777" w:rsidR="000B024D" w:rsidRDefault="000B024D" w:rsidP="00CB4F5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207FD"/>
    <w:multiLevelType w:val="multilevel"/>
    <w:tmpl w:val="4492E8A6"/>
    <w:lvl w:ilvl="0">
      <w:start w:val="1"/>
      <w:numFmt w:val="decimal"/>
      <w:lvlText w:val="%1."/>
      <w:lvlJc w:val="left"/>
      <w:pPr>
        <w:ind w:left="400" w:hanging="4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2A526DF"/>
    <w:multiLevelType w:val="multilevel"/>
    <w:tmpl w:val="DC0438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920856"/>
    <w:multiLevelType w:val="hybridMultilevel"/>
    <w:tmpl w:val="585E848C"/>
    <w:lvl w:ilvl="0" w:tplc="2B5824B4">
      <w:numFmt w:val="bullet"/>
      <w:lvlText w:val="-"/>
      <w:lvlJc w:val="left"/>
      <w:pPr>
        <w:ind w:left="720" w:hanging="360"/>
      </w:pPr>
      <w:rPr>
        <w:rFonts w:ascii="Aptos" w:eastAsiaTheme="minorEastAsia" w:hAnsi="Aptos" w:cstheme="minorBidi"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C95366"/>
    <w:multiLevelType w:val="multilevel"/>
    <w:tmpl w:val="69B013F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85B3212"/>
    <w:multiLevelType w:val="hybridMultilevel"/>
    <w:tmpl w:val="9170FA96"/>
    <w:lvl w:ilvl="0" w:tplc="C492CACC">
      <w:start w:val="1"/>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9896B54"/>
    <w:multiLevelType w:val="multilevel"/>
    <w:tmpl w:val="813085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3457B30"/>
    <w:multiLevelType w:val="multilevel"/>
    <w:tmpl w:val="74A0A340"/>
    <w:lvl w:ilvl="0">
      <w:start w:val="1"/>
      <w:numFmt w:val="decimal"/>
      <w:lvlText w:val="%1."/>
      <w:lvlJc w:val="left"/>
      <w:pPr>
        <w:ind w:left="500" w:hanging="5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7" w15:restartNumberingAfterBreak="0">
    <w:nsid w:val="13BD69A0"/>
    <w:multiLevelType w:val="hybridMultilevel"/>
    <w:tmpl w:val="C24C87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4066EF4"/>
    <w:multiLevelType w:val="multilevel"/>
    <w:tmpl w:val="85EC3B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4D443B0"/>
    <w:multiLevelType w:val="hybridMultilevel"/>
    <w:tmpl w:val="EDC2B97C"/>
    <w:lvl w:ilvl="0" w:tplc="393C195C">
      <w:numFmt w:val="bullet"/>
      <w:lvlText w:val=""/>
      <w:lvlJc w:val="left"/>
      <w:pPr>
        <w:ind w:left="1080" w:hanging="360"/>
      </w:pPr>
      <w:rPr>
        <w:rFonts w:ascii="Aptos" w:eastAsiaTheme="minorEastAsia" w:hAnsi="Aptos"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1A846DDC"/>
    <w:multiLevelType w:val="multilevel"/>
    <w:tmpl w:val="B8BECE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C284E0F"/>
    <w:multiLevelType w:val="multilevel"/>
    <w:tmpl w:val="A95834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F8C6D02"/>
    <w:multiLevelType w:val="multilevel"/>
    <w:tmpl w:val="896ED1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92A5840"/>
    <w:multiLevelType w:val="multilevel"/>
    <w:tmpl w:val="990E55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0183FCA"/>
    <w:multiLevelType w:val="multilevel"/>
    <w:tmpl w:val="BCE07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31C7156"/>
    <w:multiLevelType w:val="multilevel"/>
    <w:tmpl w:val="65DC17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343580F"/>
    <w:multiLevelType w:val="multilevel"/>
    <w:tmpl w:val="187A6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5D44796"/>
    <w:multiLevelType w:val="multilevel"/>
    <w:tmpl w:val="F998C3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8CB72AA"/>
    <w:multiLevelType w:val="multilevel"/>
    <w:tmpl w:val="430217FC"/>
    <w:lvl w:ilvl="0">
      <w:start w:val="1"/>
      <w:numFmt w:val="decimal"/>
      <w:lvlText w:val="%1."/>
      <w:lvlJc w:val="left"/>
      <w:pPr>
        <w:ind w:left="400" w:hanging="4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EB3266C"/>
    <w:multiLevelType w:val="multilevel"/>
    <w:tmpl w:val="8C9486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5230A32"/>
    <w:multiLevelType w:val="multilevel"/>
    <w:tmpl w:val="8CA8B2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53A7C64"/>
    <w:multiLevelType w:val="multilevel"/>
    <w:tmpl w:val="DE04D4E2"/>
    <w:lvl w:ilvl="0">
      <w:start w:val="1"/>
      <w:numFmt w:val="decimal"/>
      <w:lvlText w:val="%1"/>
      <w:lvlJc w:val="left"/>
      <w:pPr>
        <w:ind w:left="730" w:hanging="730"/>
      </w:pPr>
      <w:rPr>
        <w:rFonts w:hint="default"/>
      </w:rPr>
    </w:lvl>
    <w:lvl w:ilvl="1">
      <w:start w:val="4"/>
      <w:numFmt w:val="decimal"/>
      <w:lvlText w:val="%1.%2"/>
      <w:lvlJc w:val="left"/>
      <w:pPr>
        <w:ind w:left="730" w:hanging="730"/>
      </w:pPr>
      <w:rPr>
        <w:rFonts w:hint="default"/>
      </w:rPr>
    </w:lvl>
    <w:lvl w:ilvl="2">
      <w:start w:val="1"/>
      <w:numFmt w:val="decimal"/>
      <w:lvlText w:val="%1.%2.%3"/>
      <w:lvlJc w:val="left"/>
      <w:pPr>
        <w:ind w:left="730" w:hanging="73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5976EA8"/>
    <w:multiLevelType w:val="multilevel"/>
    <w:tmpl w:val="E8D608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82F72AC"/>
    <w:multiLevelType w:val="hybridMultilevel"/>
    <w:tmpl w:val="2A8497D2"/>
    <w:lvl w:ilvl="0" w:tplc="393C195C">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9E352E7"/>
    <w:multiLevelType w:val="multilevel"/>
    <w:tmpl w:val="5C50E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CBC5ACA"/>
    <w:multiLevelType w:val="multilevel"/>
    <w:tmpl w:val="9AD21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8C6059C"/>
    <w:multiLevelType w:val="multilevel"/>
    <w:tmpl w:val="DE609A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13717723">
    <w:abstractNumId w:val="18"/>
  </w:num>
  <w:num w:numId="2" w16cid:durableId="835611557">
    <w:abstractNumId w:val="4"/>
  </w:num>
  <w:num w:numId="3" w16cid:durableId="1660648915">
    <w:abstractNumId w:val="0"/>
  </w:num>
  <w:num w:numId="4" w16cid:durableId="1440373376">
    <w:abstractNumId w:val="19"/>
  </w:num>
  <w:num w:numId="5" w16cid:durableId="394475880">
    <w:abstractNumId w:val="24"/>
  </w:num>
  <w:num w:numId="6" w16cid:durableId="1634941222">
    <w:abstractNumId w:val="26"/>
  </w:num>
  <w:num w:numId="7" w16cid:durableId="1438646587">
    <w:abstractNumId w:val="13"/>
  </w:num>
  <w:num w:numId="8" w16cid:durableId="1728340064">
    <w:abstractNumId w:val="10"/>
  </w:num>
  <w:num w:numId="9" w16cid:durableId="1111171918">
    <w:abstractNumId w:val="12"/>
  </w:num>
  <w:num w:numId="10" w16cid:durableId="1432506138">
    <w:abstractNumId w:val="8"/>
  </w:num>
  <w:num w:numId="11" w16cid:durableId="557594876">
    <w:abstractNumId w:val="11"/>
  </w:num>
  <w:num w:numId="12" w16cid:durableId="1414929871">
    <w:abstractNumId w:val="5"/>
  </w:num>
  <w:num w:numId="13" w16cid:durableId="290938847">
    <w:abstractNumId w:val="20"/>
  </w:num>
  <w:num w:numId="14" w16cid:durableId="802886894">
    <w:abstractNumId w:val="7"/>
  </w:num>
  <w:num w:numId="15" w16cid:durableId="1126310717">
    <w:abstractNumId w:val="23"/>
  </w:num>
  <w:num w:numId="16" w16cid:durableId="85157054">
    <w:abstractNumId w:val="9"/>
  </w:num>
  <w:num w:numId="17" w16cid:durableId="679892948">
    <w:abstractNumId w:val="2"/>
  </w:num>
  <w:num w:numId="18" w16cid:durableId="46149852">
    <w:abstractNumId w:val="1"/>
  </w:num>
  <w:num w:numId="19" w16cid:durableId="1428308826">
    <w:abstractNumId w:val="17"/>
  </w:num>
  <w:num w:numId="20" w16cid:durableId="502209221">
    <w:abstractNumId w:val="3"/>
  </w:num>
  <w:num w:numId="21" w16cid:durableId="1241478576">
    <w:abstractNumId w:val="16"/>
  </w:num>
  <w:num w:numId="22" w16cid:durableId="1417904028">
    <w:abstractNumId w:val="15"/>
  </w:num>
  <w:num w:numId="23" w16cid:durableId="613513635">
    <w:abstractNumId w:val="25"/>
  </w:num>
  <w:num w:numId="24" w16cid:durableId="626280597">
    <w:abstractNumId w:val="22"/>
  </w:num>
  <w:num w:numId="25" w16cid:durableId="340089672">
    <w:abstractNumId w:val="14"/>
  </w:num>
  <w:num w:numId="26" w16cid:durableId="990256286">
    <w:abstractNumId w:val="21"/>
  </w:num>
  <w:num w:numId="27" w16cid:durableId="77833694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3"/>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31E509F"/>
    <w:rsid w:val="00014A68"/>
    <w:rsid w:val="00020B52"/>
    <w:rsid w:val="0002223D"/>
    <w:rsid w:val="00022F9E"/>
    <w:rsid w:val="00024CB4"/>
    <w:rsid w:val="00036FAA"/>
    <w:rsid w:val="0003706E"/>
    <w:rsid w:val="0004152D"/>
    <w:rsid w:val="0004261F"/>
    <w:rsid w:val="00045A90"/>
    <w:rsid w:val="00067115"/>
    <w:rsid w:val="00076CD4"/>
    <w:rsid w:val="00080780"/>
    <w:rsid w:val="0008453B"/>
    <w:rsid w:val="00095D1A"/>
    <w:rsid w:val="00097337"/>
    <w:rsid w:val="00097708"/>
    <w:rsid w:val="000A5430"/>
    <w:rsid w:val="000A565E"/>
    <w:rsid w:val="000B024D"/>
    <w:rsid w:val="000B474B"/>
    <w:rsid w:val="000B4F47"/>
    <w:rsid w:val="000B584B"/>
    <w:rsid w:val="000C1697"/>
    <w:rsid w:val="000C2AD4"/>
    <w:rsid w:val="000C3D69"/>
    <w:rsid w:val="000C50F7"/>
    <w:rsid w:val="000C616D"/>
    <w:rsid w:val="000E0C19"/>
    <w:rsid w:val="000F0F96"/>
    <w:rsid w:val="000F6A77"/>
    <w:rsid w:val="001016F0"/>
    <w:rsid w:val="00103F70"/>
    <w:rsid w:val="001056EB"/>
    <w:rsid w:val="00111ABE"/>
    <w:rsid w:val="00111FFF"/>
    <w:rsid w:val="001125FE"/>
    <w:rsid w:val="00122B48"/>
    <w:rsid w:val="00137791"/>
    <w:rsid w:val="00151228"/>
    <w:rsid w:val="001646E6"/>
    <w:rsid w:val="00170E85"/>
    <w:rsid w:val="001731EA"/>
    <w:rsid w:val="00177F05"/>
    <w:rsid w:val="00180CBA"/>
    <w:rsid w:val="00187786"/>
    <w:rsid w:val="001900E3"/>
    <w:rsid w:val="001914FC"/>
    <w:rsid w:val="001A3479"/>
    <w:rsid w:val="001A3BD9"/>
    <w:rsid w:val="001A5492"/>
    <w:rsid w:val="001B01DF"/>
    <w:rsid w:val="001B0982"/>
    <w:rsid w:val="001B1FD5"/>
    <w:rsid w:val="001B2B07"/>
    <w:rsid w:val="001B7D8A"/>
    <w:rsid w:val="001C1752"/>
    <w:rsid w:val="001D2D18"/>
    <w:rsid w:val="001E1043"/>
    <w:rsid w:val="001E2925"/>
    <w:rsid w:val="001E5571"/>
    <w:rsid w:val="001F57BF"/>
    <w:rsid w:val="00207FF0"/>
    <w:rsid w:val="002245A4"/>
    <w:rsid w:val="0022664B"/>
    <w:rsid w:val="00230353"/>
    <w:rsid w:val="002352EE"/>
    <w:rsid w:val="002468AF"/>
    <w:rsid w:val="00247FD8"/>
    <w:rsid w:val="002717D5"/>
    <w:rsid w:val="00276AE0"/>
    <w:rsid w:val="002776BB"/>
    <w:rsid w:val="002A173D"/>
    <w:rsid w:val="002B1816"/>
    <w:rsid w:val="002C5B96"/>
    <w:rsid w:val="002C5FC1"/>
    <w:rsid w:val="002D449E"/>
    <w:rsid w:val="002E1319"/>
    <w:rsid w:val="002E541E"/>
    <w:rsid w:val="002F2E45"/>
    <w:rsid w:val="002F49B6"/>
    <w:rsid w:val="002F59DD"/>
    <w:rsid w:val="003020D6"/>
    <w:rsid w:val="003103BF"/>
    <w:rsid w:val="003123C7"/>
    <w:rsid w:val="0031487A"/>
    <w:rsid w:val="00316CB4"/>
    <w:rsid w:val="003203C9"/>
    <w:rsid w:val="0032252E"/>
    <w:rsid w:val="0032317C"/>
    <w:rsid w:val="00323814"/>
    <w:rsid w:val="003256E7"/>
    <w:rsid w:val="00326660"/>
    <w:rsid w:val="003407FC"/>
    <w:rsid w:val="0034380A"/>
    <w:rsid w:val="0034448A"/>
    <w:rsid w:val="00355887"/>
    <w:rsid w:val="00355EC9"/>
    <w:rsid w:val="0036019A"/>
    <w:rsid w:val="0036763C"/>
    <w:rsid w:val="00376921"/>
    <w:rsid w:val="00377CE1"/>
    <w:rsid w:val="00393145"/>
    <w:rsid w:val="00394FC7"/>
    <w:rsid w:val="00395473"/>
    <w:rsid w:val="00395768"/>
    <w:rsid w:val="00396EA3"/>
    <w:rsid w:val="003A783D"/>
    <w:rsid w:val="003B40DA"/>
    <w:rsid w:val="003B7DF8"/>
    <w:rsid w:val="003C2736"/>
    <w:rsid w:val="003C7A6D"/>
    <w:rsid w:val="003D07D9"/>
    <w:rsid w:val="003D0FF3"/>
    <w:rsid w:val="003E04AF"/>
    <w:rsid w:val="003F729D"/>
    <w:rsid w:val="00400F11"/>
    <w:rsid w:val="004044CE"/>
    <w:rsid w:val="00405C1B"/>
    <w:rsid w:val="00442186"/>
    <w:rsid w:val="00451C50"/>
    <w:rsid w:val="0045268E"/>
    <w:rsid w:val="00454D21"/>
    <w:rsid w:val="00457CE7"/>
    <w:rsid w:val="00461CC9"/>
    <w:rsid w:val="00463B4D"/>
    <w:rsid w:val="00485A03"/>
    <w:rsid w:val="00486158"/>
    <w:rsid w:val="00490E5B"/>
    <w:rsid w:val="0049249E"/>
    <w:rsid w:val="00494261"/>
    <w:rsid w:val="004976F7"/>
    <w:rsid w:val="004A1334"/>
    <w:rsid w:val="004A1CBB"/>
    <w:rsid w:val="004A5ABB"/>
    <w:rsid w:val="004B1E84"/>
    <w:rsid w:val="004B20A6"/>
    <w:rsid w:val="004B2A2B"/>
    <w:rsid w:val="004B5498"/>
    <w:rsid w:val="004B6B6F"/>
    <w:rsid w:val="004E44E1"/>
    <w:rsid w:val="004E6854"/>
    <w:rsid w:val="004E71FD"/>
    <w:rsid w:val="004F49B5"/>
    <w:rsid w:val="004F4E63"/>
    <w:rsid w:val="00501B9C"/>
    <w:rsid w:val="00501EE7"/>
    <w:rsid w:val="0050656D"/>
    <w:rsid w:val="005074DA"/>
    <w:rsid w:val="00507A7A"/>
    <w:rsid w:val="00516A5C"/>
    <w:rsid w:val="00517943"/>
    <w:rsid w:val="00522E41"/>
    <w:rsid w:val="00525B96"/>
    <w:rsid w:val="00527961"/>
    <w:rsid w:val="00530CAE"/>
    <w:rsid w:val="00533172"/>
    <w:rsid w:val="005521A6"/>
    <w:rsid w:val="005557C1"/>
    <w:rsid w:val="00555970"/>
    <w:rsid w:val="00555A0C"/>
    <w:rsid w:val="0055773A"/>
    <w:rsid w:val="00557A1E"/>
    <w:rsid w:val="00560C18"/>
    <w:rsid w:val="005625C8"/>
    <w:rsid w:val="00564B2E"/>
    <w:rsid w:val="00587048"/>
    <w:rsid w:val="0058787A"/>
    <w:rsid w:val="0059211C"/>
    <w:rsid w:val="0059794F"/>
    <w:rsid w:val="005A1C5D"/>
    <w:rsid w:val="005A2B8A"/>
    <w:rsid w:val="005A37E0"/>
    <w:rsid w:val="005B5BA4"/>
    <w:rsid w:val="005B776F"/>
    <w:rsid w:val="005C211D"/>
    <w:rsid w:val="005C2930"/>
    <w:rsid w:val="005C6B61"/>
    <w:rsid w:val="005C791E"/>
    <w:rsid w:val="005E1C45"/>
    <w:rsid w:val="005E257A"/>
    <w:rsid w:val="005E28B2"/>
    <w:rsid w:val="005E4653"/>
    <w:rsid w:val="005E6D38"/>
    <w:rsid w:val="005F103B"/>
    <w:rsid w:val="005F1259"/>
    <w:rsid w:val="005F5539"/>
    <w:rsid w:val="005F7C9C"/>
    <w:rsid w:val="00606BF9"/>
    <w:rsid w:val="00623250"/>
    <w:rsid w:val="0062533E"/>
    <w:rsid w:val="00626610"/>
    <w:rsid w:val="00633C0A"/>
    <w:rsid w:val="006404DD"/>
    <w:rsid w:val="00655801"/>
    <w:rsid w:val="00657EB6"/>
    <w:rsid w:val="00662421"/>
    <w:rsid w:val="006626BD"/>
    <w:rsid w:val="006647A8"/>
    <w:rsid w:val="006705E0"/>
    <w:rsid w:val="00673D04"/>
    <w:rsid w:val="006775D7"/>
    <w:rsid w:val="006813F0"/>
    <w:rsid w:val="00682AFF"/>
    <w:rsid w:val="00685D70"/>
    <w:rsid w:val="00694102"/>
    <w:rsid w:val="006A23C7"/>
    <w:rsid w:val="006A3768"/>
    <w:rsid w:val="006A4502"/>
    <w:rsid w:val="006A73FE"/>
    <w:rsid w:val="006B3021"/>
    <w:rsid w:val="006D01BD"/>
    <w:rsid w:val="006D5F35"/>
    <w:rsid w:val="006D639D"/>
    <w:rsid w:val="006E2A93"/>
    <w:rsid w:val="006F5730"/>
    <w:rsid w:val="00704802"/>
    <w:rsid w:val="007057A9"/>
    <w:rsid w:val="007102D6"/>
    <w:rsid w:val="007115F8"/>
    <w:rsid w:val="00713D6A"/>
    <w:rsid w:val="00731A98"/>
    <w:rsid w:val="007344DF"/>
    <w:rsid w:val="00736197"/>
    <w:rsid w:val="0074033B"/>
    <w:rsid w:val="007523AA"/>
    <w:rsid w:val="007612C6"/>
    <w:rsid w:val="007662C8"/>
    <w:rsid w:val="007674B3"/>
    <w:rsid w:val="00772FF9"/>
    <w:rsid w:val="00776A90"/>
    <w:rsid w:val="00776FEF"/>
    <w:rsid w:val="00777C54"/>
    <w:rsid w:val="007850DD"/>
    <w:rsid w:val="00793835"/>
    <w:rsid w:val="00794400"/>
    <w:rsid w:val="0079464D"/>
    <w:rsid w:val="007B120A"/>
    <w:rsid w:val="007B143E"/>
    <w:rsid w:val="007B4D2A"/>
    <w:rsid w:val="007C5CF6"/>
    <w:rsid w:val="007D09D2"/>
    <w:rsid w:val="007D0DDA"/>
    <w:rsid w:val="007D121A"/>
    <w:rsid w:val="007D1FE3"/>
    <w:rsid w:val="007D3545"/>
    <w:rsid w:val="007D4F8C"/>
    <w:rsid w:val="007D5CE4"/>
    <w:rsid w:val="007E62D9"/>
    <w:rsid w:val="007F0827"/>
    <w:rsid w:val="007F39A2"/>
    <w:rsid w:val="007F44F4"/>
    <w:rsid w:val="007F4DE4"/>
    <w:rsid w:val="008017CB"/>
    <w:rsid w:val="00807B6A"/>
    <w:rsid w:val="008110BC"/>
    <w:rsid w:val="0082350B"/>
    <w:rsid w:val="00833188"/>
    <w:rsid w:val="00834483"/>
    <w:rsid w:val="008405BE"/>
    <w:rsid w:val="00850C83"/>
    <w:rsid w:val="0085198E"/>
    <w:rsid w:val="00855124"/>
    <w:rsid w:val="00856D7E"/>
    <w:rsid w:val="00876B41"/>
    <w:rsid w:val="0088017C"/>
    <w:rsid w:val="00883FB6"/>
    <w:rsid w:val="008859DF"/>
    <w:rsid w:val="00895987"/>
    <w:rsid w:val="008A32DB"/>
    <w:rsid w:val="008B2EF2"/>
    <w:rsid w:val="008B6387"/>
    <w:rsid w:val="008C4AF3"/>
    <w:rsid w:val="008C74B1"/>
    <w:rsid w:val="008D021C"/>
    <w:rsid w:val="008D12C6"/>
    <w:rsid w:val="008E2C39"/>
    <w:rsid w:val="008E71F5"/>
    <w:rsid w:val="008F17D8"/>
    <w:rsid w:val="008F308D"/>
    <w:rsid w:val="008F4742"/>
    <w:rsid w:val="008F6309"/>
    <w:rsid w:val="00902178"/>
    <w:rsid w:val="009045C6"/>
    <w:rsid w:val="00905227"/>
    <w:rsid w:val="00906EBE"/>
    <w:rsid w:val="0091569E"/>
    <w:rsid w:val="00927EEB"/>
    <w:rsid w:val="00940D1B"/>
    <w:rsid w:val="00946E04"/>
    <w:rsid w:val="009527D7"/>
    <w:rsid w:val="0096441E"/>
    <w:rsid w:val="00973B3C"/>
    <w:rsid w:val="00981D92"/>
    <w:rsid w:val="00986B60"/>
    <w:rsid w:val="009908DB"/>
    <w:rsid w:val="00994A4A"/>
    <w:rsid w:val="00994C62"/>
    <w:rsid w:val="00996BA6"/>
    <w:rsid w:val="009A7730"/>
    <w:rsid w:val="009B2E52"/>
    <w:rsid w:val="009B4554"/>
    <w:rsid w:val="009C154C"/>
    <w:rsid w:val="009D286E"/>
    <w:rsid w:val="009D6E92"/>
    <w:rsid w:val="009D7AFE"/>
    <w:rsid w:val="00A02458"/>
    <w:rsid w:val="00A026A1"/>
    <w:rsid w:val="00A1187A"/>
    <w:rsid w:val="00A377D0"/>
    <w:rsid w:val="00A45875"/>
    <w:rsid w:val="00A501D3"/>
    <w:rsid w:val="00A507F6"/>
    <w:rsid w:val="00A71CF2"/>
    <w:rsid w:val="00A90B7F"/>
    <w:rsid w:val="00A91386"/>
    <w:rsid w:val="00A91B87"/>
    <w:rsid w:val="00A94E82"/>
    <w:rsid w:val="00A97389"/>
    <w:rsid w:val="00AB14B2"/>
    <w:rsid w:val="00AB3BCF"/>
    <w:rsid w:val="00AB5B05"/>
    <w:rsid w:val="00AB6E3F"/>
    <w:rsid w:val="00AB7F7E"/>
    <w:rsid w:val="00AC3028"/>
    <w:rsid w:val="00AC47B6"/>
    <w:rsid w:val="00AE0F3F"/>
    <w:rsid w:val="00AE229B"/>
    <w:rsid w:val="00AF273B"/>
    <w:rsid w:val="00AF7C66"/>
    <w:rsid w:val="00B02501"/>
    <w:rsid w:val="00B028CF"/>
    <w:rsid w:val="00B07417"/>
    <w:rsid w:val="00B102DC"/>
    <w:rsid w:val="00B23902"/>
    <w:rsid w:val="00B27BD8"/>
    <w:rsid w:val="00B44E53"/>
    <w:rsid w:val="00B47E31"/>
    <w:rsid w:val="00B57199"/>
    <w:rsid w:val="00B60A7E"/>
    <w:rsid w:val="00B61C6D"/>
    <w:rsid w:val="00B6294E"/>
    <w:rsid w:val="00B62A67"/>
    <w:rsid w:val="00B70C84"/>
    <w:rsid w:val="00B72002"/>
    <w:rsid w:val="00B72409"/>
    <w:rsid w:val="00B746D6"/>
    <w:rsid w:val="00B83459"/>
    <w:rsid w:val="00B8745B"/>
    <w:rsid w:val="00BA4441"/>
    <w:rsid w:val="00BB5977"/>
    <w:rsid w:val="00BE40FE"/>
    <w:rsid w:val="00BE5467"/>
    <w:rsid w:val="00C05827"/>
    <w:rsid w:val="00C062C1"/>
    <w:rsid w:val="00C173CA"/>
    <w:rsid w:val="00C21D1B"/>
    <w:rsid w:val="00C230B4"/>
    <w:rsid w:val="00C25AFD"/>
    <w:rsid w:val="00C25C97"/>
    <w:rsid w:val="00C30FE9"/>
    <w:rsid w:val="00C37DC0"/>
    <w:rsid w:val="00C42FB1"/>
    <w:rsid w:val="00C50B67"/>
    <w:rsid w:val="00C537CB"/>
    <w:rsid w:val="00C606F6"/>
    <w:rsid w:val="00C616AD"/>
    <w:rsid w:val="00C634DD"/>
    <w:rsid w:val="00C63E43"/>
    <w:rsid w:val="00C650D7"/>
    <w:rsid w:val="00C73977"/>
    <w:rsid w:val="00C73BD7"/>
    <w:rsid w:val="00C77004"/>
    <w:rsid w:val="00C826F5"/>
    <w:rsid w:val="00C87B83"/>
    <w:rsid w:val="00C93B35"/>
    <w:rsid w:val="00CB4F5F"/>
    <w:rsid w:val="00CC122A"/>
    <w:rsid w:val="00CC56A8"/>
    <w:rsid w:val="00CC7BC1"/>
    <w:rsid w:val="00CD71FB"/>
    <w:rsid w:val="00CE03B1"/>
    <w:rsid w:val="00CE531A"/>
    <w:rsid w:val="00CF5B31"/>
    <w:rsid w:val="00D05EF6"/>
    <w:rsid w:val="00D07644"/>
    <w:rsid w:val="00D13D44"/>
    <w:rsid w:val="00D14A5E"/>
    <w:rsid w:val="00D16D05"/>
    <w:rsid w:val="00D26553"/>
    <w:rsid w:val="00D27C2D"/>
    <w:rsid w:val="00D310D0"/>
    <w:rsid w:val="00D33223"/>
    <w:rsid w:val="00D3574E"/>
    <w:rsid w:val="00D35A97"/>
    <w:rsid w:val="00D44B60"/>
    <w:rsid w:val="00D46249"/>
    <w:rsid w:val="00D701BC"/>
    <w:rsid w:val="00D71F5D"/>
    <w:rsid w:val="00D74228"/>
    <w:rsid w:val="00D76A23"/>
    <w:rsid w:val="00D76B03"/>
    <w:rsid w:val="00D770C4"/>
    <w:rsid w:val="00D81283"/>
    <w:rsid w:val="00D82DC1"/>
    <w:rsid w:val="00D8552F"/>
    <w:rsid w:val="00D86387"/>
    <w:rsid w:val="00D9305F"/>
    <w:rsid w:val="00D93C11"/>
    <w:rsid w:val="00DA0138"/>
    <w:rsid w:val="00DA410F"/>
    <w:rsid w:val="00DA46C6"/>
    <w:rsid w:val="00DA6505"/>
    <w:rsid w:val="00DB1EF0"/>
    <w:rsid w:val="00DC4179"/>
    <w:rsid w:val="00DD18DC"/>
    <w:rsid w:val="00DD32DF"/>
    <w:rsid w:val="00DD46C7"/>
    <w:rsid w:val="00DE0373"/>
    <w:rsid w:val="00DE21A7"/>
    <w:rsid w:val="00DE3248"/>
    <w:rsid w:val="00DE6F77"/>
    <w:rsid w:val="00DF0155"/>
    <w:rsid w:val="00DF3392"/>
    <w:rsid w:val="00DF3B66"/>
    <w:rsid w:val="00E01481"/>
    <w:rsid w:val="00E078C1"/>
    <w:rsid w:val="00E13FD0"/>
    <w:rsid w:val="00E16F90"/>
    <w:rsid w:val="00E17BD2"/>
    <w:rsid w:val="00E263AF"/>
    <w:rsid w:val="00E50B91"/>
    <w:rsid w:val="00E50C40"/>
    <w:rsid w:val="00E5763F"/>
    <w:rsid w:val="00E61F31"/>
    <w:rsid w:val="00E74EF0"/>
    <w:rsid w:val="00EA1B43"/>
    <w:rsid w:val="00EA1FBE"/>
    <w:rsid w:val="00EA7B78"/>
    <w:rsid w:val="00EB14F3"/>
    <w:rsid w:val="00EB2003"/>
    <w:rsid w:val="00EB287D"/>
    <w:rsid w:val="00EB4726"/>
    <w:rsid w:val="00EC4F16"/>
    <w:rsid w:val="00ED0335"/>
    <w:rsid w:val="00ED6DD8"/>
    <w:rsid w:val="00EE33D3"/>
    <w:rsid w:val="00EF10E6"/>
    <w:rsid w:val="00EF5B89"/>
    <w:rsid w:val="00EF6F9B"/>
    <w:rsid w:val="00F015C2"/>
    <w:rsid w:val="00F021AC"/>
    <w:rsid w:val="00F10141"/>
    <w:rsid w:val="00F11140"/>
    <w:rsid w:val="00F13271"/>
    <w:rsid w:val="00F17FAA"/>
    <w:rsid w:val="00F24765"/>
    <w:rsid w:val="00F25CDD"/>
    <w:rsid w:val="00F41BA3"/>
    <w:rsid w:val="00F441FC"/>
    <w:rsid w:val="00F45334"/>
    <w:rsid w:val="00F46014"/>
    <w:rsid w:val="00F527FF"/>
    <w:rsid w:val="00F540C7"/>
    <w:rsid w:val="00F56B03"/>
    <w:rsid w:val="00F61F23"/>
    <w:rsid w:val="00F6303C"/>
    <w:rsid w:val="00F63958"/>
    <w:rsid w:val="00F63AEF"/>
    <w:rsid w:val="00F65C87"/>
    <w:rsid w:val="00F66843"/>
    <w:rsid w:val="00F726B5"/>
    <w:rsid w:val="00F72FF2"/>
    <w:rsid w:val="00F75A60"/>
    <w:rsid w:val="00F8165B"/>
    <w:rsid w:val="00F85A60"/>
    <w:rsid w:val="00F873E2"/>
    <w:rsid w:val="00F92F30"/>
    <w:rsid w:val="00FA4D76"/>
    <w:rsid w:val="00FA5118"/>
    <w:rsid w:val="00FC0DBC"/>
    <w:rsid w:val="00FC46AA"/>
    <w:rsid w:val="00FD1045"/>
    <w:rsid w:val="00FD4E70"/>
    <w:rsid w:val="00FD5664"/>
    <w:rsid w:val="00FD5DF4"/>
    <w:rsid w:val="00FE11EE"/>
    <w:rsid w:val="00FE5824"/>
    <w:rsid w:val="00FF3D3A"/>
    <w:rsid w:val="031E50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31E509F"/>
  <w15:chartTrackingRefBased/>
  <w15:docId w15:val="{E8C6C9E3-693B-4E64-84FD-47386D157D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TOCHeading">
    <w:name w:val="TOC Heading"/>
    <w:basedOn w:val="Heading1"/>
    <w:next w:val="Normal"/>
    <w:uiPriority w:val="39"/>
    <w:unhideWhenUsed/>
    <w:qFormat/>
    <w:rsid w:val="00B62A67"/>
    <w:pPr>
      <w:spacing w:before="240" w:after="0" w:line="259" w:lineRule="auto"/>
      <w:outlineLvl w:val="9"/>
    </w:pPr>
    <w:rPr>
      <w:sz w:val="32"/>
      <w:szCs w:val="32"/>
      <w:lang w:eastAsia="en-GB"/>
    </w:rPr>
  </w:style>
  <w:style w:type="paragraph" w:styleId="ListParagraph">
    <w:name w:val="List Paragraph"/>
    <w:basedOn w:val="Normal"/>
    <w:uiPriority w:val="34"/>
    <w:qFormat/>
    <w:rsid w:val="009D7AFE"/>
    <w:pPr>
      <w:ind w:left="720"/>
      <w:contextualSpacing/>
    </w:pPr>
  </w:style>
  <w:style w:type="paragraph" w:styleId="NormalWeb">
    <w:name w:val="Normal (Web)"/>
    <w:basedOn w:val="Normal"/>
    <w:uiPriority w:val="99"/>
    <w:semiHidden/>
    <w:unhideWhenUsed/>
    <w:rsid w:val="00530CAE"/>
    <w:pPr>
      <w:spacing w:before="100" w:beforeAutospacing="1" w:after="100" w:afterAutospacing="1" w:line="240" w:lineRule="auto"/>
    </w:pPr>
    <w:rPr>
      <w:rFonts w:ascii="Times New Roman" w:eastAsia="Times New Roman" w:hAnsi="Times New Roman" w:cs="Times New Roman"/>
      <w:lang w:eastAsia="en-GB"/>
    </w:rPr>
  </w:style>
  <w:style w:type="character" w:styleId="PlaceholderText">
    <w:name w:val="Placeholder Text"/>
    <w:basedOn w:val="DefaultParagraphFont"/>
    <w:uiPriority w:val="99"/>
    <w:semiHidden/>
    <w:rsid w:val="007674B3"/>
    <w:rPr>
      <w:color w:val="666666"/>
    </w:rPr>
  </w:style>
  <w:style w:type="paragraph" w:styleId="Caption">
    <w:name w:val="caption"/>
    <w:basedOn w:val="Normal"/>
    <w:next w:val="Normal"/>
    <w:uiPriority w:val="35"/>
    <w:unhideWhenUsed/>
    <w:qFormat/>
    <w:rsid w:val="00F015C2"/>
    <w:pPr>
      <w:spacing w:after="200" w:line="240" w:lineRule="auto"/>
    </w:pPr>
    <w:rPr>
      <w:i/>
      <w:iCs/>
      <w:color w:val="0E2841" w:themeColor="text2"/>
      <w:sz w:val="18"/>
      <w:szCs w:val="18"/>
    </w:rPr>
  </w:style>
  <w:style w:type="paragraph" w:styleId="Header">
    <w:name w:val="header"/>
    <w:basedOn w:val="Normal"/>
    <w:link w:val="HeaderChar"/>
    <w:uiPriority w:val="99"/>
    <w:unhideWhenUsed/>
    <w:rsid w:val="00CB4F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B4F5F"/>
  </w:style>
  <w:style w:type="paragraph" w:styleId="Footer">
    <w:name w:val="footer"/>
    <w:basedOn w:val="Normal"/>
    <w:link w:val="FooterChar"/>
    <w:uiPriority w:val="99"/>
    <w:unhideWhenUsed/>
    <w:rsid w:val="00CB4F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B4F5F"/>
  </w:style>
  <w:style w:type="paragraph" w:styleId="TableofFigures">
    <w:name w:val="table of figures"/>
    <w:basedOn w:val="Normal"/>
    <w:next w:val="Normal"/>
    <w:uiPriority w:val="99"/>
    <w:unhideWhenUsed/>
    <w:rsid w:val="00036FAA"/>
    <w:pPr>
      <w:spacing w:after="0"/>
    </w:pPr>
  </w:style>
  <w:style w:type="character" w:styleId="Hyperlink">
    <w:name w:val="Hyperlink"/>
    <w:basedOn w:val="DefaultParagraphFont"/>
    <w:uiPriority w:val="99"/>
    <w:unhideWhenUsed/>
    <w:rsid w:val="00036FAA"/>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8A1E75-A7DB-47B7-BB6E-948487A610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6029</Words>
  <Characters>40799</Characters>
  <Application>Microsoft Office Word</Application>
  <DocSecurity>0</DocSecurity>
  <Lines>769</Lines>
  <Paragraphs>266</Paragraphs>
  <ScaleCrop>false</ScaleCrop>
  <Company/>
  <LinksUpToDate>false</LinksUpToDate>
  <CharactersWithSpaces>46562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Carissa George (2316858)</dc:creator>
  <cp:keywords/>
  <dc:description/>
  <cp:lastModifiedBy>Carissa George (2316858)</cp:lastModifiedBy>
  <cp:revision>509</cp:revision>
  <dcterms:created xsi:type="dcterms:W3CDTF">2025-10-28T19:43:00Z</dcterms:created>
  <dcterms:modified xsi:type="dcterms:W3CDTF">2025-11-15T23:48:00Z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4c26e4e0-14aa-4d0b-91d8-305b8d69ba56</vt:lpwstr>
  </property>
</Properties>
</file>