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EF409" w14:textId="383B10BC" w:rsidR="00AD5870" w:rsidRPr="00AD5870" w:rsidRDefault="00AD5870" w:rsidP="00AD5870">
      <w:pPr>
        <w:pStyle w:val="Heading1"/>
        <w:spacing w:before="322" w:after="322"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 xml:space="preserve">Title: Critical Assessment of </w:t>
      </w:r>
      <w:proofErr w:type="spellStart"/>
      <w:r w:rsidRPr="00AD5870">
        <w:rPr>
          <w:rFonts w:ascii="Times New Roman" w:eastAsia="Aptos" w:hAnsi="Times New Roman" w:cs="Times New Roman"/>
          <w:color w:val="000000" w:themeColor="text1"/>
          <w:sz w:val="24"/>
          <w:szCs w:val="24"/>
        </w:rPr>
        <w:t>Lyster</w:t>
      </w:r>
      <w:proofErr w:type="spellEnd"/>
      <w:r w:rsidRPr="00AD5870">
        <w:rPr>
          <w:rFonts w:ascii="Times New Roman" w:eastAsia="Aptos" w:hAnsi="Times New Roman" w:cs="Times New Roman"/>
          <w:color w:val="000000" w:themeColor="text1"/>
          <w:sz w:val="24"/>
          <w:szCs w:val="24"/>
        </w:rPr>
        <w:t xml:space="preserve"> &amp; </w:t>
      </w:r>
      <w:proofErr w:type="spellStart"/>
      <w:r w:rsidRPr="00AD5870">
        <w:rPr>
          <w:rFonts w:ascii="Times New Roman" w:eastAsia="Aptos" w:hAnsi="Times New Roman" w:cs="Times New Roman"/>
          <w:color w:val="000000" w:themeColor="text1"/>
          <w:sz w:val="24"/>
          <w:szCs w:val="24"/>
        </w:rPr>
        <w:t>Ranta</w:t>
      </w:r>
      <w:proofErr w:type="spellEnd"/>
      <w:r w:rsidRPr="00AD5870">
        <w:rPr>
          <w:rFonts w:ascii="Times New Roman" w:eastAsia="Aptos" w:hAnsi="Times New Roman" w:cs="Times New Roman"/>
          <w:color w:val="000000" w:themeColor="text1"/>
          <w:sz w:val="24"/>
          <w:szCs w:val="24"/>
        </w:rPr>
        <w:t xml:space="preserve"> (1997): Corrective Feedback and Learner Uptake</w:t>
      </w:r>
    </w:p>
    <w:p w14:paraId="2654E845" w14:textId="77777777" w:rsidR="00AD5870" w:rsidRPr="00AD5870" w:rsidRDefault="00AD5870" w:rsidP="00AD5870">
      <w:p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 xml:space="preserve">Lecturer: </w:t>
      </w:r>
      <w:r w:rsidRPr="00AD5870">
        <w:rPr>
          <w:rFonts w:ascii="Times New Roman" w:hAnsi="Times New Roman" w:cs="Times New Roman"/>
          <w:color w:val="000000" w:themeColor="text1"/>
        </w:rPr>
        <w:t>Dr Jessica Clapham</w:t>
      </w:r>
    </w:p>
    <w:p w14:paraId="225F613B" w14:textId="17EAC1F9" w:rsidR="00AD5870" w:rsidRPr="00AD5870" w:rsidRDefault="00AD5870" w:rsidP="00AD5870">
      <w:p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 xml:space="preserve">Student Name: </w:t>
      </w:r>
      <w:proofErr w:type="spellStart"/>
      <w:r w:rsidRPr="00AD5870">
        <w:rPr>
          <w:rFonts w:ascii="Times New Roman" w:eastAsia="Aptos" w:hAnsi="Times New Roman" w:cs="Times New Roman"/>
          <w:color w:val="000000" w:themeColor="text1"/>
        </w:rPr>
        <w:t>Melis</w:t>
      </w:r>
      <w:proofErr w:type="spellEnd"/>
      <w:r w:rsidRPr="00AD5870">
        <w:rPr>
          <w:rFonts w:ascii="Times New Roman" w:eastAsia="Aptos" w:hAnsi="Times New Roman" w:cs="Times New Roman"/>
          <w:color w:val="000000" w:themeColor="text1"/>
        </w:rPr>
        <w:t xml:space="preserve"> Shaban</w:t>
      </w:r>
    </w:p>
    <w:p w14:paraId="4021D6D2" w14:textId="6B06A2E6" w:rsidR="00AD5870" w:rsidRPr="00AD5870" w:rsidRDefault="00AD5870" w:rsidP="00AD5870">
      <w:p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Student Number:</w:t>
      </w:r>
      <w:r w:rsidRPr="00AD5870">
        <w:rPr>
          <w:rFonts w:ascii="Times New Roman" w:eastAsia="Arial" w:hAnsi="Times New Roman" w:cs="Times New Roman"/>
          <w:color w:val="000000" w:themeColor="text1"/>
        </w:rPr>
        <w:t xml:space="preserve"> 22120</w:t>
      </w:r>
      <w:r w:rsidRPr="00AD5870">
        <w:rPr>
          <w:rFonts w:ascii="Times New Roman" w:eastAsia="Arial" w:hAnsi="Times New Roman" w:cs="Times New Roman"/>
          <w:color w:val="000000" w:themeColor="text1"/>
        </w:rPr>
        <w:t>35</w:t>
      </w:r>
    </w:p>
    <w:p w14:paraId="6D3B0D94" w14:textId="77777777" w:rsidR="00AD5870" w:rsidRPr="00AD5870" w:rsidRDefault="00AD5870" w:rsidP="00AD5870">
      <w:p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Module: Key Issues in Linguistics 7004</w:t>
      </w:r>
    </w:p>
    <w:p w14:paraId="0D84D810" w14:textId="1B0F2E65" w:rsidR="00AD5870" w:rsidRPr="00AD5870" w:rsidRDefault="00AD5870" w:rsidP="00AD5870">
      <w:pPr>
        <w:pStyle w:val="Heading3"/>
        <w:spacing w:line="360" w:lineRule="auto"/>
        <w:jc w:val="both"/>
        <w:rPr>
          <w:rFonts w:ascii="Times New Roman" w:hAnsi="Times New Roman" w:cs="Times New Roman"/>
          <w:b/>
          <w:bCs/>
          <w:color w:val="000000" w:themeColor="text1"/>
          <w:sz w:val="24"/>
          <w:szCs w:val="24"/>
        </w:rPr>
      </w:pPr>
      <w:r w:rsidRPr="00AD5870">
        <w:rPr>
          <w:rFonts w:ascii="Times New Roman" w:hAnsi="Times New Roman" w:cs="Times New Roman"/>
          <w:color w:val="000000" w:themeColor="text1"/>
          <w:sz w:val="24"/>
          <w:szCs w:val="24"/>
        </w:rPr>
        <w:t xml:space="preserve">Wordcount: </w:t>
      </w:r>
      <w:r w:rsidRPr="00AD5870">
        <w:rPr>
          <w:rFonts w:ascii="Times New Roman" w:hAnsi="Times New Roman" w:cs="Times New Roman"/>
          <w:color w:val="000000" w:themeColor="text1"/>
          <w:sz w:val="24"/>
          <w:szCs w:val="24"/>
        </w:rPr>
        <w:t>2172</w:t>
      </w:r>
    </w:p>
    <w:p w14:paraId="3327F737" w14:textId="77777777" w:rsidR="00AD5870" w:rsidRPr="00AD5870" w:rsidRDefault="00AD5870" w:rsidP="002A16E9">
      <w:pPr>
        <w:pStyle w:val="Heading1"/>
        <w:spacing w:before="322" w:after="322" w:line="360" w:lineRule="auto"/>
        <w:jc w:val="both"/>
        <w:rPr>
          <w:rFonts w:ascii="Times New Roman" w:eastAsia="Aptos" w:hAnsi="Times New Roman" w:cs="Times New Roman"/>
          <w:color w:val="000000" w:themeColor="text1"/>
          <w:sz w:val="24"/>
          <w:szCs w:val="24"/>
        </w:rPr>
      </w:pPr>
    </w:p>
    <w:p w14:paraId="04D9980C" w14:textId="77777777" w:rsidR="00AD5870" w:rsidRPr="00AD5870" w:rsidRDefault="00AD5870" w:rsidP="002A16E9">
      <w:pPr>
        <w:pStyle w:val="Heading1"/>
        <w:spacing w:before="322" w:after="322" w:line="360" w:lineRule="auto"/>
        <w:jc w:val="both"/>
        <w:rPr>
          <w:rFonts w:ascii="Times New Roman" w:eastAsia="Aptos" w:hAnsi="Times New Roman" w:cs="Times New Roman"/>
          <w:color w:val="000000" w:themeColor="text1"/>
          <w:sz w:val="24"/>
          <w:szCs w:val="24"/>
        </w:rPr>
      </w:pPr>
    </w:p>
    <w:p w14:paraId="721F0121" w14:textId="77777777" w:rsidR="00AD5870" w:rsidRPr="00AD5870" w:rsidRDefault="00AD5870" w:rsidP="002A16E9">
      <w:pPr>
        <w:pStyle w:val="Heading1"/>
        <w:spacing w:before="322" w:after="322" w:line="360" w:lineRule="auto"/>
        <w:jc w:val="both"/>
        <w:rPr>
          <w:rFonts w:ascii="Times New Roman" w:eastAsia="Aptos" w:hAnsi="Times New Roman" w:cs="Times New Roman"/>
          <w:color w:val="000000" w:themeColor="text1"/>
          <w:sz w:val="24"/>
          <w:szCs w:val="24"/>
        </w:rPr>
      </w:pPr>
    </w:p>
    <w:p w14:paraId="22FA63D5" w14:textId="77777777" w:rsidR="00AD5870" w:rsidRPr="00AD5870" w:rsidRDefault="00AD5870" w:rsidP="00AD5870">
      <w:pPr>
        <w:rPr>
          <w:rFonts w:ascii="Times New Roman" w:hAnsi="Times New Roman" w:cs="Times New Roman"/>
        </w:rPr>
      </w:pPr>
    </w:p>
    <w:p w14:paraId="4C59F821" w14:textId="77777777" w:rsidR="00AD5870" w:rsidRPr="00AD5870" w:rsidRDefault="00AD5870" w:rsidP="00AD5870">
      <w:pPr>
        <w:rPr>
          <w:rFonts w:ascii="Times New Roman" w:hAnsi="Times New Roman" w:cs="Times New Roman"/>
        </w:rPr>
      </w:pPr>
    </w:p>
    <w:p w14:paraId="7D91F5E3" w14:textId="77777777" w:rsidR="00AD5870" w:rsidRPr="00AD5870" w:rsidRDefault="00AD5870" w:rsidP="00AD5870">
      <w:pPr>
        <w:rPr>
          <w:rFonts w:ascii="Times New Roman" w:hAnsi="Times New Roman" w:cs="Times New Roman"/>
        </w:rPr>
      </w:pPr>
    </w:p>
    <w:p w14:paraId="1B94F421" w14:textId="77777777" w:rsidR="00AD5870" w:rsidRPr="00AD5870" w:rsidRDefault="00AD5870" w:rsidP="00AD5870">
      <w:pPr>
        <w:rPr>
          <w:rFonts w:ascii="Times New Roman" w:hAnsi="Times New Roman" w:cs="Times New Roman"/>
        </w:rPr>
      </w:pPr>
    </w:p>
    <w:p w14:paraId="3AAD10F2" w14:textId="77777777" w:rsidR="00AD5870" w:rsidRPr="00AD5870" w:rsidRDefault="00AD5870" w:rsidP="00AD5870">
      <w:pPr>
        <w:rPr>
          <w:rFonts w:ascii="Times New Roman" w:hAnsi="Times New Roman" w:cs="Times New Roman"/>
        </w:rPr>
      </w:pPr>
    </w:p>
    <w:p w14:paraId="0E066B05" w14:textId="77777777" w:rsidR="00AD5870" w:rsidRPr="00AD5870" w:rsidRDefault="00AD5870" w:rsidP="00AD5870">
      <w:pPr>
        <w:rPr>
          <w:rFonts w:ascii="Times New Roman" w:hAnsi="Times New Roman" w:cs="Times New Roman"/>
        </w:rPr>
      </w:pPr>
    </w:p>
    <w:p w14:paraId="044F2AD3" w14:textId="77777777" w:rsidR="00AD5870" w:rsidRPr="00AD5870" w:rsidRDefault="00AD5870" w:rsidP="00AD5870">
      <w:pPr>
        <w:rPr>
          <w:rFonts w:ascii="Times New Roman" w:hAnsi="Times New Roman" w:cs="Times New Roman"/>
        </w:rPr>
      </w:pPr>
    </w:p>
    <w:p w14:paraId="3A1C952B" w14:textId="77777777" w:rsidR="00AD5870" w:rsidRPr="00AD5870" w:rsidRDefault="00AD5870" w:rsidP="00AD5870">
      <w:pPr>
        <w:rPr>
          <w:rFonts w:ascii="Times New Roman" w:hAnsi="Times New Roman" w:cs="Times New Roman"/>
        </w:rPr>
      </w:pPr>
    </w:p>
    <w:p w14:paraId="3192951D" w14:textId="77777777" w:rsidR="00AD5870" w:rsidRPr="00AD5870" w:rsidRDefault="00AD5870" w:rsidP="00AD5870">
      <w:pPr>
        <w:rPr>
          <w:rFonts w:ascii="Times New Roman" w:hAnsi="Times New Roman" w:cs="Times New Roman"/>
        </w:rPr>
      </w:pPr>
    </w:p>
    <w:p w14:paraId="49690361" w14:textId="77777777" w:rsidR="00AD5870" w:rsidRPr="00AD5870" w:rsidRDefault="00AD5870" w:rsidP="00AD5870">
      <w:pPr>
        <w:rPr>
          <w:rFonts w:ascii="Times New Roman" w:hAnsi="Times New Roman" w:cs="Times New Roman"/>
        </w:rPr>
      </w:pPr>
    </w:p>
    <w:p w14:paraId="6CCC5E05" w14:textId="77777777" w:rsidR="00AD5870" w:rsidRPr="00AD5870" w:rsidRDefault="00AD5870" w:rsidP="00AD5870">
      <w:pPr>
        <w:rPr>
          <w:rFonts w:ascii="Times New Roman" w:hAnsi="Times New Roman" w:cs="Times New Roman"/>
        </w:rPr>
      </w:pPr>
    </w:p>
    <w:p w14:paraId="68DE25C5" w14:textId="77777777" w:rsidR="00AD5870" w:rsidRPr="00AD5870" w:rsidRDefault="00AD5870" w:rsidP="00AD5870">
      <w:pPr>
        <w:rPr>
          <w:rFonts w:ascii="Times New Roman" w:hAnsi="Times New Roman" w:cs="Times New Roman"/>
        </w:rPr>
      </w:pPr>
    </w:p>
    <w:p w14:paraId="3839E1BA" w14:textId="77777777" w:rsidR="00AD5870" w:rsidRPr="00AD5870" w:rsidRDefault="00AD5870" w:rsidP="00AD5870">
      <w:pPr>
        <w:rPr>
          <w:rFonts w:ascii="Times New Roman" w:hAnsi="Times New Roman" w:cs="Times New Roman"/>
        </w:rPr>
      </w:pPr>
    </w:p>
    <w:p w14:paraId="7E6DAC9C" w14:textId="2AAAB643" w:rsidR="00514FEB" w:rsidRPr="00AD5870" w:rsidRDefault="3CD7A465" w:rsidP="002A16E9">
      <w:pPr>
        <w:pStyle w:val="Heading1"/>
        <w:spacing w:before="322" w:after="322"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lastRenderedPageBreak/>
        <w:t xml:space="preserve">Critical Assessment of </w:t>
      </w:r>
      <w:proofErr w:type="spellStart"/>
      <w:r w:rsidRPr="00AD5870">
        <w:rPr>
          <w:rFonts w:ascii="Times New Roman" w:eastAsia="Aptos" w:hAnsi="Times New Roman" w:cs="Times New Roman"/>
          <w:color w:val="000000" w:themeColor="text1"/>
          <w:sz w:val="24"/>
          <w:szCs w:val="24"/>
        </w:rPr>
        <w:t>Lyster</w:t>
      </w:r>
      <w:proofErr w:type="spellEnd"/>
      <w:r w:rsidRPr="00AD5870">
        <w:rPr>
          <w:rFonts w:ascii="Times New Roman" w:eastAsia="Aptos" w:hAnsi="Times New Roman" w:cs="Times New Roman"/>
          <w:color w:val="000000" w:themeColor="text1"/>
          <w:sz w:val="24"/>
          <w:szCs w:val="24"/>
        </w:rPr>
        <w:t xml:space="preserve"> &amp; </w:t>
      </w:r>
      <w:proofErr w:type="spellStart"/>
      <w:r w:rsidRPr="00AD5870">
        <w:rPr>
          <w:rFonts w:ascii="Times New Roman" w:eastAsia="Aptos" w:hAnsi="Times New Roman" w:cs="Times New Roman"/>
          <w:color w:val="000000" w:themeColor="text1"/>
          <w:sz w:val="24"/>
          <w:szCs w:val="24"/>
        </w:rPr>
        <w:t>Ranta</w:t>
      </w:r>
      <w:proofErr w:type="spellEnd"/>
      <w:r w:rsidRPr="00AD5870">
        <w:rPr>
          <w:rFonts w:ascii="Times New Roman" w:eastAsia="Aptos" w:hAnsi="Times New Roman" w:cs="Times New Roman"/>
          <w:color w:val="000000" w:themeColor="text1"/>
          <w:sz w:val="24"/>
          <w:szCs w:val="24"/>
        </w:rPr>
        <w:t xml:space="preserve"> (1997): Corrective Feedback and Learner Uptake</w:t>
      </w:r>
    </w:p>
    <w:p w14:paraId="02A31BCF" w14:textId="6BFC3D26" w:rsidR="00514FEB" w:rsidRPr="00AD5870" w:rsidRDefault="3CD7A465" w:rsidP="002A16E9">
      <w:pPr>
        <w:pStyle w:val="Heading2"/>
        <w:spacing w:before="299" w:after="299"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Introduction</w:t>
      </w:r>
    </w:p>
    <w:p w14:paraId="57D8F9B7" w14:textId="3626E7B1"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The article I have chosen to assess is </w:t>
      </w: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and </w:t>
      </w:r>
      <w:proofErr w:type="spellStart"/>
      <w:r w:rsidRPr="00AD5870">
        <w:rPr>
          <w:rFonts w:ascii="Times New Roman" w:eastAsia="Aptos" w:hAnsi="Times New Roman" w:cs="Times New Roman"/>
          <w:color w:val="000000" w:themeColor="text1"/>
        </w:rPr>
        <w:t>Ranta</w:t>
      </w:r>
      <w:proofErr w:type="spellEnd"/>
      <w:r w:rsidRPr="00AD5870">
        <w:rPr>
          <w:rFonts w:ascii="Times New Roman" w:eastAsia="Aptos" w:hAnsi="Times New Roman" w:cs="Times New Roman"/>
          <w:color w:val="000000" w:themeColor="text1"/>
        </w:rPr>
        <w:t xml:space="preserve"> (1997), a highly cited empirical study that examines how different types of oral corrective feedback (CF) in classroom interaction are followed by immediate learner uptake (on-the-spot repair). It is a strong fit for this assignment and for MA TESOL generally. First, it is an original research article in a leading peer-reviewed journal (</w:t>
      </w:r>
      <w:r w:rsidRPr="00AD5870">
        <w:rPr>
          <w:rFonts w:ascii="Times New Roman" w:eastAsia="Aptos" w:hAnsi="Times New Roman" w:cs="Times New Roman"/>
          <w:i/>
          <w:iCs/>
          <w:color w:val="000000" w:themeColor="text1"/>
        </w:rPr>
        <w:t>Studies in Second Language Acquisition</w:t>
      </w:r>
      <w:r w:rsidRPr="00AD5870">
        <w:rPr>
          <w:rFonts w:ascii="Times New Roman" w:eastAsia="Aptos" w:hAnsi="Times New Roman" w:cs="Times New Roman"/>
          <w:color w:val="000000" w:themeColor="text1"/>
        </w:rPr>
        <w:t>). Second, it engages a clearly identifiable theoretical tradition—interactionist SLA and the Output Hypothesis—and makes predictions that can be operationalised in observable classroom behaviour. Third, the design is ecologically valid: the data come from natural lessons, not laboratory tasks. That authenticity makes it useful for pedagogy, but it also creates interpretive challenges (e.g., teacher choice is not random, and the outcome measure—“uptake”—is immediate rather than long-term).</w:t>
      </w:r>
      <w:r w:rsidR="00000000" w:rsidRPr="00AD5870">
        <w:rPr>
          <w:rFonts w:ascii="Times New Roman" w:hAnsi="Times New Roman" w:cs="Times New Roman"/>
          <w:color w:val="000000" w:themeColor="text1"/>
        </w:rPr>
        <w:br/>
      </w:r>
      <w:r w:rsidRPr="00AD5870">
        <w:rPr>
          <w:rFonts w:ascii="Times New Roman" w:eastAsia="Aptos" w:hAnsi="Times New Roman" w:cs="Times New Roman"/>
          <w:color w:val="000000" w:themeColor="text1"/>
        </w:rPr>
        <w:t xml:space="preserve"> In this critique, I evaluate: (1) the theoretical grounding and the logic from theory to hypotheses; (2) the methodology, including instruments, coding, analysis, fit to the hypotheses, confounds, and viable alternatives; and (3) the results and their relevance to theory, including how well the empirical cycle (data → hypothesis → theory) is completed, what the limits are, and where this leaves classroom practice and future research.</w:t>
      </w:r>
    </w:p>
    <w:p w14:paraId="654AEB43" w14:textId="67CA1F69" w:rsidR="00514FEB" w:rsidRPr="00AD5870" w:rsidRDefault="00514FEB" w:rsidP="002A16E9">
      <w:pPr>
        <w:spacing w:after="0" w:line="360" w:lineRule="auto"/>
        <w:jc w:val="both"/>
        <w:rPr>
          <w:rFonts w:ascii="Times New Roman" w:hAnsi="Times New Roman" w:cs="Times New Roman"/>
          <w:color w:val="000000" w:themeColor="text1"/>
        </w:rPr>
      </w:pPr>
    </w:p>
    <w:p w14:paraId="29EAD4C8" w14:textId="0F19AF82" w:rsidR="00514FEB" w:rsidRPr="00AD5870" w:rsidRDefault="3CD7A465" w:rsidP="002A16E9">
      <w:pPr>
        <w:pStyle w:val="Heading2"/>
        <w:spacing w:before="299" w:after="299"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Question 1: Scientific method / theoretical considerations</w:t>
      </w:r>
    </w:p>
    <w:p w14:paraId="1FF9A979" w14:textId="13552671"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Theory and core claims</w:t>
      </w:r>
    </w:p>
    <w:p w14:paraId="3E471FB3" w14:textId="6905D7CF" w:rsidR="00514FEB" w:rsidRPr="00AD5870" w:rsidRDefault="3CD7A46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and </w:t>
      </w:r>
      <w:proofErr w:type="spellStart"/>
      <w:r w:rsidRPr="00AD5870">
        <w:rPr>
          <w:rFonts w:ascii="Times New Roman" w:eastAsia="Aptos" w:hAnsi="Times New Roman" w:cs="Times New Roman"/>
          <w:color w:val="000000" w:themeColor="text1"/>
        </w:rPr>
        <w:t>Ranta’s</w:t>
      </w:r>
      <w:proofErr w:type="spellEnd"/>
      <w:r w:rsidRPr="00AD5870">
        <w:rPr>
          <w:rFonts w:ascii="Times New Roman" w:eastAsia="Aptos" w:hAnsi="Times New Roman" w:cs="Times New Roman"/>
          <w:color w:val="000000" w:themeColor="text1"/>
        </w:rPr>
        <w:t xml:space="preserve"> study is grounded in an interactionist view of SLA in which negotiation of form during communication can support learning via two key mechanisms. The first is noticing—feedback makes an error salient and directs attention to linguistic form. The second is pushed output (Swain), where learners are encouraged to produce or modify their utterances. In this framework, the design of the feedback </w:t>
      </w:r>
      <w:proofErr w:type="gramStart"/>
      <w:r w:rsidRPr="00AD5870">
        <w:rPr>
          <w:rFonts w:ascii="Times New Roman" w:eastAsia="Aptos" w:hAnsi="Times New Roman" w:cs="Times New Roman"/>
          <w:color w:val="000000" w:themeColor="text1"/>
        </w:rPr>
        <w:t>move</w:t>
      </w:r>
      <w:proofErr w:type="gramEnd"/>
      <w:r w:rsidRPr="00AD5870">
        <w:rPr>
          <w:rFonts w:ascii="Times New Roman" w:eastAsia="Aptos" w:hAnsi="Times New Roman" w:cs="Times New Roman"/>
          <w:color w:val="000000" w:themeColor="text1"/>
        </w:rPr>
        <w:t xml:space="preserve"> matters: feedback that requires a learner to respond is predicted to engage these mechanisms more strongly than feedback that supplies the correct form for the learner.</w:t>
      </w:r>
    </w:p>
    <w:p w14:paraId="70601700" w14:textId="78DE44FC"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study’s mechanistic chain can be summarised as:</w:t>
      </w:r>
      <w:r w:rsidR="00000000" w:rsidRPr="00AD5870">
        <w:rPr>
          <w:rFonts w:ascii="Times New Roman" w:hAnsi="Times New Roman" w:cs="Times New Roman"/>
          <w:color w:val="000000" w:themeColor="text1"/>
        </w:rPr>
        <w:br/>
      </w:r>
      <w:r w:rsidRPr="00AD5870">
        <w:rPr>
          <w:rFonts w:ascii="Times New Roman" w:eastAsia="Aptos" w:hAnsi="Times New Roman" w:cs="Times New Roman"/>
          <w:color w:val="000000" w:themeColor="text1"/>
        </w:rPr>
        <w:t xml:space="preserve"> Feedback → (noticing + pushed output) → immediate repair (uptake) → potential learning.</w:t>
      </w:r>
      <w:r w:rsidR="00000000" w:rsidRPr="00AD5870">
        <w:rPr>
          <w:rFonts w:ascii="Times New Roman" w:hAnsi="Times New Roman" w:cs="Times New Roman"/>
          <w:color w:val="000000" w:themeColor="text1"/>
        </w:rPr>
        <w:br/>
      </w:r>
      <w:r w:rsidRPr="00AD5870">
        <w:rPr>
          <w:rFonts w:ascii="Times New Roman" w:eastAsia="Aptos" w:hAnsi="Times New Roman" w:cs="Times New Roman"/>
          <w:color w:val="000000" w:themeColor="text1"/>
        </w:rPr>
        <w:lastRenderedPageBreak/>
        <w:t xml:space="preserve"> Crucially, </w:t>
      </w: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and </w:t>
      </w:r>
      <w:proofErr w:type="spellStart"/>
      <w:r w:rsidRPr="00AD5870">
        <w:rPr>
          <w:rFonts w:ascii="Times New Roman" w:eastAsia="Aptos" w:hAnsi="Times New Roman" w:cs="Times New Roman"/>
          <w:color w:val="000000" w:themeColor="text1"/>
        </w:rPr>
        <w:t>Ranta</w:t>
      </w:r>
      <w:proofErr w:type="spellEnd"/>
      <w:r w:rsidRPr="00AD5870">
        <w:rPr>
          <w:rFonts w:ascii="Times New Roman" w:eastAsia="Aptos" w:hAnsi="Times New Roman" w:cs="Times New Roman"/>
          <w:color w:val="000000" w:themeColor="text1"/>
        </w:rPr>
        <w:t xml:space="preserve"> focus on the proximal, behavioural part of this chain—whether the learner responds immediately (and successfully) after different feedback types. They are careful not to claim that uptake equals acquisition; rather, uptake is treated as a reasonable proxy for the mechanisms the theory proposes.</w:t>
      </w:r>
    </w:p>
    <w:p w14:paraId="48D108A5" w14:textId="5540424D"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Predictions / hypotheses derived from theory</w:t>
      </w:r>
    </w:p>
    <w:p w14:paraId="7400E5E6" w14:textId="3575B36F"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Although the paper is not framed in null-hypothesis terms, its predictions are clear and testable:</w:t>
      </w:r>
    </w:p>
    <w:p w14:paraId="72050C50" w14:textId="1CBD2860" w:rsidR="00514FEB" w:rsidRPr="00AD5870" w:rsidRDefault="3CD7A465" w:rsidP="002A16E9">
      <w:pPr>
        <w:pStyle w:val="ListParagraph"/>
        <w:numPr>
          <w:ilvl w:val="0"/>
          <w:numId w:val="7"/>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H1 (Differential uptake): If feedback types differ in how strongly they trigger noticing and push output, then prompt-type feedback (e.g., elicitation, clarification request, metalinguistic clue) will be followed by higher rates of immediate uptake than feedback that simply supplies a reformulation (recasts).</w:t>
      </w:r>
    </w:p>
    <w:p w14:paraId="55798AE6" w14:textId="61BEF5DC" w:rsidR="00514FEB" w:rsidRPr="00AD5870" w:rsidRDefault="3CD7A465" w:rsidP="002A16E9">
      <w:pPr>
        <w:pStyle w:val="ListParagraph"/>
        <w:numPr>
          <w:ilvl w:val="0"/>
          <w:numId w:val="7"/>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 xml:space="preserve">H2 (Mechanism alignment): Feedback moves that require a learner response (prompts) align more directly with the theory’s mechanism than recasts, which may be processed as continuation rather than as correction; </w:t>
      </w:r>
      <w:proofErr w:type="gramStart"/>
      <w:r w:rsidRPr="00AD5870">
        <w:rPr>
          <w:rFonts w:ascii="Times New Roman" w:eastAsia="Aptos" w:hAnsi="Times New Roman" w:cs="Times New Roman"/>
          <w:color w:val="000000" w:themeColor="text1"/>
        </w:rPr>
        <w:t>therefore</w:t>
      </w:r>
      <w:proofErr w:type="gramEnd"/>
      <w:r w:rsidRPr="00AD5870">
        <w:rPr>
          <w:rFonts w:ascii="Times New Roman" w:eastAsia="Aptos" w:hAnsi="Times New Roman" w:cs="Times New Roman"/>
          <w:color w:val="000000" w:themeColor="text1"/>
        </w:rPr>
        <w:t xml:space="preserve"> prompts should look more effective on the spot.</w:t>
      </w:r>
    </w:p>
    <w:p w14:paraId="5E9540F0" w14:textId="0C78F1BB"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Operationalisation and conceptual clarity</w:t>
      </w:r>
    </w:p>
    <w:p w14:paraId="67154614" w14:textId="326D0D4C"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theoretical constructs are mapped to observable variables in a way that is both transparent and teachable:</w:t>
      </w:r>
    </w:p>
    <w:p w14:paraId="58B4BE48" w14:textId="1B4E16C9" w:rsidR="00514FEB" w:rsidRPr="00AD5870" w:rsidRDefault="3CD7A465" w:rsidP="002A16E9">
      <w:pPr>
        <w:pStyle w:val="ListParagraph"/>
        <w:numPr>
          <w:ilvl w:val="0"/>
          <w:numId w:val="6"/>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Independent variable: feedback type, coded into widely used categories (e.g., recast, explicit correction, clarification request, metalinguistic clue, elicitation, repetition).</w:t>
      </w:r>
    </w:p>
    <w:p w14:paraId="4FE9D1B5" w14:textId="679DB775" w:rsidR="00514FEB" w:rsidRPr="00AD5870" w:rsidRDefault="3CD7A465" w:rsidP="002A16E9">
      <w:pPr>
        <w:pStyle w:val="ListParagraph"/>
        <w:numPr>
          <w:ilvl w:val="0"/>
          <w:numId w:val="6"/>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Dependent variable: uptake, defined as the learner’s immediate response to feedback, coded as repair (successful self-correction) or needs-repair (no or unsuccessful fix).</w:t>
      </w:r>
    </w:p>
    <w:p w14:paraId="205F4952" w14:textId="452CD3EA"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This mapping is a strength of the study: the constructs are operationalised clearly, and the same categories have been adopted across many subsequent papers. The main theoretical caveat is conceptual: uptake ≠ learning. Uptake is a proxy for mechanism, not a direct measure of retention—an important limit to keep in mind when interpreting the findings.</w:t>
      </w:r>
    </w:p>
    <w:p w14:paraId="6A9499CA" w14:textId="1B96A367"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Brief theoretical evaluation (balanced)</w:t>
      </w:r>
    </w:p>
    <w:p w14:paraId="15C0BFE3" w14:textId="2313AD9B"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The theory → hypothesis link is plausible and coherent, and the paper is explicit about treating uptake as immediate behaviour rather than acquisition. A mild limitation is that alternative </w:t>
      </w:r>
      <w:r w:rsidRPr="00AD5870">
        <w:rPr>
          <w:rFonts w:ascii="Times New Roman" w:eastAsia="Aptos" w:hAnsi="Times New Roman" w:cs="Times New Roman"/>
          <w:color w:val="000000" w:themeColor="text1"/>
        </w:rPr>
        <w:lastRenderedPageBreak/>
        <w:t>theoretical readings are possible. For instance, a conversation-analytic account might explain differences in uptake via turn design and sequential positioning (e.g., some recasts are not hearable as correction because of timing/prosody), without necessarily invoking noticing/output mechanisms. The authors acknowledge interpretation issues around recasts, but this alternative vocabulary could have been discussed more explicitly. Overall, however, the theoretical grounding is solid: the predictions follow logically from the proposed mechanism, and the constructs are defined well enough to test those predictions in natural data.</w:t>
      </w:r>
    </w:p>
    <w:p w14:paraId="6F481B3B" w14:textId="433F8E1F" w:rsidR="00514FEB" w:rsidRPr="00AD5870" w:rsidRDefault="00514FEB" w:rsidP="002A16E9">
      <w:pPr>
        <w:spacing w:after="0" w:line="360" w:lineRule="auto"/>
        <w:jc w:val="both"/>
        <w:rPr>
          <w:rFonts w:ascii="Times New Roman" w:hAnsi="Times New Roman" w:cs="Times New Roman"/>
          <w:color w:val="000000" w:themeColor="text1"/>
        </w:rPr>
      </w:pPr>
    </w:p>
    <w:p w14:paraId="50A6070A" w14:textId="6A00474A" w:rsidR="00514FEB" w:rsidRPr="00AD5870" w:rsidRDefault="3CD7A465" w:rsidP="002A16E9">
      <w:pPr>
        <w:pStyle w:val="Heading2"/>
        <w:spacing w:before="299" w:after="299"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Question 2: Methodology</w:t>
      </w:r>
    </w:p>
    <w:p w14:paraId="2C92204E" w14:textId="77D06D18"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Design and setting</w:t>
      </w:r>
    </w:p>
    <w:p w14:paraId="05F37189" w14:textId="19120A5E"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study uses a naturalistic classroom observation design with systematic interactional coding. Ordinary French-immersion lessons were audio-recorded, and the analysis unit was an error treatment episode: a learner error, a teacher feedback move, and the learner’s immediate response. This design is sensible given the research focus: if we want to know which feedback moves elicit on-the-spot repair in real classroom talk, observing actual lessons is appropriate and avoids lab artefacts.</w:t>
      </w:r>
    </w:p>
    <w:p w14:paraId="3C98EF13" w14:textId="39AB3BA6"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Participants and sampling</w:t>
      </w:r>
    </w:p>
    <w:p w14:paraId="3F44A75C" w14:textId="79A0A091"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data come from learners in content-based French-immersion classes taught by experienced teachers. All eligible error treatment episodes arising during recordings were candidates for coding. This provides good ecological validity. However, it also raises generalisability questions: immersion settings differ from adult EFL or online classes, and teacher talk is stylised by curriculum and context. The sampling is best characterised as purposive (classes selected) with incidental episodes within those classes.</w:t>
      </w:r>
    </w:p>
    <w:p w14:paraId="7B85F2F3" w14:textId="769D46C5"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Instruments, measures, and coding</w:t>
      </w:r>
    </w:p>
    <w:p w14:paraId="4BFC1E25" w14:textId="5A4A4445"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The coding scheme is one of the paper’s enduring contributions. Feedback types are clearly defined (e.g., recast vs elicitation vs metalinguistic clue), and uptake is coded as repair/needs-repair. Inter-rater reliability was established on a subset, supporting consistency. Construct validity is good for immediate, interactional behaviour: if we care about “what happens right </w:t>
      </w:r>
      <w:r w:rsidRPr="00AD5870">
        <w:rPr>
          <w:rFonts w:ascii="Times New Roman" w:eastAsia="Aptos" w:hAnsi="Times New Roman" w:cs="Times New Roman"/>
          <w:color w:val="000000" w:themeColor="text1"/>
        </w:rPr>
        <w:lastRenderedPageBreak/>
        <w:t xml:space="preserve">after feedback,” this scheme captures it. The downside is that the outcome is binary, which compresses the quality of repair (e.g., shallow repetition vs meaningful restructuring </w:t>
      </w:r>
      <w:proofErr w:type="gramStart"/>
      <w:r w:rsidRPr="00AD5870">
        <w:rPr>
          <w:rFonts w:ascii="Times New Roman" w:eastAsia="Aptos" w:hAnsi="Times New Roman" w:cs="Times New Roman"/>
          <w:color w:val="000000" w:themeColor="text1"/>
        </w:rPr>
        <w:t>are</w:t>
      </w:r>
      <w:proofErr w:type="gramEnd"/>
      <w:r w:rsidRPr="00AD5870">
        <w:rPr>
          <w:rFonts w:ascii="Times New Roman" w:eastAsia="Aptos" w:hAnsi="Times New Roman" w:cs="Times New Roman"/>
          <w:color w:val="000000" w:themeColor="text1"/>
        </w:rPr>
        <w:t xml:space="preserve"> treated the same). A graded uptake index would give a richer picture.</w:t>
      </w:r>
    </w:p>
    <w:p w14:paraId="58172E84" w14:textId="742E39C9"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Procedure</w:t>
      </w:r>
    </w:p>
    <w:p w14:paraId="63917753" w14:textId="23BED2CF"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procedure is straightforward: record lessons, segment error–feedback–response episodes, apply the coding scheme, and compare rates of uptake across feedback types. This mirrors how teachers and learners experience correction in real time, which is a pedagogical strength.</w:t>
      </w:r>
    </w:p>
    <w:p w14:paraId="4967B151" w14:textId="43C5DC9A"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Analysis</w:t>
      </w:r>
    </w:p>
    <w:p w14:paraId="00BDBE6C" w14:textId="653E717D"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paper offers primarily descriptive and categorical comparisons (frequencies/proportions of uptake by feedback type). This was standard at the time, but by today’s standards, one might expect effect sizes, confidence intervals, and possibly mixed-effects models to account for nesting (episodes within teachers/classes) and covariates (error type, proficiency, turn position). While the analysis answers the core question, modern modelling would better isolate the independent effect of feedback type.</w:t>
      </w:r>
    </w:p>
    <w:p w14:paraId="33F9D8B2" w14:textId="7CE89847"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Fit to the hypotheses</w:t>
      </w:r>
    </w:p>
    <w:p w14:paraId="30A166DD" w14:textId="26E78442"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For H1 (“feedback types differ in uptake”), the design is well matched: it directly compares on-the-spot repair following each feedback type. For H2 (“prompts align better with the mechanism than recasts”), the method is also reasonable, because the strongest observable prediction of a mechanism that requires production is precisely immediate repair after a move that makes the learner produce language. In short, for proximal outcomes, the fit is good.</w:t>
      </w:r>
    </w:p>
    <w:p w14:paraId="0E0DB65F" w14:textId="70D35149"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Threats to validity and confounds</w:t>
      </w:r>
    </w:p>
    <w:p w14:paraId="0CA2B65C" w14:textId="2D5A7E98"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main threats arise from the naturalistic nature of the data:</w:t>
      </w:r>
    </w:p>
    <w:p w14:paraId="7CF06DD3" w14:textId="67F9FB84" w:rsidR="00514FEB" w:rsidRPr="00AD5870" w:rsidRDefault="3CD7A465" w:rsidP="002A16E9">
      <w:pPr>
        <w:pStyle w:val="ListParagraph"/>
        <w:numPr>
          <w:ilvl w:val="0"/>
          <w:numId w:val="5"/>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Non-random teacher choice. Teachers may recast especially difficult errors or recast in fast-flowing moments, while they prompt when they expect a feasible learner response. This selection could depress recast-uptake and inflate prompt-uptake independently of the mechanism.</w:t>
      </w:r>
    </w:p>
    <w:p w14:paraId="4D48CFFA" w14:textId="64E957E8" w:rsidR="00514FEB" w:rsidRPr="00AD5870" w:rsidRDefault="3CD7A465" w:rsidP="002A16E9">
      <w:pPr>
        <w:pStyle w:val="ListParagraph"/>
        <w:numPr>
          <w:ilvl w:val="0"/>
          <w:numId w:val="5"/>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Error/task heterogeneity. Error type, salience, and turn position (mid-turn vs turn-final) influence the odds of repair regardless of feedback type.</w:t>
      </w:r>
    </w:p>
    <w:p w14:paraId="68401337" w14:textId="31AC2A80" w:rsidR="00514FEB" w:rsidRPr="00AD5870" w:rsidRDefault="3CD7A465" w:rsidP="002A16E9">
      <w:pPr>
        <w:pStyle w:val="ListParagraph"/>
        <w:numPr>
          <w:ilvl w:val="0"/>
          <w:numId w:val="5"/>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lastRenderedPageBreak/>
        <w:t>Binary outcome. “Repair vs needs-repair” hides differences in quality and depth of processing.</w:t>
      </w:r>
    </w:p>
    <w:p w14:paraId="73053BC6" w14:textId="5510222A" w:rsidR="00514FEB" w:rsidRPr="00AD5870" w:rsidRDefault="3CD7A465" w:rsidP="002A16E9">
      <w:pPr>
        <w:pStyle w:val="ListParagraph"/>
        <w:numPr>
          <w:ilvl w:val="0"/>
          <w:numId w:val="5"/>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No delayed testing. The method assesses immediate performance only; it cannot tell us if there is retention or transfer.</w:t>
      </w:r>
    </w:p>
    <w:p w14:paraId="5220A1D5" w14:textId="0C52BBFF"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Viable alternative methodologies (and why they are better)</w:t>
      </w:r>
    </w:p>
    <w:p w14:paraId="69C8E467" w14:textId="7E653E3F" w:rsidR="00514FEB" w:rsidRPr="00AD5870" w:rsidRDefault="3CD7A465" w:rsidP="002A16E9">
      <w:pPr>
        <w:pStyle w:val="ListParagraph"/>
        <w:numPr>
          <w:ilvl w:val="0"/>
          <w:numId w:val="4"/>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Within-class randomisation of feedback by item/episode. Pre-plan target forms and randomly assign prompt vs recast for each eligible error within the same teacher/class. This preserves ecological validity but neutralises teacher and class effects, strengthening internal validity.</w:t>
      </w:r>
    </w:p>
    <w:p w14:paraId="7D1BDA6C" w14:textId="708B81CF" w:rsidR="00514FEB" w:rsidRPr="00AD5870" w:rsidRDefault="3CD7A465" w:rsidP="002A16E9">
      <w:pPr>
        <w:pStyle w:val="ListParagraph"/>
        <w:numPr>
          <w:ilvl w:val="0"/>
          <w:numId w:val="4"/>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Add delayed post-tests. Track specific forms corrected during lessons and test them 1–2 weeks later (production + recognition). This connects uptake → retention, which is the missing link for acquisition claims.</w:t>
      </w:r>
    </w:p>
    <w:p w14:paraId="537B110A" w14:textId="693730AD" w:rsidR="00514FEB" w:rsidRPr="00AD5870" w:rsidRDefault="3CD7A465" w:rsidP="002A16E9">
      <w:pPr>
        <w:pStyle w:val="ListParagraph"/>
        <w:numPr>
          <w:ilvl w:val="0"/>
          <w:numId w:val="4"/>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Mixed-methods supplement. Combine the coding with stimulated recall (teacher/learner) and a conversation-analytic slice to inspect whether learners perceived recasts as corrections and what they noticed. This clarifies mechanism, not just outcome.</w:t>
      </w:r>
    </w:p>
    <w:p w14:paraId="08EAC585" w14:textId="03B68C58" w:rsidR="00514FEB" w:rsidRPr="00AD5870" w:rsidRDefault="3CD7A465" w:rsidP="002A16E9">
      <w:pPr>
        <w:pStyle w:val="ListParagraph"/>
        <w:numPr>
          <w:ilvl w:val="0"/>
          <w:numId w:val="4"/>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Model-based analysis of the original design. Use a generalised linear mixed model with uptake as the outcome, feedback type as fixed effect, random intercepts for teacher/class/learner/item, and covariates (error type, turn position, proficiency). This quantifies effect sizes and separates feedback effects from confounds.</w:t>
      </w:r>
    </w:p>
    <w:p w14:paraId="60B6B56D" w14:textId="1D818016" w:rsidR="00514FEB" w:rsidRPr="00AD5870" w:rsidRDefault="3CD7A465" w:rsidP="002A16E9">
      <w:pPr>
        <w:pStyle w:val="ListParagraph"/>
        <w:numPr>
          <w:ilvl w:val="0"/>
          <w:numId w:val="4"/>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Task-controlled classroom experiment. Counterbalance prompt-heavy vs recast-heavy conditions across comparable tasks/lessons to examine whether the effect generalises across genres (e.g., information-gap vs debate).</w:t>
      </w:r>
    </w:p>
    <w:p w14:paraId="56FD8F0D" w14:textId="0C928BC0"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Methodology verdict</w:t>
      </w:r>
    </w:p>
    <w:p w14:paraId="50141BCB" w14:textId="4972AF24"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Overall, the methodology is well suited to the research question about immediate repair and is transparent and replicable. Its weaknesses are exactly those we would expect from naturalistic data: selection bias, heterogeneous episodes, and no delayed testing. These features do not invalidate the findings; they limit the claims to proximal behaviour and caution against strong causal or long-term learning conclusions.</w:t>
      </w:r>
    </w:p>
    <w:p w14:paraId="70618ACF" w14:textId="093B2661" w:rsidR="00514FEB" w:rsidRPr="00AD5870" w:rsidRDefault="00514FEB" w:rsidP="002A16E9">
      <w:pPr>
        <w:spacing w:after="0" w:line="360" w:lineRule="auto"/>
        <w:jc w:val="both"/>
        <w:rPr>
          <w:rFonts w:ascii="Times New Roman" w:hAnsi="Times New Roman" w:cs="Times New Roman"/>
          <w:color w:val="000000" w:themeColor="text1"/>
        </w:rPr>
      </w:pPr>
    </w:p>
    <w:p w14:paraId="56A55BB3" w14:textId="224DF3D5" w:rsidR="00514FEB" w:rsidRPr="00AD5870" w:rsidRDefault="3CD7A465" w:rsidP="002A16E9">
      <w:pPr>
        <w:pStyle w:val="Heading2"/>
        <w:spacing w:before="299" w:after="299"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lastRenderedPageBreak/>
        <w:t>Question 3: Results and relevance to theory</w:t>
      </w:r>
    </w:p>
    <w:p w14:paraId="0714AA7B" w14:textId="42604CF6" w:rsidR="00514FEB" w:rsidRPr="00AD5870" w:rsidRDefault="3CD7A465" w:rsidP="002A16E9">
      <w:pPr>
        <w:pStyle w:val="Heading3"/>
        <w:spacing w:before="281" w:after="281" w:line="360" w:lineRule="auto"/>
        <w:jc w:val="both"/>
        <w:rPr>
          <w:rFonts w:ascii="Times New Roman" w:eastAsia="Aptos"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Results</w:t>
      </w:r>
    </w:p>
    <w:p w14:paraId="78C2F29A" w14:textId="7C897C0A"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The core pattern is uncomplicated and robust across the dataset: feedback types differ in how often they are followed by immediate learner uptake (repair). Prompt-type feedback—notably elicitation, clarification requests, and metalinguistic clues—elicits higher rates of on-the-spot repair than recasts. Explicit correction also yields repair relatively often (though it may briefly disrupt conversational flow). A large proportion of recasts do not produce visible repair, which the authors plausibly link to how learners interpret recasts (often as continuation rather than correction).</w:t>
      </w:r>
    </w:p>
    <w:p w14:paraId="31B7462B" w14:textId="3341272B"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Do the results support the theory? Linking data → hypothesis → theory</w:t>
      </w:r>
    </w:p>
    <w:p w14:paraId="651938FD" w14:textId="10120072" w:rsidR="57FFB2CC" w:rsidRPr="00AD5870" w:rsidRDefault="57FFB2CC" w:rsidP="002A16E9">
      <w:pPr>
        <w:spacing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Do the results support the theory?</w:t>
      </w:r>
      <w:r w:rsidRPr="00AD5870">
        <w:rPr>
          <w:rFonts w:ascii="Times New Roman" w:hAnsi="Times New Roman" w:cs="Times New Roman"/>
          <w:color w:val="000000" w:themeColor="text1"/>
        </w:rPr>
        <w:br/>
      </w:r>
      <w:r w:rsidRPr="00AD5870">
        <w:rPr>
          <w:rFonts w:ascii="Times New Roman" w:eastAsia="Aptos" w:hAnsi="Times New Roman" w:cs="Times New Roman"/>
          <w:color w:val="000000" w:themeColor="text1"/>
        </w:rPr>
        <w:t xml:space="preserve"> Data: prompts yield more immediate repair than recasts. H1 (differential uptake): supported. H2 (mechanism fit): partly supported—moves that require production align with noticing/pushed output and show higher uptake. Because the outcome is uptake, claims are proximal; retention was not tested.</w:t>
      </w:r>
    </w:p>
    <w:p w14:paraId="0418944B" w14:textId="27156231"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Where the empirical cycle is strong vs thin</w:t>
      </w:r>
    </w:p>
    <w:p w14:paraId="4C48CE16" w14:textId="40B19D7D" w:rsidR="00514FEB" w:rsidRPr="00AD5870" w:rsidRDefault="3CD7A465" w:rsidP="002A16E9">
      <w:pPr>
        <w:pStyle w:val="ListParagraph"/>
        <w:numPr>
          <w:ilvl w:val="0"/>
          <w:numId w:val="2"/>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Strong: There is a clear mapping from feedback type to immediate observable outcome in real classrooms; the coding is transparent; and the results answer the stated question about on-the-spot repair.</w:t>
      </w:r>
    </w:p>
    <w:p w14:paraId="014722C0" w14:textId="19D59ECA" w:rsidR="00514FEB" w:rsidRPr="00AD5870" w:rsidRDefault="3CD7A465" w:rsidP="002A16E9">
      <w:pPr>
        <w:pStyle w:val="ListParagraph"/>
        <w:numPr>
          <w:ilvl w:val="0"/>
          <w:numId w:val="2"/>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Thin: Causality is limited by non-random teacher choice and uncontrolled episode characteristics (error type, turn position, proficiency); and the binary uptake measure compresses the quality of repair. Without a delayed measure, the data → hypothesis → theory chain ends at the behavioural proxy stage.</w:t>
      </w:r>
    </w:p>
    <w:p w14:paraId="51AC8B24" w14:textId="0B701D90"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Relevance to practice</w:t>
      </w:r>
    </w:p>
    <w:p w14:paraId="0CBAEDFC" w14:textId="047D79E5"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For teachers, the study offers a practical takeaway: if your objective is immediate self-correction, design feedback that requires learner production—in other words, prompts. This does not mean recasts “do not work”; rather, it means that as interactional behaviour, prompts are more reliably followed by on-the-spot repair in the context studied. Because recasts vary in </w:t>
      </w:r>
      <w:r w:rsidRPr="00AD5870">
        <w:rPr>
          <w:rFonts w:ascii="Times New Roman" w:eastAsia="Aptos" w:hAnsi="Times New Roman" w:cs="Times New Roman"/>
          <w:color w:val="000000" w:themeColor="text1"/>
        </w:rPr>
        <w:lastRenderedPageBreak/>
        <w:t>how hearable they are as correction (timing/prosody/embedding), their immediate effect is less predictable unless they are made more salient.</w:t>
      </w:r>
    </w:p>
    <w:p w14:paraId="08980C81" w14:textId="353C3688"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Limitations (stated clearly and respectfully)</w:t>
      </w:r>
    </w:p>
    <w:p w14:paraId="4BEFB7E6" w14:textId="1C2F058B" w:rsidR="00514FEB" w:rsidRPr="00AD5870" w:rsidRDefault="3CD7A465" w:rsidP="002A16E9">
      <w:pPr>
        <w:pStyle w:val="ListParagraph"/>
        <w:numPr>
          <w:ilvl w:val="0"/>
          <w:numId w:val="1"/>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Definitions and coding granularity. The binary outcome (“repair vs needs-repair”) under-describes quality; also, what counts as “uptake” is behaviourally defined, not cognitively measured.</w:t>
      </w:r>
    </w:p>
    <w:p w14:paraId="13119ACC" w14:textId="2472FE01" w:rsidR="00514FEB" w:rsidRPr="00AD5870" w:rsidRDefault="3CD7A465" w:rsidP="002A16E9">
      <w:pPr>
        <w:pStyle w:val="ListParagraph"/>
        <w:numPr>
          <w:ilvl w:val="0"/>
          <w:numId w:val="1"/>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Task/genre heterogeneity and teacher choice. Episodes come from different moments and tasks; teachers may align feedback type to difficulty or flow, biasing apparent effectiveness.</w:t>
      </w:r>
    </w:p>
    <w:p w14:paraId="139F7674" w14:textId="17F72E6B" w:rsidR="00514FEB" w:rsidRPr="00AD5870" w:rsidRDefault="3CD7A465" w:rsidP="002A16E9">
      <w:pPr>
        <w:pStyle w:val="ListParagraph"/>
        <w:numPr>
          <w:ilvl w:val="0"/>
          <w:numId w:val="1"/>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No delayed testing. Without follow-up, the study cannot speak to retention—so the claims must remain proximal.</w:t>
      </w:r>
    </w:p>
    <w:p w14:paraId="21C8739F" w14:textId="4DB15300" w:rsidR="00514FEB" w:rsidRPr="00AD5870" w:rsidRDefault="3CD7A465" w:rsidP="002A16E9">
      <w:pPr>
        <w:pStyle w:val="ListParagraph"/>
        <w:numPr>
          <w:ilvl w:val="0"/>
          <w:numId w:val="1"/>
        </w:num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Generalisability. The strongest claims apply to immersion classrooms; adult EFL, online contexts, or different interactional norms may behave differently.</w:t>
      </w:r>
    </w:p>
    <w:p w14:paraId="15AE2AE9" w14:textId="09A2ED13" w:rsidR="00514FEB" w:rsidRPr="00AD5870" w:rsidRDefault="3CD7A465" w:rsidP="002A16E9">
      <w:pPr>
        <w:pStyle w:val="Heading3"/>
        <w:spacing w:before="281" w:after="281"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Currency and later evidence (to show up-to-date knowledge)</w:t>
      </w:r>
    </w:p>
    <w:p w14:paraId="4C0BC870" w14:textId="1EFAEAAB" w:rsidR="00514FEB" w:rsidRPr="00AD5870" w:rsidRDefault="00000000" w:rsidP="002A16E9">
      <w:pPr>
        <w:spacing w:before="240" w:after="240" w:line="360" w:lineRule="auto"/>
        <w:jc w:val="both"/>
        <w:rPr>
          <w:rFonts w:ascii="Times New Roman" w:hAnsi="Times New Roman" w:cs="Times New Roman"/>
          <w:color w:val="000000" w:themeColor="text1"/>
        </w:rPr>
      </w:pPr>
      <w:r w:rsidRPr="00AD5870">
        <w:rPr>
          <w:rFonts w:ascii="Times New Roman" w:hAnsi="Times New Roman" w:cs="Times New Roman"/>
          <w:color w:val="000000" w:themeColor="text1"/>
        </w:rPr>
        <w:br/>
      </w:r>
      <w:r w:rsidR="07FB0F93" w:rsidRPr="00AD5870">
        <w:rPr>
          <w:rFonts w:ascii="Times New Roman" w:eastAsia="Aptos" w:hAnsi="Times New Roman" w:cs="Times New Roman"/>
          <w:color w:val="000000" w:themeColor="text1"/>
        </w:rPr>
        <w:t xml:space="preserve"> Meta-analyses (</w:t>
      </w:r>
      <w:proofErr w:type="spellStart"/>
      <w:r w:rsidR="07FB0F93" w:rsidRPr="00AD5870">
        <w:rPr>
          <w:rFonts w:ascii="Times New Roman" w:eastAsia="Aptos" w:hAnsi="Times New Roman" w:cs="Times New Roman"/>
          <w:color w:val="000000" w:themeColor="text1"/>
        </w:rPr>
        <w:t>Lyster</w:t>
      </w:r>
      <w:proofErr w:type="spellEnd"/>
      <w:r w:rsidR="07FB0F93" w:rsidRPr="00AD5870">
        <w:rPr>
          <w:rFonts w:ascii="Times New Roman" w:eastAsia="Aptos" w:hAnsi="Times New Roman" w:cs="Times New Roman"/>
          <w:color w:val="000000" w:themeColor="text1"/>
        </w:rPr>
        <w:t xml:space="preserve"> &amp; Saito, 2010; Li, 2010) show oral CF is effective overall, with differences by type and measurement timing. Recent overviews (</w:t>
      </w:r>
      <w:proofErr w:type="spellStart"/>
      <w:r w:rsidR="07FB0F93" w:rsidRPr="00AD5870">
        <w:rPr>
          <w:rFonts w:ascii="Times New Roman" w:eastAsia="Aptos" w:hAnsi="Times New Roman" w:cs="Times New Roman"/>
          <w:color w:val="000000" w:themeColor="text1"/>
        </w:rPr>
        <w:t>Nassaji</w:t>
      </w:r>
      <w:proofErr w:type="spellEnd"/>
      <w:r w:rsidR="07FB0F93" w:rsidRPr="00AD5870">
        <w:rPr>
          <w:rFonts w:ascii="Times New Roman" w:eastAsia="Aptos" w:hAnsi="Times New Roman" w:cs="Times New Roman"/>
          <w:color w:val="000000" w:themeColor="text1"/>
        </w:rPr>
        <w:t xml:space="preserve"> &amp; </w:t>
      </w:r>
      <w:proofErr w:type="spellStart"/>
      <w:r w:rsidR="07FB0F93" w:rsidRPr="00AD5870">
        <w:rPr>
          <w:rFonts w:ascii="Times New Roman" w:eastAsia="Aptos" w:hAnsi="Times New Roman" w:cs="Times New Roman"/>
          <w:color w:val="000000" w:themeColor="text1"/>
        </w:rPr>
        <w:t>Kartchava</w:t>
      </w:r>
      <w:proofErr w:type="spellEnd"/>
      <w:r w:rsidR="07FB0F93" w:rsidRPr="00AD5870">
        <w:rPr>
          <w:rFonts w:ascii="Times New Roman" w:eastAsia="Aptos" w:hAnsi="Times New Roman" w:cs="Times New Roman"/>
          <w:color w:val="000000" w:themeColor="text1"/>
        </w:rPr>
        <w:t>, 2017/2021) add when recasts work (salience, timing, learner level). This supports using 1997 as a mechanism-level anchor while noting that retention needs delayed measures.</w:t>
      </w:r>
    </w:p>
    <w:p w14:paraId="61D4D0BF" w14:textId="08F2651B" w:rsidR="00514FEB" w:rsidRPr="00AD5870" w:rsidRDefault="00514FEB" w:rsidP="002A16E9">
      <w:pPr>
        <w:spacing w:after="0" w:line="360" w:lineRule="auto"/>
        <w:jc w:val="both"/>
        <w:rPr>
          <w:rFonts w:ascii="Times New Roman" w:hAnsi="Times New Roman" w:cs="Times New Roman"/>
          <w:color w:val="000000" w:themeColor="text1"/>
        </w:rPr>
      </w:pPr>
    </w:p>
    <w:p w14:paraId="2ABEF94F" w14:textId="55B48CF7" w:rsidR="00514FEB" w:rsidRPr="00AD5870" w:rsidRDefault="3CD7A465" w:rsidP="002A16E9">
      <w:pPr>
        <w:pStyle w:val="Heading2"/>
        <w:spacing w:before="299" w:after="299" w:line="360" w:lineRule="auto"/>
        <w:jc w:val="both"/>
        <w:rPr>
          <w:rFonts w:ascii="Times New Roman" w:hAnsi="Times New Roman" w:cs="Times New Roman"/>
          <w:color w:val="000000" w:themeColor="text1"/>
          <w:sz w:val="24"/>
          <w:szCs w:val="24"/>
        </w:rPr>
      </w:pPr>
      <w:r w:rsidRPr="00AD5870">
        <w:rPr>
          <w:rFonts w:ascii="Times New Roman" w:eastAsia="Aptos" w:hAnsi="Times New Roman" w:cs="Times New Roman"/>
          <w:color w:val="000000" w:themeColor="text1"/>
          <w:sz w:val="24"/>
          <w:szCs w:val="24"/>
        </w:rPr>
        <w:t>Conclusion</w:t>
      </w:r>
    </w:p>
    <w:p w14:paraId="5BB27A5E" w14:textId="4E991372" w:rsidR="00514FEB" w:rsidRPr="00AD5870" w:rsidRDefault="3CD7A46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and </w:t>
      </w:r>
      <w:proofErr w:type="spellStart"/>
      <w:r w:rsidRPr="00AD5870">
        <w:rPr>
          <w:rFonts w:ascii="Times New Roman" w:eastAsia="Aptos" w:hAnsi="Times New Roman" w:cs="Times New Roman"/>
          <w:color w:val="000000" w:themeColor="text1"/>
        </w:rPr>
        <w:t>Ranta</w:t>
      </w:r>
      <w:proofErr w:type="spellEnd"/>
      <w:r w:rsidRPr="00AD5870">
        <w:rPr>
          <w:rFonts w:ascii="Times New Roman" w:eastAsia="Aptos" w:hAnsi="Times New Roman" w:cs="Times New Roman"/>
          <w:color w:val="000000" w:themeColor="text1"/>
        </w:rPr>
        <w:t xml:space="preserve"> (1997) is a methodologically clear and theoretically grounded study that answers a narrow but important question: Which feedback moves are most likely to produce immediate learner repair in authentic classroom interaction? By coding error–feedback–response sequences, the authors show that prompt-type feedback—which requires a learner response—outperforms recasts for on-the-spot repair. This pattern is consistent with an interactionist/output mechanism that emphasises noticing and pushed output.</w:t>
      </w:r>
    </w:p>
    <w:p w14:paraId="413C2FB4" w14:textId="4520E6C5" w:rsidR="00514FEB" w:rsidRPr="00AD5870" w:rsidRDefault="3CD7A46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lastRenderedPageBreak/>
        <w:t>The study’s strengths are its ecological validity, transparent operationalisation of constructs, and replicable coding scheme. Its limitations are those typical of naturalistic designs: non-random teacher choice, heterogeneous episodes, binary outcomes, and no delayed testing. These do not invalidate the results but limit the claim to proximal behaviour, not long-term acquisition.</w:t>
      </w:r>
    </w:p>
    <w:p w14:paraId="6ED913EF" w14:textId="06D1EC2F" w:rsidR="00514FEB" w:rsidRPr="00AD5870" w:rsidRDefault="3CD7A465" w:rsidP="00614496">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For my own practice and prospective thesis, I would reuse the feedback coding scheme and the focus on immediate behaviour, but I would add (</w:t>
      </w:r>
      <w:proofErr w:type="spellStart"/>
      <w:r w:rsidRPr="00AD5870">
        <w:rPr>
          <w:rFonts w:ascii="Times New Roman" w:eastAsia="Aptos" w:hAnsi="Times New Roman" w:cs="Times New Roman"/>
          <w:color w:val="000000" w:themeColor="text1"/>
        </w:rPr>
        <w:t>i</w:t>
      </w:r>
      <w:proofErr w:type="spellEnd"/>
      <w:r w:rsidRPr="00AD5870">
        <w:rPr>
          <w:rFonts w:ascii="Times New Roman" w:eastAsia="Aptos" w:hAnsi="Times New Roman" w:cs="Times New Roman"/>
          <w:color w:val="000000" w:themeColor="text1"/>
        </w:rPr>
        <w:t>) within-class randomisation of feedback type at item level to address selection bias; (ii) graded repair quality and delayed post-tests to connect uptake to retention; and (iii) a mixed-methods component (stimulated recall + fine-grained CA) to probe how learners interpret different feedback moves. Read this way—as a careful analysis of what happens in the moment—</w:t>
      </w: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and </w:t>
      </w:r>
      <w:proofErr w:type="spellStart"/>
      <w:r w:rsidRPr="00AD5870">
        <w:rPr>
          <w:rFonts w:ascii="Times New Roman" w:eastAsia="Aptos" w:hAnsi="Times New Roman" w:cs="Times New Roman"/>
          <w:color w:val="000000" w:themeColor="text1"/>
        </w:rPr>
        <w:t>Ranta</w:t>
      </w:r>
      <w:proofErr w:type="spellEnd"/>
      <w:r w:rsidRPr="00AD5870">
        <w:rPr>
          <w:rFonts w:ascii="Times New Roman" w:eastAsia="Aptos" w:hAnsi="Times New Roman" w:cs="Times New Roman"/>
          <w:color w:val="000000" w:themeColor="text1"/>
        </w:rPr>
        <w:t xml:space="preserve"> (1997) still provides a compelling, practice-relevant result and a strong platform for more causally robust designs.</w:t>
      </w:r>
    </w:p>
    <w:p w14:paraId="78309676"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2694E56F"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64B49DC3"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4540EEF8"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49F4AB57"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457E2821"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1E5B14B6"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3C1C5F8A"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7608C3C4" w14:textId="77777777" w:rsidR="00614496" w:rsidRPr="00AD5870" w:rsidRDefault="00614496" w:rsidP="002A16E9">
      <w:pPr>
        <w:spacing w:before="240" w:after="240" w:line="360" w:lineRule="auto"/>
        <w:jc w:val="both"/>
        <w:rPr>
          <w:rFonts w:ascii="Times New Roman" w:eastAsia="Aptos" w:hAnsi="Times New Roman" w:cs="Times New Roman"/>
          <w:color w:val="000000" w:themeColor="text1"/>
        </w:rPr>
      </w:pPr>
    </w:p>
    <w:p w14:paraId="6786BAA5" w14:textId="278A0C5B" w:rsidR="00614496" w:rsidRPr="00AD5870" w:rsidRDefault="00614496" w:rsidP="002A16E9">
      <w:pPr>
        <w:spacing w:before="240" w:after="240" w:line="360" w:lineRule="auto"/>
        <w:jc w:val="both"/>
        <w:rPr>
          <w:rFonts w:ascii="Times New Roman" w:eastAsia="Aptos" w:hAnsi="Times New Roman" w:cs="Times New Roman"/>
          <w:color w:val="000000" w:themeColor="text1"/>
        </w:rPr>
      </w:pPr>
      <w:r w:rsidRPr="00AD5870">
        <w:rPr>
          <w:rFonts w:ascii="Times New Roman" w:eastAsia="Aptos" w:hAnsi="Times New Roman" w:cs="Times New Roman"/>
          <w:color w:val="000000" w:themeColor="text1"/>
        </w:rPr>
        <w:t>References</w:t>
      </w:r>
    </w:p>
    <w:p w14:paraId="3C1C026B" w14:textId="273641CA"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Ammar, A. &amp; Spada, N. (2006) ‘One size </w:t>
      </w:r>
      <w:proofErr w:type="gramStart"/>
      <w:r w:rsidRPr="00AD5870">
        <w:rPr>
          <w:rFonts w:ascii="Times New Roman" w:eastAsia="Aptos" w:hAnsi="Times New Roman" w:cs="Times New Roman"/>
          <w:color w:val="000000" w:themeColor="text1"/>
        </w:rPr>
        <w:t>fits</w:t>
      </w:r>
      <w:proofErr w:type="gramEnd"/>
      <w:r w:rsidRPr="00AD5870">
        <w:rPr>
          <w:rFonts w:ascii="Times New Roman" w:eastAsia="Aptos" w:hAnsi="Times New Roman" w:cs="Times New Roman"/>
          <w:color w:val="000000" w:themeColor="text1"/>
        </w:rPr>
        <w:t xml:space="preserve"> all? Recasts, prompts, and L2 learning’, </w:t>
      </w:r>
      <w:r w:rsidRPr="00AD5870">
        <w:rPr>
          <w:rFonts w:ascii="Times New Roman" w:eastAsia="Aptos" w:hAnsi="Times New Roman" w:cs="Times New Roman"/>
          <w:i/>
          <w:iCs/>
          <w:color w:val="000000" w:themeColor="text1"/>
        </w:rPr>
        <w:t>Studies in Second Language Acquisition</w:t>
      </w:r>
      <w:r w:rsidRPr="00AD5870">
        <w:rPr>
          <w:rFonts w:ascii="Times New Roman" w:eastAsia="Aptos" w:hAnsi="Times New Roman" w:cs="Times New Roman"/>
          <w:color w:val="000000" w:themeColor="text1"/>
        </w:rPr>
        <w:t xml:space="preserve">, 28(4), pp. 543–574. Available at: </w:t>
      </w:r>
      <w:hyperlink r:id="rId5">
        <w:r w:rsidRPr="00AD5870">
          <w:rPr>
            <w:rStyle w:val="Hyperlink"/>
            <w:rFonts w:ascii="Times New Roman" w:eastAsia="Aptos" w:hAnsi="Times New Roman" w:cs="Times New Roman"/>
            <w:color w:val="000000" w:themeColor="text1"/>
          </w:rPr>
          <w:t>https://www.cambridge.org/core/journals/studies-in-second-language-acquisition/article/abs/one-size-fits-all-recasts-prompts-and-l2-learning/1BD11AD38ACFC600539FF6A0C748B697</w:t>
        </w:r>
      </w:hyperlink>
      <w:r w:rsidRPr="00AD5870">
        <w:rPr>
          <w:rFonts w:ascii="Times New Roman" w:eastAsia="Aptos" w:hAnsi="Times New Roman" w:cs="Times New Roman"/>
          <w:color w:val="000000" w:themeColor="text1"/>
        </w:rPr>
        <w:t>? (Accessed: 26 November 2025).</w:t>
      </w:r>
    </w:p>
    <w:p w14:paraId="1995A448"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lastRenderedPageBreak/>
        <w:t xml:space="preserve">Ding, T. (2012) ‘The comparative effectiveness of recasts and prompts in classroom SLA: A review’, </w:t>
      </w:r>
      <w:r w:rsidRPr="00AD5870">
        <w:rPr>
          <w:rFonts w:ascii="Times New Roman" w:eastAsia="Aptos" w:hAnsi="Times New Roman" w:cs="Times New Roman"/>
          <w:i/>
          <w:iCs/>
          <w:color w:val="000000" w:themeColor="text1"/>
        </w:rPr>
        <w:t>Cambridge Working Papers in Applied Linguistics</w:t>
      </w:r>
      <w:r w:rsidRPr="00AD5870">
        <w:rPr>
          <w:rFonts w:ascii="Times New Roman" w:eastAsia="Aptos" w:hAnsi="Times New Roman" w:cs="Times New Roman"/>
          <w:color w:val="000000" w:themeColor="text1"/>
        </w:rPr>
        <w:t xml:space="preserve">. Available at: </w:t>
      </w:r>
      <w:hyperlink r:id="rId6">
        <w:r w:rsidRPr="00AD5870">
          <w:rPr>
            <w:rStyle w:val="Hyperlink"/>
            <w:rFonts w:ascii="Times New Roman" w:eastAsia="Aptos" w:hAnsi="Times New Roman" w:cs="Times New Roman"/>
            <w:color w:val="000000" w:themeColor="text1"/>
          </w:rPr>
          <w:t>https://www.repository.cam.ac.uk/bitstreams/d59d993c-128b-46f3-b4d7-e4d752ad25a5/download</w:t>
        </w:r>
      </w:hyperlink>
      <w:r w:rsidRPr="00AD5870">
        <w:rPr>
          <w:rFonts w:ascii="Times New Roman" w:eastAsia="Aptos" w:hAnsi="Times New Roman" w:cs="Times New Roman"/>
          <w:color w:val="000000" w:themeColor="text1"/>
        </w:rPr>
        <w:t xml:space="preserve"> (Accessed: 26 November 2025).</w:t>
      </w:r>
    </w:p>
    <w:p w14:paraId="1CCC16BB"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Ellis, R., Loewen, S. &amp; </w:t>
      </w:r>
      <w:proofErr w:type="spellStart"/>
      <w:r w:rsidRPr="00AD5870">
        <w:rPr>
          <w:rFonts w:ascii="Times New Roman" w:eastAsia="Aptos" w:hAnsi="Times New Roman" w:cs="Times New Roman"/>
          <w:color w:val="000000" w:themeColor="text1"/>
        </w:rPr>
        <w:t>Erlam</w:t>
      </w:r>
      <w:proofErr w:type="spellEnd"/>
      <w:r w:rsidRPr="00AD5870">
        <w:rPr>
          <w:rFonts w:ascii="Times New Roman" w:eastAsia="Aptos" w:hAnsi="Times New Roman" w:cs="Times New Roman"/>
          <w:color w:val="000000" w:themeColor="text1"/>
        </w:rPr>
        <w:t xml:space="preserve">, R. (2006) ‘Implicit and explicit corrective feedback and the acquisition of L2 grammar’, </w:t>
      </w:r>
      <w:r w:rsidRPr="00AD5870">
        <w:rPr>
          <w:rFonts w:ascii="Times New Roman" w:eastAsia="Aptos" w:hAnsi="Times New Roman" w:cs="Times New Roman"/>
          <w:i/>
          <w:iCs/>
          <w:color w:val="000000" w:themeColor="text1"/>
        </w:rPr>
        <w:t>Studies in Second Language Acquisition</w:t>
      </w:r>
      <w:r w:rsidRPr="00AD5870">
        <w:rPr>
          <w:rFonts w:ascii="Times New Roman" w:eastAsia="Aptos" w:hAnsi="Times New Roman" w:cs="Times New Roman"/>
          <w:color w:val="000000" w:themeColor="text1"/>
        </w:rPr>
        <w:t>, 28(2), pp. 339–368. Available at:</w:t>
      </w:r>
      <w:hyperlink r:id="rId7">
        <w:r w:rsidRPr="00AD5870">
          <w:rPr>
            <w:rStyle w:val="Hyperlink"/>
            <w:rFonts w:ascii="Times New Roman" w:eastAsia="Aptos" w:hAnsi="Times New Roman" w:cs="Times New Roman"/>
            <w:color w:val="000000" w:themeColor="text1"/>
          </w:rPr>
          <w:t>https://www.cambridge.org/core/journals/studies-in-second-language-acquisition/article/implicit-and-explicit-corrective-feedback-and-the-acquisition-of-l2-grammar/CDE67D4A4E286921DA4BE9C40BAD9FE6</w:t>
        </w:r>
      </w:hyperlink>
      <w:r w:rsidRPr="00AD5870">
        <w:rPr>
          <w:rFonts w:ascii="Times New Roman" w:eastAsia="Aptos" w:hAnsi="Times New Roman" w:cs="Times New Roman"/>
          <w:color w:val="000000" w:themeColor="text1"/>
        </w:rPr>
        <w:t>?(Accessed: 26 November 2025).</w:t>
      </w:r>
    </w:p>
    <w:p w14:paraId="5C90BCBA"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Ellis, R., Sheen, Y., Murakami, M. &amp; Takashima, H. (2008) ‘The effects of focused and unfocused written corrective feedback’, </w:t>
      </w:r>
      <w:r w:rsidRPr="00AD5870">
        <w:rPr>
          <w:rFonts w:ascii="Times New Roman" w:eastAsia="Aptos" w:hAnsi="Times New Roman" w:cs="Times New Roman"/>
          <w:i/>
          <w:iCs/>
          <w:color w:val="000000" w:themeColor="text1"/>
        </w:rPr>
        <w:t>System</w:t>
      </w:r>
      <w:r w:rsidRPr="00AD5870">
        <w:rPr>
          <w:rFonts w:ascii="Times New Roman" w:eastAsia="Aptos" w:hAnsi="Times New Roman" w:cs="Times New Roman"/>
          <w:color w:val="000000" w:themeColor="text1"/>
        </w:rPr>
        <w:t xml:space="preserve">, 36(3), pp. 353–371. Available at: </w:t>
      </w:r>
      <w:hyperlink r:id="rId8">
        <w:r w:rsidRPr="00AD5870">
          <w:rPr>
            <w:rStyle w:val="Hyperlink"/>
            <w:rFonts w:ascii="Times New Roman" w:eastAsia="Aptos" w:hAnsi="Times New Roman" w:cs="Times New Roman"/>
            <w:color w:val="000000" w:themeColor="text1"/>
          </w:rPr>
          <w:t>https://www.sciencedirect.com/science/article/abs/pii/S0346251X08000390</w:t>
        </w:r>
      </w:hyperlink>
      <w:r w:rsidRPr="00AD5870">
        <w:rPr>
          <w:rFonts w:ascii="Times New Roman" w:eastAsia="Aptos" w:hAnsi="Times New Roman" w:cs="Times New Roman"/>
          <w:color w:val="000000" w:themeColor="text1"/>
        </w:rPr>
        <w:t>?(Accessed: 26 November 2025).</w:t>
      </w:r>
    </w:p>
    <w:p w14:paraId="37A51FA3"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Kang, E.Y. &amp; Han, Z. (2015) ‘The efficacy of written corrective feedback in improving L2 written accuracy: A meta-analysis’, </w:t>
      </w:r>
      <w:r w:rsidRPr="00AD5870">
        <w:rPr>
          <w:rFonts w:ascii="Times New Roman" w:eastAsia="Aptos" w:hAnsi="Times New Roman" w:cs="Times New Roman"/>
          <w:i/>
          <w:iCs/>
          <w:color w:val="000000" w:themeColor="text1"/>
        </w:rPr>
        <w:t>The Modern Language Journal</w:t>
      </w:r>
      <w:r w:rsidRPr="00AD5870">
        <w:rPr>
          <w:rFonts w:ascii="Times New Roman" w:eastAsia="Aptos" w:hAnsi="Times New Roman" w:cs="Times New Roman"/>
          <w:color w:val="000000" w:themeColor="text1"/>
        </w:rPr>
        <w:t xml:space="preserve">, 99(1), pp. 1–18. Available at: </w:t>
      </w:r>
      <w:hyperlink r:id="rId9">
        <w:r w:rsidRPr="00AD5870">
          <w:rPr>
            <w:rStyle w:val="Hyperlink"/>
            <w:rFonts w:ascii="Times New Roman" w:eastAsia="Aptos" w:hAnsi="Times New Roman" w:cs="Times New Roman"/>
            <w:color w:val="000000" w:themeColor="text1"/>
          </w:rPr>
          <w:t>https://onlinelibrary.wiley.com/doi/abs/10.1111/modl.12189</w:t>
        </w:r>
      </w:hyperlink>
      <w:r w:rsidRPr="00AD5870">
        <w:rPr>
          <w:rFonts w:ascii="Times New Roman" w:eastAsia="Aptos" w:hAnsi="Times New Roman" w:cs="Times New Roman"/>
          <w:color w:val="000000" w:themeColor="text1"/>
        </w:rPr>
        <w:t>? (Accessed: 26 November 2025).</w:t>
      </w:r>
    </w:p>
    <w:p w14:paraId="54BB718D"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Li, S. (2010) ‘The effectiveness of corrective feedback in SLA: A meta-analysis’, </w:t>
      </w:r>
      <w:r w:rsidRPr="00AD5870">
        <w:rPr>
          <w:rFonts w:ascii="Times New Roman" w:eastAsia="Aptos" w:hAnsi="Times New Roman" w:cs="Times New Roman"/>
          <w:i/>
          <w:iCs/>
          <w:color w:val="000000" w:themeColor="text1"/>
        </w:rPr>
        <w:t>Language Learning</w:t>
      </w:r>
      <w:r w:rsidRPr="00AD5870">
        <w:rPr>
          <w:rFonts w:ascii="Times New Roman" w:eastAsia="Aptos" w:hAnsi="Times New Roman" w:cs="Times New Roman"/>
          <w:color w:val="000000" w:themeColor="text1"/>
        </w:rPr>
        <w:t xml:space="preserve">, 60(2), pp. 309–365. Available at: </w:t>
      </w:r>
      <w:hyperlink r:id="rId10">
        <w:r w:rsidRPr="00AD5870">
          <w:rPr>
            <w:rStyle w:val="Hyperlink"/>
            <w:rFonts w:ascii="Times New Roman" w:eastAsia="Aptos" w:hAnsi="Times New Roman" w:cs="Times New Roman"/>
            <w:color w:val="000000" w:themeColor="text1"/>
          </w:rPr>
          <w:t>https://onlinelibrary.wiley.com/doi/10.1111/j.1467-9922.2010.00561.x</w:t>
        </w:r>
      </w:hyperlink>
      <w:r w:rsidRPr="00AD5870">
        <w:rPr>
          <w:rFonts w:ascii="Times New Roman" w:eastAsia="Aptos" w:hAnsi="Times New Roman" w:cs="Times New Roman"/>
          <w:color w:val="000000" w:themeColor="text1"/>
        </w:rPr>
        <w:t xml:space="preserve"> (Accessed: 26 November 2025).</w:t>
      </w:r>
    </w:p>
    <w:p w14:paraId="3600170C"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Loewen, S. (2004) ‘Uptake in incidental focus on form in meaning-focused ESL lessons’, </w:t>
      </w:r>
      <w:r w:rsidRPr="00AD5870">
        <w:rPr>
          <w:rFonts w:ascii="Times New Roman" w:eastAsia="Aptos" w:hAnsi="Times New Roman" w:cs="Times New Roman"/>
          <w:i/>
          <w:iCs/>
          <w:color w:val="000000" w:themeColor="text1"/>
        </w:rPr>
        <w:t>Applied Linguistics</w:t>
      </w:r>
      <w:r w:rsidRPr="00AD5870">
        <w:rPr>
          <w:rFonts w:ascii="Times New Roman" w:eastAsia="Aptos" w:hAnsi="Times New Roman" w:cs="Times New Roman"/>
          <w:color w:val="000000" w:themeColor="text1"/>
        </w:rPr>
        <w:t xml:space="preserve">, 25(3), pp. 404–432. Available at: </w:t>
      </w:r>
      <w:hyperlink r:id="rId11">
        <w:r w:rsidRPr="00AD5870">
          <w:rPr>
            <w:rStyle w:val="Hyperlink"/>
            <w:rFonts w:ascii="Times New Roman" w:eastAsia="Aptos" w:hAnsi="Times New Roman" w:cs="Times New Roman"/>
            <w:color w:val="000000" w:themeColor="text1"/>
          </w:rPr>
          <w:t>https://www.jstor.org/stable/44486977</w:t>
        </w:r>
      </w:hyperlink>
      <w:r w:rsidRPr="00AD5870">
        <w:rPr>
          <w:rFonts w:ascii="Times New Roman" w:eastAsia="Aptos" w:hAnsi="Times New Roman" w:cs="Times New Roman"/>
          <w:color w:val="000000" w:themeColor="text1"/>
        </w:rPr>
        <w:t>?(Accessed: 26 November 2025).</w:t>
      </w:r>
    </w:p>
    <w:p w14:paraId="3C81059F"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Loewen, S. (2005) ‘Incidental focus on form and second language learning’, </w:t>
      </w:r>
      <w:r w:rsidRPr="00AD5870">
        <w:rPr>
          <w:rFonts w:ascii="Times New Roman" w:eastAsia="Aptos" w:hAnsi="Times New Roman" w:cs="Times New Roman"/>
          <w:i/>
          <w:iCs/>
          <w:color w:val="000000" w:themeColor="text1"/>
        </w:rPr>
        <w:t>Studies in Second Language Acquisition</w:t>
      </w:r>
      <w:r w:rsidRPr="00AD5870">
        <w:rPr>
          <w:rFonts w:ascii="Times New Roman" w:eastAsia="Aptos" w:hAnsi="Times New Roman" w:cs="Times New Roman"/>
          <w:color w:val="000000" w:themeColor="text1"/>
        </w:rPr>
        <w:t xml:space="preserve">, 27(3), pp. 361–386. Available at: </w:t>
      </w:r>
      <w:hyperlink r:id="rId12">
        <w:r w:rsidRPr="00AD5870">
          <w:rPr>
            <w:rStyle w:val="Hyperlink"/>
            <w:rFonts w:ascii="Times New Roman" w:eastAsia="Aptos" w:hAnsi="Times New Roman" w:cs="Times New Roman"/>
            <w:color w:val="000000" w:themeColor="text1"/>
          </w:rPr>
          <w:t>https://www.cambridge.org/core/journals/studies-in-second-language-acquisition/article/abs/incidental-focus-on-form-and-second-language-learning/81B162E1F86CA6FCC89075AFD309E835</w:t>
        </w:r>
      </w:hyperlink>
      <w:r w:rsidRPr="00AD5870">
        <w:rPr>
          <w:rFonts w:ascii="Times New Roman" w:eastAsia="Aptos" w:hAnsi="Times New Roman" w:cs="Times New Roman"/>
          <w:color w:val="000000" w:themeColor="text1"/>
        </w:rPr>
        <w:t>?(Accessed: 26 November 2025).</w:t>
      </w:r>
    </w:p>
    <w:p w14:paraId="3CC16B92"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lastRenderedPageBreak/>
        <w:t xml:space="preserve">Long, M.H. (1996) ‘The role of the linguistic environment in second language acquisition’, in Ritchie, W.C. &amp; Bhatia, T.K. (eds.) </w:t>
      </w:r>
      <w:r w:rsidRPr="00AD5870">
        <w:rPr>
          <w:rFonts w:ascii="Times New Roman" w:eastAsia="Aptos" w:hAnsi="Times New Roman" w:cs="Times New Roman"/>
          <w:i/>
          <w:iCs/>
          <w:color w:val="000000" w:themeColor="text1"/>
        </w:rPr>
        <w:t>Handbook of Second Language Acquisition</w:t>
      </w:r>
      <w:r w:rsidRPr="00AD5870">
        <w:rPr>
          <w:rFonts w:ascii="Times New Roman" w:eastAsia="Aptos" w:hAnsi="Times New Roman" w:cs="Times New Roman"/>
          <w:color w:val="000000" w:themeColor="text1"/>
        </w:rPr>
        <w:t xml:space="preserve">. San Diego: Academic Press, pp. 413–468. Available at: </w:t>
      </w:r>
      <w:hyperlink r:id="rId13">
        <w:r w:rsidRPr="00AD5870">
          <w:rPr>
            <w:rStyle w:val="Hyperlink"/>
            <w:rFonts w:ascii="Times New Roman" w:eastAsia="Aptos" w:hAnsi="Times New Roman" w:cs="Times New Roman"/>
            <w:color w:val="000000" w:themeColor="text1"/>
          </w:rPr>
          <w:t>https://doi.org/10.1016/B978-012589042-7/50015-3</w:t>
        </w:r>
      </w:hyperlink>
      <w:r w:rsidRPr="00AD5870">
        <w:rPr>
          <w:rFonts w:ascii="Times New Roman" w:eastAsia="Aptos" w:hAnsi="Times New Roman" w:cs="Times New Roman"/>
          <w:color w:val="000000" w:themeColor="text1"/>
        </w:rPr>
        <w:t xml:space="preserve"> (Accessed: 26 November 2025).</w:t>
      </w:r>
    </w:p>
    <w:p w14:paraId="63488C77"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R. &amp; </w:t>
      </w:r>
      <w:proofErr w:type="spellStart"/>
      <w:r w:rsidRPr="00AD5870">
        <w:rPr>
          <w:rFonts w:ascii="Times New Roman" w:eastAsia="Aptos" w:hAnsi="Times New Roman" w:cs="Times New Roman"/>
          <w:color w:val="000000" w:themeColor="text1"/>
        </w:rPr>
        <w:t>Ranta</w:t>
      </w:r>
      <w:proofErr w:type="spellEnd"/>
      <w:r w:rsidRPr="00AD5870">
        <w:rPr>
          <w:rFonts w:ascii="Times New Roman" w:eastAsia="Aptos" w:hAnsi="Times New Roman" w:cs="Times New Roman"/>
          <w:color w:val="000000" w:themeColor="text1"/>
        </w:rPr>
        <w:t xml:space="preserve">, L. (1997) ‘Corrective feedback and learner uptake’, </w:t>
      </w:r>
      <w:r w:rsidRPr="00AD5870">
        <w:rPr>
          <w:rFonts w:ascii="Times New Roman" w:eastAsia="Aptos" w:hAnsi="Times New Roman" w:cs="Times New Roman"/>
          <w:i/>
          <w:iCs/>
          <w:color w:val="000000" w:themeColor="text1"/>
        </w:rPr>
        <w:t>Studies in Second Language Acquisition</w:t>
      </w:r>
      <w:r w:rsidRPr="00AD5870">
        <w:rPr>
          <w:rFonts w:ascii="Times New Roman" w:eastAsia="Aptos" w:hAnsi="Times New Roman" w:cs="Times New Roman"/>
          <w:color w:val="000000" w:themeColor="text1"/>
        </w:rPr>
        <w:t xml:space="preserve">, 19(1), pp. 37–66. Available at: </w:t>
      </w:r>
      <w:hyperlink r:id="rId14">
        <w:r w:rsidRPr="00AD5870">
          <w:rPr>
            <w:rStyle w:val="Hyperlink"/>
            <w:rFonts w:ascii="Times New Roman" w:eastAsia="Aptos" w:hAnsi="Times New Roman" w:cs="Times New Roman"/>
            <w:color w:val="000000" w:themeColor="text1"/>
          </w:rPr>
          <w:t>https://www.cambridge.org/core/journals/studies-in-second-language-acquisition/article/abs/corrective-feedback-and-learner-uptake/59229F0CA2F085F5F5016FB4674877BF</w:t>
        </w:r>
      </w:hyperlink>
      <w:r w:rsidRPr="00AD5870">
        <w:rPr>
          <w:rFonts w:ascii="Times New Roman" w:eastAsia="Aptos" w:hAnsi="Times New Roman" w:cs="Times New Roman"/>
          <w:color w:val="000000" w:themeColor="text1"/>
        </w:rPr>
        <w:t>? (Accessed: 26 November 2025).</w:t>
      </w:r>
    </w:p>
    <w:p w14:paraId="7141958F"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Lyster</w:t>
      </w:r>
      <w:proofErr w:type="spellEnd"/>
      <w:r w:rsidRPr="00AD5870">
        <w:rPr>
          <w:rFonts w:ascii="Times New Roman" w:eastAsia="Aptos" w:hAnsi="Times New Roman" w:cs="Times New Roman"/>
          <w:color w:val="000000" w:themeColor="text1"/>
        </w:rPr>
        <w:t xml:space="preserve">, R. &amp; Saito, K. (2010) ‘Oral feedback in classroom SLA: A meta-analysis’, </w:t>
      </w:r>
      <w:r w:rsidRPr="00AD5870">
        <w:rPr>
          <w:rFonts w:ascii="Times New Roman" w:eastAsia="Aptos" w:hAnsi="Times New Roman" w:cs="Times New Roman"/>
          <w:i/>
          <w:iCs/>
          <w:color w:val="000000" w:themeColor="text1"/>
        </w:rPr>
        <w:t xml:space="preserve">Studies </w:t>
      </w:r>
      <w:hyperlink r:id="rId15">
        <w:r w:rsidRPr="00AD5870">
          <w:rPr>
            <w:rStyle w:val="Hyperlink"/>
            <w:rFonts w:ascii="Times New Roman" w:eastAsia="Aptos" w:hAnsi="Times New Roman" w:cs="Times New Roman"/>
            <w:color w:val="000000" w:themeColor="text1"/>
          </w:rPr>
          <w:t>https://www.cambridge.org/core/journals/studies-in-second-language-acquisition/article/abs/oral-feedback-in-classroom-sla/4999EE1C8379B2BF026B148EAF373CA1</w:t>
        </w:r>
      </w:hyperlink>
      <w:r w:rsidRPr="00AD5870">
        <w:rPr>
          <w:rFonts w:ascii="Times New Roman" w:eastAsia="Aptos" w:hAnsi="Times New Roman" w:cs="Times New Roman"/>
          <w:color w:val="000000" w:themeColor="text1"/>
        </w:rPr>
        <w:t>?(Accessed: 26 November 2025).</w:t>
      </w:r>
    </w:p>
    <w:p w14:paraId="7C13711A"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Nassaji</w:t>
      </w:r>
      <w:proofErr w:type="spellEnd"/>
      <w:r w:rsidRPr="00AD5870">
        <w:rPr>
          <w:rFonts w:ascii="Times New Roman" w:eastAsia="Aptos" w:hAnsi="Times New Roman" w:cs="Times New Roman"/>
          <w:color w:val="000000" w:themeColor="text1"/>
        </w:rPr>
        <w:t xml:space="preserve">, H. &amp; </w:t>
      </w:r>
      <w:proofErr w:type="spellStart"/>
      <w:r w:rsidRPr="00AD5870">
        <w:rPr>
          <w:rFonts w:ascii="Times New Roman" w:eastAsia="Aptos" w:hAnsi="Times New Roman" w:cs="Times New Roman"/>
          <w:color w:val="000000" w:themeColor="text1"/>
        </w:rPr>
        <w:t>Kartchava</w:t>
      </w:r>
      <w:proofErr w:type="spellEnd"/>
      <w:r w:rsidRPr="00AD5870">
        <w:rPr>
          <w:rFonts w:ascii="Times New Roman" w:eastAsia="Aptos" w:hAnsi="Times New Roman" w:cs="Times New Roman"/>
          <w:color w:val="000000" w:themeColor="text1"/>
        </w:rPr>
        <w:t xml:space="preserve">, E. (2021) ‘Corrective feedback’, in </w:t>
      </w:r>
      <w:r w:rsidRPr="00AD5870">
        <w:rPr>
          <w:rFonts w:ascii="Times New Roman" w:eastAsia="Aptos" w:hAnsi="Times New Roman" w:cs="Times New Roman"/>
          <w:i/>
          <w:iCs/>
          <w:color w:val="000000" w:themeColor="text1"/>
        </w:rPr>
        <w:t>The Cambridge Handbook of Corrective Feedback in Second Language Learning and Teaching</w:t>
      </w:r>
      <w:r w:rsidRPr="00AD5870">
        <w:rPr>
          <w:rFonts w:ascii="Times New Roman" w:eastAsia="Aptos" w:hAnsi="Times New Roman" w:cs="Times New Roman"/>
          <w:color w:val="000000" w:themeColor="text1"/>
        </w:rPr>
        <w:t xml:space="preserve">. Cambridge: Cambridge University Press. Available at: </w:t>
      </w:r>
      <w:hyperlink r:id="rId16">
        <w:r w:rsidRPr="00AD5870">
          <w:rPr>
            <w:rStyle w:val="Hyperlink"/>
            <w:rFonts w:ascii="Times New Roman" w:eastAsia="Aptos" w:hAnsi="Times New Roman" w:cs="Times New Roman"/>
            <w:color w:val="000000" w:themeColor="text1"/>
          </w:rPr>
          <w:t>https://www.cambridge.org/core/books/cambridge-handbook-of-corrective-feedback-in-second-language-learning-and-teaching/</w:t>
        </w:r>
      </w:hyperlink>
      <w:r w:rsidRPr="00AD5870">
        <w:rPr>
          <w:rFonts w:ascii="Times New Roman" w:eastAsia="Aptos" w:hAnsi="Times New Roman" w:cs="Times New Roman"/>
          <w:color w:val="000000" w:themeColor="text1"/>
        </w:rPr>
        <w:t xml:space="preserve"> (Accessed: 26 November 2025).</w:t>
      </w:r>
    </w:p>
    <w:p w14:paraId="10E6F0DA"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proofErr w:type="spellStart"/>
      <w:r w:rsidRPr="00AD5870">
        <w:rPr>
          <w:rFonts w:ascii="Times New Roman" w:eastAsia="Aptos" w:hAnsi="Times New Roman" w:cs="Times New Roman"/>
          <w:color w:val="000000" w:themeColor="text1"/>
        </w:rPr>
        <w:t>Nassaji</w:t>
      </w:r>
      <w:proofErr w:type="spellEnd"/>
      <w:r w:rsidRPr="00AD5870">
        <w:rPr>
          <w:rFonts w:ascii="Times New Roman" w:eastAsia="Aptos" w:hAnsi="Times New Roman" w:cs="Times New Roman"/>
          <w:color w:val="000000" w:themeColor="text1"/>
        </w:rPr>
        <w:t xml:space="preserve">, H. &amp; </w:t>
      </w:r>
      <w:proofErr w:type="spellStart"/>
      <w:r w:rsidRPr="00AD5870">
        <w:rPr>
          <w:rFonts w:ascii="Times New Roman" w:eastAsia="Aptos" w:hAnsi="Times New Roman" w:cs="Times New Roman"/>
          <w:color w:val="000000" w:themeColor="text1"/>
        </w:rPr>
        <w:t>Kartchava</w:t>
      </w:r>
      <w:proofErr w:type="spellEnd"/>
      <w:r w:rsidRPr="00AD5870">
        <w:rPr>
          <w:rFonts w:ascii="Times New Roman" w:eastAsia="Aptos" w:hAnsi="Times New Roman" w:cs="Times New Roman"/>
          <w:color w:val="000000" w:themeColor="text1"/>
        </w:rPr>
        <w:t xml:space="preserve">, E. (eds.) (2017) </w:t>
      </w:r>
      <w:r w:rsidRPr="00AD5870">
        <w:rPr>
          <w:rFonts w:ascii="Times New Roman" w:eastAsia="Aptos" w:hAnsi="Times New Roman" w:cs="Times New Roman"/>
          <w:i/>
          <w:iCs/>
          <w:color w:val="000000" w:themeColor="text1"/>
        </w:rPr>
        <w:t>Corrective Feedback in Second Language Teaching and Learning: Research, Theory, Applications, Implications</w:t>
      </w:r>
      <w:r w:rsidRPr="00AD5870">
        <w:rPr>
          <w:rFonts w:ascii="Times New Roman" w:eastAsia="Aptos" w:hAnsi="Times New Roman" w:cs="Times New Roman"/>
          <w:color w:val="000000" w:themeColor="text1"/>
        </w:rPr>
        <w:t xml:space="preserve">. New York: Routledge. Available at: </w:t>
      </w:r>
      <w:hyperlink r:id="rId17">
        <w:r w:rsidRPr="00AD5870">
          <w:rPr>
            <w:rStyle w:val="Hyperlink"/>
            <w:rFonts w:ascii="Times New Roman" w:eastAsia="Aptos" w:hAnsi="Times New Roman" w:cs="Times New Roman"/>
            <w:color w:val="000000" w:themeColor="text1"/>
          </w:rPr>
          <w:t>https://www.routledge.com/Corrective-Feedback-in-Second-Language-Teaching-and-Learning-Research-Theory/Nassaji-Kartchava/p/book/9781138659636</w:t>
        </w:r>
      </w:hyperlink>
      <w:r w:rsidRPr="00AD5870">
        <w:rPr>
          <w:rFonts w:ascii="Times New Roman" w:eastAsia="Aptos" w:hAnsi="Times New Roman" w:cs="Times New Roman"/>
          <w:color w:val="000000" w:themeColor="text1"/>
        </w:rPr>
        <w:t xml:space="preserve"> (Accessed: 26 November 2025).</w:t>
      </w:r>
    </w:p>
    <w:p w14:paraId="06B29F29"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Russell, J. &amp; Spada, N. (2006) ‘The effectiveness of corrective feedback for the acquisition of L2 grammar: A meta-analysis’, in Norris, J.M. &amp; Ortega, L. (eds.) </w:t>
      </w:r>
      <w:r w:rsidRPr="00AD5870">
        <w:rPr>
          <w:rFonts w:ascii="Times New Roman" w:eastAsia="Aptos" w:hAnsi="Times New Roman" w:cs="Times New Roman"/>
          <w:i/>
          <w:iCs/>
          <w:color w:val="000000" w:themeColor="text1"/>
        </w:rPr>
        <w:t>Synthesizing Research on Language Learning and Teaching</w:t>
      </w:r>
      <w:r w:rsidRPr="00AD5870">
        <w:rPr>
          <w:rFonts w:ascii="Times New Roman" w:eastAsia="Aptos" w:hAnsi="Times New Roman" w:cs="Times New Roman"/>
          <w:color w:val="000000" w:themeColor="text1"/>
        </w:rPr>
        <w:t xml:space="preserve">. Amsterdam: John </w:t>
      </w:r>
      <w:proofErr w:type="spellStart"/>
      <w:r w:rsidRPr="00AD5870">
        <w:rPr>
          <w:rFonts w:ascii="Times New Roman" w:eastAsia="Aptos" w:hAnsi="Times New Roman" w:cs="Times New Roman"/>
          <w:color w:val="000000" w:themeColor="text1"/>
        </w:rPr>
        <w:t>Benjamins</w:t>
      </w:r>
      <w:proofErr w:type="spellEnd"/>
      <w:r w:rsidRPr="00AD5870">
        <w:rPr>
          <w:rFonts w:ascii="Times New Roman" w:eastAsia="Aptos" w:hAnsi="Times New Roman" w:cs="Times New Roman"/>
          <w:color w:val="000000" w:themeColor="text1"/>
        </w:rPr>
        <w:t xml:space="preserve">, pp. 133–164. Available at: </w:t>
      </w:r>
      <w:hyperlink r:id="rId18">
        <w:r w:rsidRPr="00AD5870">
          <w:rPr>
            <w:rStyle w:val="Hyperlink"/>
            <w:rFonts w:ascii="Times New Roman" w:eastAsia="Aptos" w:hAnsi="Times New Roman" w:cs="Times New Roman"/>
            <w:color w:val="000000" w:themeColor="text1"/>
          </w:rPr>
          <w:t>https://benjamins.com/catalog/lllt.13.09val</w:t>
        </w:r>
      </w:hyperlink>
      <w:r w:rsidRPr="00AD5870">
        <w:rPr>
          <w:rFonts w:ascii="Times New Roman" w:eastAsia="Aptos" w:hAnsi="Times New Roman" w:cs="Times New Roman"/>
          <w:color w:val="000000" w:themeColor="text1"/>
        </w:rPr>
        <w:t xml:space="preserve"> (Accessed: 26 November 2025).</w:t>
      </w:r>
    </w:p>
    <w:p w14:paraId="0D9091B5"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Sheen, Y. (2007) ‘The effect of focused written corrective feedback and language aptitude on ESL learners’ acquisition of articles’, </w:t>
      </w:r>
      <w:r w:rsidRPr="00AD5870">
        <w:rPr>
          <w:rFonts w:ascii="Times New Roman" w:eastAsia="Aptos" w:hAnsi="Times New Roman" w:cs="Times New Roman"/>
          <w:i/>
          <w:iCs/>
          <w:color w:val="000000" w:themeColor="text1"/>
        </w:rPr>
        <w:t>TESOL Quarterly</w:t>
      </w:r>
      <w:r w:rsidRPr="00AD5870">
        <w:rPr>
          <w:rFonts w:ascii="Times New Roman" w:eastAsia="Aptos" w:hAnsi="Times New Roman" w:cs="Times New Roman"/>
          <w:color w:val="000000" w:themeColor="text1"/>
        </w:rPr>
        <w:t xml:space="preserve">, 41(2), pp. 255–283. Available at: </w:t>
      </w:r>
      <w:hyperlink r:id="rId19">
        <w:r w:rsidRPr="00AD5870">
          <w:rPr>
            <w:rStyle w:val="Hyperlink"/>
            <w:rFonts w:ascii="Times New Roman" w:eastAsia="Aptos" w:hAnsi="Times New Roman" w:cs="Times New Roman"/>
            <w:color w:val="000000" w:themeColor="text1"/>
          </w:rPr>
          <w:t>https://onlinelibrary.wiley.com/doi/10.1002/j.1545-7249.2007.tb00059.x</w:t>
        </w:r>
      </w:hyperlink>
      <w:r w:rsidRPr="00AD5870">
        <w:rPr>
          <w:rFonts w:ascii="Times New Roman" w:eastAsia="Aptos" w:hAnsi="Times New Roman" w:cs="Times New Roman"/>
          <w:color w:val="000000" w:themeColor="text1"/>
        </w:rPr>
        <w:t xml:space="preserve"> (Accessed: 26 November 2025).</w:t>
      </w:r>
    </w:p>
    <w:p w14:paraId="7E328DDD" w14:textId="77777777" w:rsidR="003E61D5" w:rsidRPr="00AD5870" w:rsidRDefault="003E61D5" w:rsidP="002A16E9">
      <w:pPr>
        <w:spacing w:before="240" w:after="240" w:line="360" w:lineRule="auto"/>
        <w:jc w:val="both"/>
        <w:rPr>
          <w:rFonts w:ascii="Times New Roman" w:hAnsi="Times New Roman" w:cs="Times New Roman"/>
          <w:color w:val="000000" w:themeColor="text1"/>
        </w:rPr>
      </w:pPr>
      <w:r w:rsidRPr="00AD5870">
        <w:rPr>
          <w:rFonts w:ascii="Times New Roman" w:eastAsia="Aptos" w:hAnsi="Times New Roman" w:cs="Times New Roman"/>
          <w:color w:val="000000" w:themeColor="text1"/>
        </w:rPr>
        <w:t xml:space="preserve">Swain, M. (1995) ‘Three functions of output in second language learning’, in Cook, G. &amp; </w:t>
      </w:r>
      <w:proofErr w:type="spellStart"/>
      <w:r w:rsidRPr="00AD5870">
        <w:rPr>
          <w:rFonts w:ascii="Times New Roman" w:eastAsia="Aptos" w:hAnsi="Times New Roman" w:cs="Times New Roman"/>
          <w:color w:val="000000" w:themeColor="text1"/>
        </w:rPr>
        <w:t>Seidlhofer</w:t>
      </w:r>
      <w:proofErr w:type="spellEnd"/>
      <w:r w:rsidRPr="00AD5870">
        <w:rPr>
          <w:rFonts w:ascii="Times New Roman" w:eastAsia="Aptos" w:hAnsi="Times New Roman" w:cs="Times New Roman"/>
          <w:color w:val="000000" w:themeColor="text1"/>
        </w:rPr>
        <w:t xml:space="preserve">, B. (eds.) </w:t>
      </w:r>
      <w:r w:rsidRPr="00AD5870">
        <w:rPr>
          <w:rFonts w:ascii="Times New Roman" w:eastAsia="Aptos" w:hAnsi="Times New Roman" w:cs="Times New Roman"/>
          <w:i/>
          <w:iCs/>
          <w:color w:val="000000" w:themeColor="text1"/>
        </w:rPr>
        <w:t>Principles and Practice in Applied Linguistics</w:t>
      </w:r>
      <w:r w:rsidRPr="00AD5870">
        <w:rPr>
          <w:rFonts w:ascii="Times New Roman" w:eastAsia="Aptos" w:hAnsi="Times New Roman" w:cs="Times New Roman"/>
          <w:color w:val="000000" w:themeColor="text1"/>
        </w:rPr>
        <w:t xml:space="preserve">. Oxford: Oxford University Press, pp. 125–144. (Overview) Available at: </w:t>
      </w:r>
      <w:hyperlink r:id="rId20">
        <w:r w:rsidRPr="00AD5870">
          <w:rPr>
            <w:rStyle w:val="Hyperlink"/>
            <w:rFonts w:ascii="Times New Roman" w:eastAsia="Aptos" w:hAnsi="Times New Roman" w:cs="Times New Roman"/>
            <w:color w:val="000000" w:themeColor="text1"/>
          </w:rPr>
          <w:t>https://scispace.com/papers/three-functions-of-output-in-second-language-learning-2ljbkfyu61</w:t>
        </w:r>
      </w:hyperlink>
      <w:r w:rsidRPr="00AD5870">
        <w:rPr>
          <w:rFonts w:ascii="Times New Roman" w:eastAsia="Aptos" w:hAnsi="Times New Roman" w:cs="Times New Roman"/>
          <w:color w:val="000000" w:themeColor="text1"/>
        </w:rPr>
        <w:t>?(Accessed: 26 November 2025).</w:t>
      </w:r>
    </w:p>
    <w:p w14:paraId="4C31C794" w14:textId="35E1B7B2" w:rsidR="644587E3" w:rsidRPr="00AD5870" w:rsidRDefault="644587E3" w:rsidP="002A16E9">
      <w:pPr>
        <w:spacing w:line="360" w:lineRule="auto"/>
        <w:jc w:val="both"/>
        <w:rPr>
          <w:rFonts w:ascii="Times New Roman" w:hAnsi="Times New Roman" w:cs="Times New Roman"/>
          <w:color w:val="000000" w:themeColor="text1"/>
        </w:rPr>
      </w:pPr>
    </w:p>
    <w:p w14:paraId="4395FDF6" w14:textId="1A9129D8" w:rsidR="00514FEB" w:rsidRPr="00AD5870" w:rsidRDefault="00514FEB" w:rsidP="002A16E9">
      <w:pPr>
        <w:spacing w:before="240" w:after="240" w:line="360" w:lineRule="auto"/>
        <w:jc w:val="both"/>
        <w:rPr>
          <w:rFonts w:ascii="Times New Roman" w:hAnsi="Times New Roman" w:cs="Times New Roman"/>
          <w:color w:val="000000" w:themeColor="text1"/>
        </w:rPr>
      </w:pPr>
    </w:p>
    <w:p w14:paraId="5E5787A5" w14:textId="594A42A1" w:rsidR="00514FEB" w:rsidRPr="00AD5870" w:rsidRDefault="00514FEB" w:rsidP="002A16E9">
      <w:pPr>
        <w:spacing w:line="360" w:lineRule="auto"/>
        <w:jc w:val="both"/>
        <w:rPr>
          <w:rFonts w:ascii="Times New Roman" w:hAnsi="Times New Roman" w:cs="Times New Roman"/>
          <w:color w:val="000000" w:themeColor="text1"/>
        </w:rPr>
      </w:pPr>
    </w:p>
    <w:sectPr w:rsidR="00514FEB" w:rsidRPr="00AD587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BAA33"/>
    <w:multiLevelType w:val="hybridMultilevel"/>
    <w:tmpl w:val="A25C4A2E"/>
    <w:lvl w:ilvl="0" w:tplc="2A1E2FDC">
      <w:start w:val="1"/>
      <w:numFmt w:val="decimal"/>
      <w:lvlText w:val="%1."/>
      <w:lvlJc w:val="left"/>
      <w:pPr>
        <w:ind w:left="720" w:hanging="360"/>
      </w:pPr>
    </w:lvl>
    <w:lvl w:ilvl="1" w:tplc="86FAA746">
      <w:start w:val="1"/>
      <w:numFmt w:val="lowerLetter"/>
      <w:lvlText w:val="%2."/>
      <w:lvlJc w:val="left"/>
      <w:pPr>
        <w:ind w:left="1440" w:hanging="360"/>
      </w:pPr>
    </w:lvl>
    <w:lvl w:ilvl="2" w:tplc="94DC2AAC">
      <w:start w:val="1"/>
      <w:numFmt w:val="lowerRoman"/>
      <w:lvlText w:val="%3."/>
      <w:lvlJc w:val="right"/>
      <w:pPr>
        <w:ind w:left="2160" w:hanging="180"/>
      </w:pPr>
    </w:lvl>
    <w:lvl w:ilvl="3" w:tplc="8304BD58">
      <w:start w:val="1"/>
      <w:numFmt w:val="decimal"/>
      <w:lvlText w:val="%4."/>
      <w:lvlJc w:val="left"/>
      <w:pPr>
        <w:ind w:left="2880" w:hanging="360"/>
      </w:pPr>
    </w:lvl>
    <w:lvl w:ilvl="4" w:tplc="856612D2">
      <w:start w:val="1"/>
      <w:numFmt w:val="lowerLetter"/>
      <w:lvlText w:val="%5."/>
      <w:lvlJc w:val="left"/>
      <w:pPr>
        <w:ind w:left="3600" w:hanging="360"/>
      </w:pPr>
    </w:lvl>
    <w:lvl w:ilvl="5" w:tplc="76C4C336">
      <w:start w:val="1"/>
      <w:numFmt w:val="lowerRoman"/>
      <w:lvlText w:val="%6."/>
      <w:lvlJc w:val="right"/>
      <w:pPr>
        <w:ind w:left="4320" w:hanging="180"/>
      </w:pPr>
    </w:lvl>
    <w:lvl w:ilvl="6" w:tplc="65700A12">
      <w:start w:val="1"/>
      <w:numFmt w:val="decimal"/>
      <w:lvlText w:val="%7."/>
      <w:lvlJc w:val="left"/>
      <w:pPr>
        <w:ind w:left="5040" w:hanging="360"/>
      </w:pPr>
    </w:lvl>
    <w:lvl w:ilvl="7" w:tplc="B5BA39C4">
      <w:start w:val="1"/>
      <w:numFmt w:val="lowerLetter"/>
      <w:lvlText w:val="%8."/>
      <w:lvlJc w:val="left"/>
      <w:pPr>
        <w:ind w:left="5760" w:hanging="360"/>
      </w:pPr>
    </w:lvl>
    <w:lvl w:ilvl="8" w:tplc="6890FE64">
      <w:start w:val="1"/>
      <w:numFmt w:val="lowerRoman"/>
      <w:lvlText w:val="%9."/>
      <w:lvlJc w:val="right"/>
      <w:pPr>
        <w:ind w:left="6480" w:hanging="180"/>
      </w:pPr>
    </w:lvl>
  </w:abstractNum>
  <w:abstractNum w:abstractNumId="1" w15:restartNumberingAfterBreak="0">
    <w:nsid w:val="3639A3AE"/>
    <w:multiLevelType w:val="hybridMultilevel"/>
    <w:tmpl w:val="058C3764"/>
    <w:lvl w:ilvl="0" w:tplc="4A143E9A">
      <w:start w:val="1"/>
      <w:numFmt w:val="bullet"/>
      <w:lvlText w:val=""/>
      <w:lvlJc w:val="left"/>
      <w:pPr>
        <w:ind w:left="720" w:hanging="360"/>
      </w:pPr>
      <w:rPr>
        <w:rFonts w:ascii="Symbol" w:hAnsi="Symbol" w:hint="default"/>
      </w:rPr>
    </w:lvl>
    <w:lvl w:ilvl="1" w:tplc="EA88EB7A">
      <w:start w:val="1"/>
      <w:numFmt w:val="bullet"/>
      <w:lvlText w:val="o"/>
      <w:lvlJc w:val="left"/>
      <w:pPr>
        <w:ind w:left="1440" w:hanging="360"/>
      </w:pPr>
      <w:rPr>
        <w:rFonts w:ascii="Courier New" w:hAnsi="Courier New" w:hint="default"/>
      </w:rPr>
    </w:lvl>
    <w:lvl w:ilvl="2" w:tplc="3ED4D00E">
      <w:start w:val="1"/>
      <w:numFmt w:val="bullet"/>
      <w:lvlText w:val=""/>
      <w:lvlJc w:val="left"/>
      <w:pPr>
        <w:ind w:left="2160" w:hanging="360"/>
      </w:pPr>
      <w:rPr>
        <w:rFonts w:ascii="Wingdings" w:hAnsi="Wingdings" w:hint="default"/>
      </w:rPr>
    </w:lvl>
    <w:lvl w:ilvl="3" w:tplc="48E264BE">
      <w:start w:val="1"/>
      <w:numFmt w:val="bullet"/>
      <w:lvlText w:val=""/>
      <w:lvlJc w:val="left"/>
      <w:pPr>
        <w:ind w:left="2880" w:hanging="360"/>
      </w:pPr>
      <w:rPr>
        <w:rFonts w:ascii="Symbol" w:hAnsi="Symbol" w:hint="default"/>
      </w:rPr>
    </w:lvl>
    <w:lvl w:ilvl="4" w:tplc="5660278E">
      <w:start w:val="1"/>
      <w:numFmt w:val="bullet"/>
      <w:lvlText w:val="o"/>
      <w:lvlJc w:val="left"/>
      <w:pPr>
        <w:ind w:left="3600" w:hanging="360"/>
      </w:pPr>
      <w:rPr>
        <w:rFonts w:ascii="Courier New" w:hAnsi="Courier New" w:hint="default"/>
      </w:rPr>
    </w:lvl>
    <w:lvl w:ilvl="5" w:tplc="DFD81A78">
      <w:start w:val="1"/>
      <w:numFmt w:val="bullet"/>
      <w:lvlText w:val=""/>
      <w:lvlJc w:val="left"/>
      <w:pPr>
        <w:ind w:left="4320" w:hanging="360"/>
      </w:pPr>
      <w:rPr>
        <w:rFonts w:ascii="Wingdings" w:hAnsi="Wingdings" w:hint="default"/>
      </w:rPr>
    </w:lvl>
    <w:lvl w:ilvl="6" w:tplc="F1A62E1A">
      <w:start w:val="1"/>
      <w:numFmt w:val="bullet"/>
      <w:lvlText w:val=""/>
      <w:lvlJc w:val="left"/>
      <w:pPr>
        <w:ind w:left="5040" w:hanging="360"/>
      </w:pPr>
      <w:rPr>
        <w:rFonts w:ascii="Symbol" w:hAnsi="Symbol" w:hint="default"/>
      </w:rPr>
    </w:lvl>
    <w:lvl w:ilvl="7" w:tplc="1F26496E">
      <w:start w:val="1"/>
      <w:numFmt w:val="bullet"/>
      <w:lvlText w:val="o"/>
      <w:lvlJc w:val="left"/>
      <w:pPr>
        <w:ind w:left="5760" w:hanging="360"/>
      </w:pPr>
      <w:rPr>
        <w:rFonts w:ascii="Courier New" w:hAnsi="Courier New" w:hint="default"/>
      </w:rPr>
    </w:lvl>
    <w:lvl w:ilvl="8" w:tplc="6638DF2A">
      <w:start w:val="1"/>
      <w:numFmt w:val="bullet"/>
      <w:lvlText w:val=""/>
      <w:lvlJc w:val="left"/>
      <w:pPr>
        <w:ind w:left="6480" w:hanging="360"/>
      </w:pPr>
      <w:rPr>
        <w:rFonts w:ascii="Wingdings" w:hAnsi="Wingdings" w:hint="default"/>
      </w:rPr>
    </w:lvl>
  </w:abstractNum>
  <w:abstractNum w:abstractNumId="2" w15:restartNumberingAfterBreak="0">
    <w:nsid w:val="555AD840"/>
    <w:multiLevelType w:val="hybridMultilevel"/>
    <w:tmpl w:val="D14496B0"/>
    <w:lvl w:ilvl="0" w:tplc="69C07C0C">
      <w:start w:val="1"/>
      <w:numFmt w:val="bullet"/>
      <w:lvlText w:val=""/>
      <w:lvlJc w:val="left"/>
      <w:pPr>
        <w:ind w:left="720" w:hanging="360"/>
      </w:pPr>
      <w:rPr>
        <w:rFonts w:ascii="Symbol" w:hAnsi="Symbol" w:hint="default"/>
      </w:rPr>
    </w:lvl>
    <w:lvl w:ilvl="1" w:tplc="5E60FA2E">
      <w:start w:val="1"/>
      <w:numFmt w:val="bullet"/>
      <w:lvlText w:val="o"/>
      <w:lvlJc w:val="left"/>
      <w:pPr>
        <w:ind w:left="1440" w:hanging="360"/>
      </w:pPr>
      <w:rPr>
        <w:rFonts w:ascii="Courier New" w:hAnsi="Courier New" w:hint="default"/>
      </w:rPr>
    </w:lvl>
    <w:lvl w:ilvl="2" w:tplc="48DCB20E">
      <w:start w:val="1"/>
      <w:numFmt w:val="bullet"/>
      <w:lvlText w:val=""/>
      <w:lvlJc w:val="left"/>
      <w:pPr>
        <w:ind w:left="2160" w:hanging="360"/>
      </w:pPr>
      <w:rPr>
        <w:rFonts w:ascii="Wingdings" w:hAnsi="Wingdings" w:hint="default"/>
      </w:rPr>
    </w:lvl>
    <w:lvl w:ilvl="3" w:tplc="320201F8">
      <w:start w:val="1"/>
      <w:numFmt w:val="bullet"/>
      <w:lvlText w:val=""/>
      <w:lvlJc w:val="left"/>
      <w:pPr>
        <w:ind w:left="2880" w:hanging="360"/>
      </w:pPr>
      <w:rPr>
        <w:rFonts w:ascii="Symbol" w:hAnsi="Symbol" w:hint="default"/>
      </w:rPr>
    </w:lvl>
    <w:lvl w:ilvl="4" w:tplc="C95C5FFC">
      <w:start w:val="1"/>
      <w:numFmt w:val="bullet"/>
      <w:lvlText w:val="o"/>
      <w:lvlJc w:val="left"/>
      <w:pPr>
        <w:ind w:left="3600" w:hanging="360"/>
      </w:pPr>
      <w:rPr>
        <w:rFonts w:ascii="Courier New" w:hAnsi="Courier New" w:hint="default"/>
      </w:rPr>
    </w:lvl>
    <w:lvl w:ilvl="5" w:tplc="A746A910">
      <w:start w:val="1"/>
      <w:numFmt w:val="bullet"/>
      <w:lvlText w:val=""/>
      <w:lvlJc w:val="left"/>
      <w:pPr>
        <w:ind w:left="4320" w:hanging="360"/>
      </w:pPr>
      <w:rPr>
        <w:rFonts w:ascii="Wingdings" w:hAnsi="Wingdings" w:hint="default"/>
      </w:rPr>
    </w:lvl>
    <w:lvl w:ilvl="6" w:tplc="46662148">
      <w:start w:val="1"/>
      <w:numFmt w:val="bullet"/>
      <w:lvlText w:val=""/>
      <w:lvlJc w:val="left"/>
      <w:pPr>
        <w:ind w:left="5040" w:hanging="360"/>
      </w:pPr>
      <w:rPr>
        <w:rFonts w:ascii="Symbol" w:hAnsi="Symbol" w:hint="default"/>
      </w:rPr>
    </w:lvl>
    <w:lvl w:ilvl="7" w:tplc="0BAC3AB6">
      <w:start w:val="1"/>
      <w:numFmt w:val="bullet"/>
      <w:lvlText w:val="o"/>
      <w:lvlJc w:val="left"/>
      <w:pPr>
        <w:ind w:left="5760" w:hanging="360"/>
      </w:pPr>
      <w:rPr>
        <w:rFonts w:ascii="Courier New" w:hAnsi="Courier New" w:hint="default"/>
      </w:rPr>
    </w:lvl>
    <w:lvl w:ilvl="8" w:tplc="9FF886A4">
      <w:start w:val="1"/>
      <w:numFmt w:val="bullet"/>
      <w:lvlText w:val=""/>
      <w:lvlJc w:val="left"/>
      <w:pPr>
        <w:ind w:left="6480" w:hanging="360"/>
      </w:pPr>
      <w:rPr>
        <w:rFonts w:ascii="Wingdings" w:hAnsi="Wingdings" w:hint="default"/>
      </w:rPr>
    </w:lvl>
  </w:abstractNum>
  <w:abstractNum w:abstractNumId="3" w15:restartNumberingAfterBreak="0">
    <w:nsid w:val="620DFD5D"/>
    <w:multiLevelType w:val="hybridMultilevel"/>
    <w:tmpl w:val="8392E264"/>
    <w:lvl w:ilvl="0" w:tplc="A6547198">
      <w:start w:val="1"/>
      <w:numFmt w:val="bullet"/>
      <w:lvlText w:val=""/>
      <w:lvlJc w:val="left"/>
      <w:pPr>
        <w:ind w:left="720" w:hanging="360"/>
      </w:pPr>
      <w:rPr>
        <w:rFonts w:ascii="Symbol" w:hAnsi="Symbol" w:hint="default"/>
      </w:rPr>
    </w:lvl>
    <w:lvl w:ilvl="1" w:tplc="6A80089E">
      <w:start w:val="1"/>
      <w:numFmt w:val="bullet"/>
      <w:lvlText w:val="o"/>
      <w:lvlJc w:val="left"/>
      <w:pPr>
        <w:ind w:left="1440" w:hanging="360"/>
      </w:pPr>
      <w:rPr>
        <w:rFonts w:ascii="Courier New" w:hAnsi="Courier New" w:hint="default"/>
      </w:rPr>
    </w:lvl>
    <w:lvl w:ilvl="2" w:tplc="DE3C49BA">
      <w:start w:val="1"/>
      <w:numFmt w:val="bullet"/>
      <w:lvlText w:val=""/>
      <w:lvlJc w:val="left"/>
      <w:pPr>
        <w:ind w:left="2160" w:hanging="360"/>
      </w:pPr>
      <w:rPr>
        <w:rFonts w:ascii="Wingdings" w:hAnsi="Wingdings" w:hint="default"/>
      </w:rPr>
    </w:lvl>
    <w:lvl w:ilvl="3" w:tplc="EA1A64D6">
      <w:start w:val="1"/>
      <w:numFmt w:val="bullet"/>
      <w:lvlText w:val=""/>
      <w:lvlJc w:val="left"/>
      <w:pPr>
        <w:ind w:left="2880" w:hanging="360"/>
      </w:pPr>
      <w:rPr>
        <w:rFonts w:ascii="Symbol" w:hAnsi="Symbol" w:hint="default"/>
      </w:rPr>
    </w:lvl>
    <w:lvl w:ilvl="4" w:tplc="00B469F8">
      <w:start w:val="1"/>
      <w:numFmt w:val="bullet"/>
      <w:lvlText w:val="o"/>
      <w:lvlJc w:val="left"/>
      <w:pPr>
        <w:ind w:left="3600" w:hanging="360"/>
      </w:pPr>
      <w:rPr>
        <w:rFonts w:ascii="Courier New" w:hAnsi="Courier New" w:hint="default"/>
      </w:rPr>
    </w:lvl>
    <w:lvl w:ilvl="5" w:tplc="BABAF136">
      <w:start w:val="1"/>
      <w:numFmt w:val="bullet"/>
      <w:lvlText w:val=""/>
      <w:lvlJc w:val="left"/>
      <w:pPr>
        <w:ind w:left="4320" w:hanging="360"/>
      </w:pPr>
      <w:rPr>
        <w:rFonts w:ascii="Wingdings" w:hAnsi="Wingdings" w:hint="default"/>
      </w:rPr>
    </w:lvl>
    <w:lvl w:ilvl="6" w:tplc="3A36AFF0">
      <w:start w:val="1"/>
      <w:numFmt w:val="bullet"/>
      <w:lvlText w:val=""/>
      <w:lvlJc w:val="left"/>
      <w:pPr>
        <w:ind w:left="5040" w:hanging="360"/>
      </w:pPr>
      <w:rPr>
        <w:rFonts w:ascii="Symbol" w:hAnsi="Symbol" w:hint="default"/>
      </w:rPr>
    </w:lvl>
    <w:lvl w:ilvl="7" w:tplc="30E4FBE0">
      <w:start w:val="1"/>
      <w:numFmt w:val="bullet"/>
      <w:lvlText w:val="o"/>
      <w:lvlJc w:val="left"/>
      <w:pPr>
        <w:ind w:left="5760" w:hanging="360"/>
      </w:pPr>
      <w:rPr>
        <w:rFonts w:ascii="Courier New" w:hAnsi="Courier New" w:hint="default"/>
      </w:rPr>
    </w:lvl>
    <w:lvl w:ilvl="8" w:tplc="69A4398C">
      <w:start w:val="1"/>
      <w:numFmt w:val="bullet"/>
      <w:lvlText w:val=""/>
      <w:lvlJc w:val="left"/>
      <w:pPr>
        <w:ind w:left="6480" w:hanging="360"/>
      </w:pPr>
      <w:rPr>
        <w:rFonts w:ascii="Wingdings" w:hAnsi="Wingdings" w:hint="default"/>
      </w:rPr>
    </w:lvl>
  </w:abstractNum>
  <w:abstractNum w:abstractNumId="4" w15:restartNumberingAfterBreak="0">
    <w:nsid w:val="6CE37B02"/>
    <w:multiLevelType w:val="hybridMultilevel"/>
    <w:tmpl w:val="CBECB8C4"/>
    <w:lvl w:ilvl="0" w:tplc="B2480A2C">
      <w:start w:val="1"/>
      <w:numFmt w:val="bullet"/>
      <w:lvlText w:val=""/>
      <w:lvlJc w:val="left"/>
      <w:pPr>
        <w:ind w:left="720" w:hanging="360"/>
      </w:pPr>
      <w:rPr>
        <w:rFonts w:ascii="Symbol" w:hAnsi="Symbol" w:hint="default"/>
      </w:rPr>
    </w:lvl>
    <w:lvl w:ilvl="1" w:tplc="97CA8A48">
      <w:start w:val="1"/>
      <w:numFmt w:val="bullet"/>
      <w:lvlText w:val="o"/>
      <w:lvlJc w:val="left"/>
      <w:pPr>
        <w:ind w:left="1440" w:hanging="360"/>
      </w:pPr>
      <w:rPr>
        <w:rFonts w:ascii="Courier New" w:hAnsi="Courier New" w:hint="default"/>
      </w:rPr>
    </w:lvl>
    <w:lvl w:ilvl="2" w:tplc="4D8EC674">
      <w:start w:val="1"/>
      <w:numFmt w:val="bullet"/>
      <w:lvlText w:val=""/>
      <w:lvlJc w:val="left"/>
      <w:pPr>
        <w:ind w:left="2160" w:hanging="360"/>
      </w:pPr>
      <w:rPr>
        <w:rFonts w:ascii="Wingdings" w:hAnsi="Wingdings" w:hint="default"/>
      </w:rPr>
    </w:lvl>
    <w:lvl w:ilvl="3" w:tplc="0AC221CA">
      <w:start w:val="1"/>
      <w:numFmt w:val="bullet"/>
      <w:lvlText w:val=""/>
      <w:lvlJc w:val="left"/>
      <w:pPr>
        <w:ind w:left="2880" w:hanging="360"/>
      </w:pPr>
      <w:rPr>
        <w:rFonts w:ascii="Symbol" w:hAnsi="Symbol" w:hint="default"/>
      </w:rPr>
    </w:lvl>
    <w:lvl w:ilvl="4" w:tplc="85021E68">
      <w:start w:val="1"/>
      <w:numFmt w:val="bullet"/>
      <w:lvlText w:val="o"/>
      <w:lvlJc w:val="left"/>
      <w:pPr>
        <w:ind w:left="3600" w:hanging="360"/>
      </w:pPr>
      <w:rPr>
        <w:rFonts w:ascii="Courier New" w:hAnsi="Courier New" w:hint="default"/>
      </w:rPr>
    </w:lvl>
    <w:lvl w:ilvl="5" w:tplc="01A44A88">
      <w:start w:val="1"/>
      <w:numFmt w:val="bullet"/>
      <w:lvlText w:val=""/>
      <w:lvlJc w:val="left"/>
      <w:pPr>
        <w:ind w:left="4320" w:hanging="360"/>
      </w:pPr>
      <w:rPr>
        <w:rFonts w:ascii="Wingdings" w:hAnsi="Wingdings" w:hint="default"/>
      </w:rPr>
    </w:lvl>
    <w:lvl w:ilvl="6" w:tplc="B2AACBBE">
      <w:start w:val="1"/>
      <w:numFmt w:val="bullet"/>
      <w:lvlText w:val=""/>
      <w:lvlJc w:val="left"/>
      <w:pPr>
        <w:ind w:left="5040" w:hanging="360"/>
      </w:pPr>
      <w:rPr>
        <w:rFonts w:ascii="Symbol" w:hAnsi="Symbol" w:hint="default"/>
      </w:rPr>
    </w:lvl>
    <w:lvl w:ilvl="7" w:tplc="C1AC9CF0">
      <w:start w:val="1"/>
      <w:numFmt w:val="bullet"/>
      <w:lvlText w:val="o"/>
      <w:lvlJc w:val="left"/>
      <w:pPr>
        <w:ind w:left="5760" w:hanging="360"/>
      </w:pPr>
      <w:rPr>
        <w:rFonts w:ascii="Courier New" w:hAnsi="Courier New" w:hint="default"/>
      </w:rPr>
    </w:lvl>
    <w:lvl w:ilvl="8" w:tplc="4B86BA66">
      <w:start w:val="1"/>
      <w:numFmt w:val="bullet"/>
      <w:lvlText w:val=""/>
      <w:lvlJc w:val="left"/>
      <w:pPr>
        <w:ind w:left="6480" w:hanging="360"/>
      </w:pPr>
      <w:rPr>
        <w:rFonts w:ascii="Wingdings" w:hAnsi="Wingdings" w:hint="default"/>
      </w:rPr>
    </w:lvl>
  </w:abstractNum>
  <w:abstractNum w:abstractNumId="5" w15:restartNumberingAfterBreak="0">
    <w:nsid w:val="6D005C52"/>
    <w:multiLevelType w:val="hybridMultilevel"/>
    <w:tmpl w:val="3B94E82A"/>
    <w:lvl w:ilvl="0" w:tplc="20329EC4">
      <w:start w:val="1"/>
      <w:numFmt w:val="bullet"/>
      <w:lvlText w:val=""/>
      <w:lvlJc w:val="left"/>
      <w:pPr>
        <w:ind w:left="720" w:hanging="360"/>
      </w:pPr>
      <w:rPr>
        <w:rFonts w:ascii="Symbol" w:hAnsi="Symbol" w:hint="default"/>
      </w:rPr>
    </w:lvl>
    <w:lvl w:ilvl="1" w:tplc="47F61B9E">
      <w:start w:val="1"/>
      <w:numFmt w:val="bullet"/>
      <w:lvlText w:val="o"/>
      <w:lvlJc w:val="left"/>
      <w:pPr>
        <w:ind w:left="1440" w:hanging="360"/>
      </w:pPr>
      <w:rPr>
        <w:rFonts w:ascii="Courier New" w:hAnsi="Courier New" w:hint="default"/>
      </w:rPr>
    </w:lvl>
    <w:lvl w:ilvl="2" w:tplc="D0E455B8">
      <w:start w:val="1"/>
      <w:numFmt w:val="bullet"/>
      <w:lvlText w:val=""/>
      <w:lvlJc w:val="left"/>
      <w:pPr>
        <w:ind w:left="2160" w:hanging="360"/>
      </w:pPr>
      <w:rPr>
        <w:rFonts w:ascii="Wingdings" w:hAnsi="Wingdings" w:hint="default"/>
      </w:rPr>
    </w:lvl>
    <w:lvl w:ilvl="3" w:tplc="D7E03044">
      <w:start w:val="1"/>
      <w:numFmt w:val="bullet"/>
      <w:lvlText w:val=""/>
      <w:lvlJc w:val="left"/>
      <w:pPr>
        <w:ind w:left="2880" w:hanging="360"/>
      </w:pPr>
      <w:rPr>
        <w:rFonts w:ascii="Symbol" w:hAnsi="Symbol" w:hint="default"/>
      </w:rPr>
    </w:lvl>
    <w:lvl w:ilvl="4" w:tplc="18E44A1C">
      <w:start w:val="1"/>
      <w:numFmt w:val="bullet"/>
      <w:lvlText w:val="o"/>
      <w:lvlJc w:val="left"/>
      <w:pPr>
        <w:ind w:left="3600" w:hanging="360"/>
      </w:pPr>
      <w:rPr>
        <w:rFonts w:ascii="Courier New" w:hAnsi="Courier New" w:hint="default"/>
      </w:rPr>
    </w:lvl>
    <w:lvl w:ilvl="5" w:tplc="9BC098AC">
      <w:start w:val="1"/>
      <w:numFmt w:val="bullet"/>
      <w:lvlText w:val=""/>
      <w:lvlJc w:val="left"/>
      <w:pPr>
        <w:ind w:left="4320" w:hanging="360"/>
      </w:pPr>
      <w:rPr>
        <w:rFonts w:ascii="Wingdings" w:hAnsi="Wingdings" w:hint="default"/>
      </w:rPr>
    </w:lvl>
    <w:lvl w:ilvl="6" w:tplc="7E006B1A">
      <w:start w:val="1"/>
      <w:numFmt w:val="bullet"/>
      <w:lvlText w:val=""/>
      <w:lvlJc w:val="left"/>
      <w:pPr>
        <w:ind w:left="5040" w:hanging="360"/>
      </w:pPr>
      <w:rPr>
        <w:rFonts w:ascii="Symbol" w:hAnsi="Symbol" w:hint="default"/>
      </w:rPr>
    </w:lvl>
    <w:lvl w:ilvl="7" w:tplc="55AC03AC">
      <w:start w:val="1"/>
      <w:numFmt w:val="bullet"/>
      <w:lvlText w:val="o"/>
      <w:lvlJc w:val="left"/>
      <w:pPr>
        <w:ind w:left="5760" w:hanging="360"/>
      </w:pPr>
      <w:rPr>
        <w:rFonts w:ascii="Courier New" w:hAnsi="Courier New" w:hint="default"/>
      </w:rPr>
    </w:lvl>
    <w:lvl w:ilvl="8" w:tplc="4CDE4E24">
      <w:start w:val="1"/>
      <w:numFmt w:val="bullet"/>
      <w:lvlText w:val=""/>
      <w:lvlJc w:val="left"/>
      <w:pPr>
        <w:ind w:left="6480" w:hanging="360"/>
      </w:pPr>
      <w:rPr>
        <w:rFonts w:ascii="Wingdings" w:hAnsi="Wingdings" w:hint="default"/>
      </w:rPr>
    </w:lvl>
  </w:abstractNum>
  <w:abstractNum w:abstractNumId="6" w15:restartNumberingAfterBreak="0">
    <w:nsid w:val="7DA716EA"/>
    <w:multiLevelType w:val="hybridMultilevel"/>
    <w:tmpl w:val="02E8DB40"/>
    <w:lvl w:ilvl="0" w:tplc="C3261CC8">
      <w:start w:val="1"/>
      <w:numFmt w:val="decimal"/>
      <w:lvlText w:val="%1."/>
      <w:lvlJc w:val="left"/>
      <w:pPr>
        <w:ind w:left="720" w:hanging="360"/>
      </w:pPr>
    </w:lvl>
    <w:lvl w:ilvl="1" w:tplc="6FD6DA6E">
      <w:start w:val="1"/>
      <w:numFmt w:val="lowerLetter"/>
      <w:lvlText w:val="%2."/>
      <w:lvlJc w:val="left"/>
      <w:pPr>
        <w:ind w:left="1440" w:hanging="360"/>
      </w:pPr>
    </w:lvl>
    <w:lvl w:ilvl="2" w:tplc="497C7316">
      <w:start w:val="1"/>
      <w:numFmt w:val="lowerRoman"/>
      <w:lvlText w:val="%3."/>
      <w:lvlJc w:val="right"/>
      <w:pPr>
        <w:ind w:left="2160" w:hanging="180"/>
      </w:pPr>
    </w:lvl>
    <w:lvl w:ilvl="3" w:tplc="75AE3A38">
      <w:start w:val="1"/>
      <w:numFmt w:val="decimal"/>
      <w:lvlText w:val="%4."/>
      <w:lvlJc w:val="left"/>
      <w:pPr>
        <w:ind w:left="2880" w:hanging="360"/>
      </w:pPr>
    </w:lvl>
    <w:lvl w:ilvl="4" w:tplc="F67C78F4">
      <w:start w:val="1"/>
      <w:numFmt w:val="lowerLetter"/>
      <w:lvlText w:val="%5."/>
      <w:lvlJc w:val="left"/>
      <w:pPr>
        <w:ind w:left="3600" w:hanging="360"/>
      </w:pPr>
    </w:lvl>
    <w:lvl w:ilvl="5" w:tplc="CCD21E5E">
      <w:start w:val="1"/>
      <w:numFmt w:val="lowerRoman"/>
      <w:lvlText w:val="%6."/>
      <w:lvlJc w:val="right"/>
      <w:pPr>
        <w:ind w:left="4320" w:hanging="180"/>
      </w:pPr>
    </w:lvl>
    <w:lvl w:ilvl="6" w:tplc="7B1A340E">
      <w:start w:val="1"/>
      <w:numFmt w:val="decimal"/>
      <w:lvlText w:val="%7."/>
      <w:lvlJc w:val="left"/>
      <w:pPr>
        <w:ind w:left="5040" w:hanging="360"/>
      </w:pPr>
    </w:lvl>
    <w:lvl w:ilvl="7" w:tplc="5FEA104C">
      <w:start w:val="1"/>
      <w:numFmt w:val="lowerLetter"/>
      <w:lvlText w:val="%8."/>
      <w:lvlJc w:val="left"/>
      <w:pPr>
        <w:ind w:left="5760" w:hanging="360"/>
      </w:pPr>
    </w:lvl>
    <w:lvl w:ilvl="8" w:tplc="A03C873E">
      <w:start w:val="1"/>
      <w:numFmt w:val="lowerRoman"/>
      <w:lvlText w:val="%9."/>
      <w:lvlJc w:val="right"/>
      <w:pPr>
        <w:ind w:left="6480" w:hanging="180"/>
      </w:pPr>
    </w:lvl>
  </w:abstractNum>
  <w:num w:numId="1" w16cid:durableId="131485871">
    <w:abstractNumId w:val="6"/>
  </w:num>
  <w:num w:numId="2" w16cid:durableId="303120202">
    <w:abstractNumId w:val="1"/>
  </w:num>
  <w:num w:numId="3" w16cid:durableId="567613974">
    <w:abstractNumId w:val="2"/>
  </w:num>
  <w:num w:numId="4" w16cid:durableId="1215771048">
    <w:abstractNumId w:val="5"/>
  </w:num>
  <w:num w:numId="5" w16cid:durableId="1566842876">
    <w:abstractNumId w:val="0"/>
  </w:num>
  <w:num w:numId="6" w16cid:durableId="674305616">
    <w:abstractNumId w:val="4"/>
  </w:num>
  <w:num w:numId="7" w16cid:durableId="1722482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3A45E7"/>
    <w:rsid w:val="002A16E9"/>
    <w:rsid w:val="003E61D5"/>
    <w:rsid w:val="00514FEB"/>
    <w:rsid w:val="00614496"/>
    <w:rsid w:val="00A989E9"/>
    <w:rsid w:val="00AD5870"/>
    <w:rsid w:val="049C7A78"/>
    <w:rsid w:val="050ADB3B"/>
    <w:rsid w:val="065BBD69"/>
    <w:rsid w:val="0795E5C4"/>
    <w:rsid w:val="07FB0F93"/>
    <w:rsid w:val="0AD3912F"/>
    <w:rsid w:val="0AF10D69"/>
    <w:rsid w:val="0B52B75F"/>
    <w:rsid w:val="1311D74C"/>
    <w:rsid w:val="159D11FA"/>
    <w:rsid w:val="1BA4608C"/>
    <w:rsid w:val="1F6DD022"/>
    <w:rsid w:val="219A002A"/>
    <w:rsid w:val="229277D1"/>
    <w:rsid w:val="22D8647C"/>
    <w:rsid w:val="257EDAE3"/>
    <w:rsid w:val="2F221097"/>
    <w:rsid w:val="36734C22"/>
    <w:rsid w:val="3CD7A465"/>
    <w:rsid w:val="47DC0E25"/>
    <w:rsid w:val="4A0E6EB5"/>
    <w:rsid w:val="4EBACDF0"/>
    <w:rsid w:val="50F617D2"/>
    <w:rsid w:val="57FFB2CC"/>
    <w:rsid w:val="5CDBF117"/>
    <w:rsid w:val="5ECFF0A2"/>
    <w:rsid w:val="613A45E7"/>
    <w:rsid w:val="63633027"/>
    <w:rsid w:val="64268FDC"/>
    <w:rsid w:val="644587E3"/>
    <w:rsid w:val="64650E5F"/>
    <w:rsid w:val="69021BBD"/>
    <w:rsid w:val="724725D0"/>
    <w:rsid w:val="7E66B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45E7"/>
  <w15:chartTrackingRefBased/>
  <w15:docId w15:val="{F670797C-0F82-4E85-A47E-CD17C779E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AF10D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F10D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AF10D6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AF10D69"/>
    <w:pPr>
      <w:ind w:left="720"/>
      <w:contextualSpacing/>
    </w:pPr>
  </w:style>
  <w:style w:type="character" w:styleId="Hyperlink">
    <w:name w:val="Hyperlink"/>
    <w:basedOn w:val="DefaultParagraphFont"/>
    <w:uiPriority w:val="99"/>
    <w:unhideWhenUsed/>
    <w:rsid w:val="644587E3"/>
    <w:rPr>
      <w:color w:val="467886"/>
      <w:u w:val="single"/>
    </w:rPr>
  </w:style>
  <w:style w:type="character" w:styleId="Emphasis">
    <w:name w:val="Emphasis"/>
    <w:basedOn w:val="DefaultParagraphFont"/>
    <w:uiPriority w:val="20"/>
    <w:qFormat/>
    <w:rsid w:val="00AD58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346251X08000390" TargetMode="External"/><Relationship Id="rId13" Type="http://schemas.openxmlformats.org/officeDocument/2006/relationships/hyperlink" Target="https://doi.org/10.1016/B978-012589042-7/50015-3" TargetMode="External"/><Relationship Id="rId18" Type="http://schemas.openxmlformats.org/officeDocument/2006/relationships/hyperlink" Target="https://benjamins.com/catalog/lllt.13.09v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ambridge.org/core/journals/studies-in-second-language-acquisition/article/implicit-and-explicit-corrective-feedback-and-the-acquisition-of-l2-grammar/CDE67D4A4E286921DA4BE9C40BAD9FE6" TargetMode="External"/><Relationship Id="rId12" Type="http://schemas.openxmlformats.org/officeDocument/2006/relationships/hyperlink" Target="https://www.cambridge.org/core/journals/studies-in-second-language-acquisition/article/abs/incidental-focus-on-form-and-second-language-learning/81B162E1F86CA6FCC89075AFD309E835" TargetMode="External"/><Relationship Id="rId17" Type="http://schemas.openxmlformats.org/officeDocument/2006/relationships/hyperlink" Target="https://www.routledge.com/Corrective-Feedback-in-Second-Language-Teaching-and-Learning-Research-Theory/Nassaji-Kartchava/p/book/9781138659636" TargetMode="External"/><Relationship Id="rId2" Type="http://schemas.openxmlformats.org/officeDocument/2006/relationships/styles" Target="styles.xml"/><Relationship Id="rId16" Type="http://schemas.openxmlformats.org/officeDocument/2006/relationships/hyperlink" Target="https://www.cambridge.org/core/books/cambridge-handbook-of-corrective-feedback-in-second-language-learning-and-teaching/" TargetMode="External"/><Relationship Id="rId20" Type="http://schemas.openxmlformats.org/officeDocument/2006/relationships/hyperlink" Target="https://scispace.com/papers/three-functions-of-output-in-second-language-learning-2ljbkfyu61" TargetMode="External"/><Relationship Id="rId1" Type="http://schemas.openxmlformats.org/officeDocument/2006/relationships/numbering" Target="numbering.xml"/><Relationship Id="rId6" Type="http://schemas.openxmlformats.org/officeDocument/2006/relationships/hyperlink" Target="https://www.repository.cam.ac.uk/bitstreams/d59d993c-128b-46f3-b4d7-e4d752ad25a5/download?utm_source=chatgpt.com" TargetMode="External"/><Relationship Id="rId11" Type="http://schemas.openxmlformats.org/officeDocument/2006/relationships/hyperlink" Target="https://www.jstor.org/stable/44486977" TargetMode="External"/><Relationship Id="rId5" Type="http://schemas.openxmlformats.org/officeDocument/2006/relationships/hyperlink" Target="https://www.cambridge.org/core/journals/studies-in-second-language-acquisition/article/abs/one-size-fits-all-recasts-prompts-and-l2-learning/1BD11AD38ACFC600539FF6A0C748B697" TargetMode="External"/><Relationship Id="rId15" Type="http://schemas.openxmlformats.org/officeDocument/2006/relationships/hyperlink" Target="https://www.cambridge.org/core/journals/studies-in-second-language-acquisition/article/abs/oral-feedback-in-classroom-sla/4999EE1C8379B2BF026B148EAF373CA1" TargetMode="External"/><Relationship Id="rId10" Type="http://schemas.openxmlformats.org/officeDocument/2006/relationships/hyperlink" Target="https://onlinelibrary.wiley.com/doi/10.1111/j.1467-9922.2010.00561.x" TargetMode="External"/><Relationship Id="rId19" Type="http://schemas.openxmlformats.org/officeDocument/2006/relationships/hyperlink" Target="https://onlinelibrary.wiley.com/doi/10.1002/j.1545-7249.2007.tb00059.x" TargetMode="External"/><Relationship Id="rId4" Type="http://schemas.openxmlformats.org/officeDocument/2006/relationships/webSettings" Target="webSettings.xml"/><Relationship Id="rId9" Type="http://schemas.openxmlformats.org/officeDocument/2006/relationships/hyperlink" Target="https://onlinelibrary.wiley.com/doi/abs/10.1111/modl.12189" TargetMode="External"/><Relationship Id="rId14" Type="http://schemas.openxmlformats.org/officeDocument/2006/relationships/hyperlink" Target="https://www.cambridge.org/core/journals/studies-in-second-language-acquisition/article/abs/corrective-feedback-and-learner-uptake/59229F0CA2F085F5F5016FB4674877B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3383</Words>
  <Characters>19284</Characters>
  <Application>Microsoft Office Word</Application>
  <DocSecurity>0</DocSecurity>
  <Lines>160</Lines>
  <Paragraphs>45</Paragraphs>
  <ScaleCrop>false</ScaleCrop>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Shaban (2212035)</dc:creator>
  <cp:keywords/>
  <dc:description/>
  <cp:lastModifiedBy>Microsoft Office User</cp:lastModifiedBy>
  <cp:revision>8</cp:revision>
  <dcterms:created xsi:type="dcterms:W3CDTF">2025-11-26T00:09:00Z</dcterms:created>
  <dcterms:modified xsi:type="dcterms:W3CDTF">2025-11-26T22:13:00Z</dcterms:modified>
</cp:coreProperties>
</file>