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446A58" w14:textId="77777777" w:rsidR="00842C11" w:rsidRDefault="00842C11" w:rsidP="00842C11">
      <w:pPr>
        <w:jc w:val="center"/>
        <w:rPr>
          <w:rFonts w:ascii="Calibri" w:hAnsi="Calibri" w:cs="Calibri"/>
          <w:b/>
          <w:bCs/>
        </w:rPr>
      </w:pPr>
    </w:p>
    <w:p w14:paraId="02E22D22" w14:textId="2C408AFA" w:rsidR="00541CBF" w:rsidRPr="00842C11" w:rsidRDefault="00000000" w:rsidP="005E355C">
      <w:pPr>
        <w:jc w:val="center"/>
        <w:rPr>
          <w:rFonts w:ascii="Calibri" w:hAnsi="Calibri" w:cs="Calibri"/>
          <w:b/>
          <w:bCs/>
        </w:rPr>
      </w:pPr>
      <w:r w:rsidRPr="00842C11">
        <w:rPr>
          <w:rFonts w:ascii="Calibri" w:hAnsi="Calibri" w:cs="Calibri"/>
          <w:b/>
          <w:bCs/>
        </w:rPr>
        <w:t>Compare and contrast any male character with any female character</w:t>
      </w:r>
      <w:r w:rsidR="005E355C">
        <w:rPr>
          <w:rFonts w:ascii="Calibri" w:hAnsi="Calibri" w:cs="Calibri"/>
          <w:b/>
          <w:bCs/>
        </w:rPr>
        <w:t xml:space="preserve"> </w:t>
      </w:r>
      <w:r w:rsidRPr="00842C11">
        <w:rPr>
          <w:rFonts w:ascii="Calibri" w:hAnsi="Calibri" w:cs="Calibri"/>
          <w:b/>
          <w:bCs/>
        </w:rPr>
        <w:t>in the Four Branches of the Mabinogi.</w:t>
      </w:r>
      <w:r w:rsidR="00842C11">
        <w:rPr>
          <w:rFonts w:ascii="Calibri" w:hAnsi="Calibri" w:cs="Calibri"/>
          <w:b/>
          <w:bCs/>
        </w:rPr>
        <w:t xml:space="preserve"> </w:t>
      </w:r>
      <w:r w:rsidRPr="00842C11">
        <w:rPr>
          <w:rFonts w:ascii="Calibri" w:hAnsi="Calibri" w:cs="Calibri"/>
          <w:b/>
          <w:bCs/>
        </w:rPr>
        <w:t>Do you agree that the female characters in the Four Branches</w:t>
      </w:r>
      <w:r w:rsidR="00842C11" w:rsidRPr="00842C11">
        <w:rPr>
          <w:rFonts w:ascii="Calibri" w:hAnsi="Calibri" w:cs="Calibri"/>
          <w:b/>
          <w:bCs/>
        </w:rPr>
        <w:t xml:space="preserve"> </w:t>
      </w:r>
      <w:r w:rsidRPr="00842C11">
        <w:rPr>
          <w:rFonts w:ascii="Calibri" w:hAnsi="Calibri" w:cs="Calibri"/>
          <w:b/>
          <w:bCs/>
        </w:rPr>
        <w:t>are more memorable than the male characters?</w:t>
      </w:r>
    </w:p>
    <w:p w14:paraId="373912F6" w14:textId="77777777" w:rsidR="005E355C" w:rsidRDefault="005E355C">
      <w:pPr>
        <w:spacing w:after="200" w:line="360" w:lineRule="auto"/>
        <w:rPr>
          <w:rFonts w:ascii="Calibri" w:hAnsi="Calibri" w:cs="Calibri"/>
          <w:b/>
          <w:bCs/>
        </w:rPr>
      </w:pPr>
    </w:p>
    <w:p w14:paraId="64718343" w14:textId="68125E12" w:rsidR="00541CBF" w:rsidRPr="00842C11" w:rsidRDefault="00000000">
      <w:pPr>
        <w:spacing w:after="200" w:line="360" w:lineRule="auto"/>
        <w:rPr>
          <w:rFonts w:ascii="Calibri" w:hAnsi="Calibri" w:cs="Calibri"/>
        </w:rPr>
      </w:pPr>
      <w:r w:rsidRPr="00842C11">
        <w:rPr>
          <w:rFonts w:ascii="Calibri" w:hAnsi="Calibri" w:cs="Calibri"/>
        </w:rPr>
        <w:t xml:space="preserve">The Four Branches of the Mabinogi </w:t>
      </w:r>
      <w:r w:rsidR="000F382E" w:rsidRPr="000F382E">
        <w:rPr>
          <w:rFonts w:ascii="Calibri" w:hAnsi="Calibri" w:cs="Calibri"/>
        </w:rPr>
        <w:t>stand as some of the finest achievements</w:t>
      </w:r>
      <w:r w:rsidR="000F382E">
        <w:rPr>
          <w:rFonts w:ascii="Calibri" w:hAnsi="Calibri" w:cs="Calibri"/>
        </w:rPr>
        <w:t xml:space="preserve"> </w:t>
      </w:r>
      <w:r w:rsidRPr="00842C11">
        <w:rPr>
          <w:rFonts w:ascii="Calibri" w:hAnsi="Calibri" w:cs="Calibri"/>
        </w:rPr>
        <w:t>of medieval Welsh literature</w:t>
      </w:r>
      <w:r w:rsidR="00842C11">
        <w:rPr>
          <w:rFonts w:ascii="Calibri" w:hAnsi="Calibri" w:cs="Calibri"/>
        </w:rPr>
        <w:t xml:space="preserve">, </w:t>
      </w:r>
      <w:r w:rsidR="000F382E" w:rsidRPr="000F382E">
        <w:rPr>
          <w:rFonts w:ascii="Calibri" w:hAnsi="Calibri" w:cs="Calibri"/>
        </w:rPr>
        <w:t>designed to be appreciated as complete unified works</w:t>
      </w:r>
      <w:r w:rsidR="00842C11">
        <w:rPr>
          <w:rFonts w:ascii="Calibri" w:hAnsi="Calibri" w:cs="Calibri"/>
        </w:rPr>
        <w:t xml:space="preserve">. </w:t>
      </w:r>
      <w:r w:rsidRPr="00842C11">
        <w:rPr>
          <w:rFonts w:ascii="Calibri" w:hAnsi="Calibri" w:cs="Calibri"/>
        </w:rPr>
        <w:t xml:space="preserve">As Sioned Davies observes in her introduction to </w:t>
      </w:r>
      <w:r w:rsidRPr="00842C11">
        <w:rPr>
          <w:rFonts w:ascii="Calibri" w:hAnsi="Calibri" w:cs="Calibri"/>
          <w:i/>
          <w:iCs/>
        </w:rPr>
        <w:t>The Mabinogion</w:t>
      </w:r>
      <w:r w:rsidRPr="00842C11">
        <w:rPr>
          <w:rFonts w:ascii="Calibri" w:hAnsi="Calibri" w:cs="Calibri"/>
        </w:rPr>
        <w:t>, the Four Branches form “</w:t>
      </w:r>
      <w:r w:rsidR="00A46A68">
        <w:rPr>
          <w:rFonts w:ascii="Calibri" w:hAnsi="Calibri" w:cs="Calibri"/>
        </w:rPr>
        <w:t>a distinct group</w:t>
      </w:r>
      <w:r w:rsidRPr="00842C11">
        <w:rPr>
          <w:rFonts w:ascii="Calibri" w:hAnsi="Calibri" w:cs="Calibri"/>
        </w:rPr>
        <w:t>” unified by concerns with power, order, and legitimacy.</w:t>
      </w:r>
      <w:r w:rsidRPr="00842C11">
        <w:rPr>
          <w:rStyle w:val="FootnoteReference"/>
          <w:rFonts w:ascii="Calibri" w:hAnsi="Calibri" w:cs="Calibri"/>
        </w:rPr>
        <w:footnoteReference w:id="1"/>
      </w:r>
      <w:r w:rsidRPr="00842C11">
        <w:rPr>
          <w:rFonts w:ascii="Calibri" w:hAnsi="Calibri" w:cs="Calibri"/>
        </w:rPr>
        <w:t xml:space="preserve"> This </w:t>
      </w:r>
      <w:r w:rsidR="000F382E">
        <w:rPr>
          <w:rFonts w:ascii="Calibri" w:hAnsi="Calibri" w:cs="Calibri"/>
        </w:rPr>
        <w:t>cohesion</w:t>
      </w:r>
      <w:r w:rsidRPr="00842C11">
        <w:rPr>
          <w:rFonts w:ascii="Calibri" w:hAnsi="Calibri" w:cs="Calibri"/>
        </w:rPr>
        <w:t xml:space="preserve"> invites comparison across branches and characters, particularly </w:t>
      </w:r>
      <w:r w:rsidR="000F382E">
        <w:rPr>
          <w:rFonts w:ascii="Calibri" w:hAnsi="Calibri" w:cs="Calibri"/>
        </w:rPr>
        <w:t>in</w:t>
      </w:r>
      <w:r w:rsidRPr="00842C11">
        <w:rPr>
          <w:rFonts w:ascii="Calibri" w:hAnsi="Calibri" w:cs="Calibri"/>
        </w:rPr>
        <w:t xml:space="preserve"> how authority is held, tested, and maintained. Critics and readers have frequently noted that the female characters appear more vivid and memorable than their male counterparts</w:t>
      </w:r>
      <w:r w:rsidR="00842C11">
        <w:rPr>
          <w:rFonts w:ascii="Calibri" w:hAnsi="Calibri" w:cs="Calibri"/>
        </w:rPr>
        <w:t>, with</w:t>
      </w:r>
      <w:r w:rsidRPr="00842C11">
        <w:rPr>
          <w:rFonts w:ascii="Calibri" w:hAnsi="Calibri" w:cs="Calibri"/>
        </w:rPr>
        <w:t xml:space="preserve"> R. L. Valente put</w:t>
      </w:r>
      <w:r w:rsidR="00842C11">
        <w:rPr>
          <w:rFonts w:ascii="Calibri" w:hAnsi="Calibri" w:cs="Calibri"/>
        </w:rPr>
        <w:t xml:space="preserve">ting </w:t>
      </w:r>
      <w:r w:rsidRPr="00842C11">
        <w:rPr>
          <w:rFonts w:ascii="Calibri" w:hAnsi="Calibri" w:cs="Calibri"/>
        </w:rPr>
        <w:t>the point directly: “The women of the Mabinogi — whose personalities range from the mysteriously elusive to the humorously practical — are among the most vivid characters in the world of the Four Branches.”</w:t>
      </w:r>
      <w:r w:rsidRPr="00842C11">
        <w:rPr>
          <w:rStyle w:val="FootnoteReference"/>
          <w:rFonts w:ascii="Calibri" w:hAnsi="Calibri" w:cs="Calibri"/>
        </w:rPr>
        <w:footnoteReference w:id="2"/>
      </w:r>
      <w:r w:rsidRPr="00842C11">
        <w:rPr>
          <w:rFonts w:ascii="Calibri" w:hAnsi="Calibri" w:cs="Calibri"/>
        </w:rPr>
        <w:t xml:space="preserve"> Sioned Davies, writing in 1989, echoes this view: “however interesting the male characters in </w:t>
      </w:r>
      <w:proofErr w:type="spellStart"/>
      <w:r w:rsidRPr="00842C11">
        <w:rPr>
          <w:rFonts w:ascii="Calibri" w:hAnsi="Calibri" w:cs="Calibri"/>
        </w:rPr>
        <w:t>Pedeir</w:t>
      </w:r>
      <w:proofErr w:type="spellEnd"/>
      <w:r w:rsidRPr="00842C11">
        <w:rPr>
          <w:rFonts w:ascii="Calibri" w:hAnsi="Calibri" w:cs="Calibri"/>
        </w:rPr>
        <w:t xml:space="preserve"> </w:t>
      </w:r>
      <w:proofErr w:type="spellStart"/>
      <w:r w:rsidRPr="00842C11">
        <w:rPr>
          <w:rFonts w:ascii="Calibri" w:hAnsi="Calibri" w:cs="Calibri"/>
        </w:rPr>
        <w:t>Keinc</w:t>
      </w:r>
      <w:proofErr w:type="spellEnd"/>
      <w:r w:rsidRPr="00842C11">
        <w:rPr>
          <w:rFonts w:ascii="Calibri" w:hAnsi="Calibri" w:cs="Calibri"/>
        </w:rPr>
        <w:t xml:space="preserve"> y Mabinogi may be, it seems it is the women who are well-remembered.”</w:t>
      </w:r>
      <w:r w:rsidRPr="00842C11">
        <w:rPr>
          <w:rStyle w:val="FootnoteReference"/>
          <w:rFonts w:ascii="Calibri" w:hAnsi="Calibri" w:cs="Calibri"/>
        </w:rPr>
        <w:footnoteReference w:id="3"/>
      </w:r>
      <w:r w:rsidRPr="00842C11">
        <w:rPr>
          <w:rFonts w:ascii="Calibri" w:hAnsi="Calibri" w:cs="Calibri"/>
        </w:rPr>
        <w:t xml:space="preserve"> This essay examines that perception by comparing Pwyll, Prince of Dyfed, with Blodeuwedd, asking whether female characters are indeed more memorable and, if so, what makes them so.</w:t>
      </w:r>
    </w:p>
    <w:p w14:paraId="71C57B1A" w14:textId="4431E756" w:rsidR="00541CBF" w:rsidRPr="00842C11" w:rsidRDefault="00000000">
      <w:pPr>
        <w:spacing w:after="200" w:line="360" w:lineRule="auto"/>
        <w:rPr>
          <w:rFonts w:ascii="Calibri" w:hAnsi="Calibri" w:cs="Calibri"/>
        </w:rPr>
      </w:pPr>
      <w:r w:rsidRPr="00842C11">
        <w:rPr>
          <w:rFonts w:ascii="Calibri" w:hAnsi="Calibri" w:cs="Calibri"/>
        </w:rPr>
        <w:t xml:space="preserve">Any discussion of memorability must </w:t>
      </w:r>
      <w:r w:rsidR="00842C11">
        <w:rPr>
          <w:rFonts w:ascii="Calibri" w:hAnsi="Calibri" w:cs="Calibri"/>
        </w:rPr>
        <w:t>start with the context of why the Branches were created at all – and the environment in which they were told. The</w:t>
      </w:r>
      <w:r w:rsidR="004058BA">
        <w:rPr>
          <w:rFonts w:ascii="Calibri" w:hAnsi="Calibri" w:cs="Calibri"/>
        </w:rPr>
        <w:t xml:space="preserve"> stories, the earliest written prose stories of British literature, are </w:t>
      </w:r>
      <w:r w:rsidR="004058BA" w:rsidRPr="004058BA">
        <w:rPr>
          <w:rFonts w:ascii="Calibri" w:hAnsi="Calibri" w:cs="Calibri"/>
        </w:rPr>
        <w:t xml:space="preserve">deeply rooted in a pre-Christian oral tradition </w:t>
      </w:r>
      <w:r w:rsidR="004058BA">
        <w:rPr>
          <w:rFonts w:ascii="Calibri" w:hAnsi="Calibri" w:cs="Calibri"/>
        </w:rPr>
        <w:t xml:space="preserve">and therefore relied on bards recalling complex and elaborate details. </w:t>
      </w:r>
      <w:r w:rsidRPr="00842C11">
        <w:rPr>
          <w:rFonts w:ascii="Calibri" w:hAnsi="Calibri" w:cs="Calibri"/>
        </w:rPr>
        <w:t>Walter Ong’s observation that “</w:t>
      </w:r>
      <w:proofErr w:type="spellStart"/>
      <w:r w:rsidRPr="00842C11">
        <w:rPr>
          <w:rFonts w:ascii="Calibri" w:hAnsi="Calibri" w:cs="Calibri"/>
        </w:rPr>
        <w:t>Colorless</w:t>
      </w:r>
      <w:proofErr w:type="spellEnd"/>
      <w:r w:rsidRPr="00842C11">
        <w:rPr>
          <w:rFonts w:ascii="Calibri" w:hAnsi="Calibri" w:cs="Calibri"/>
        </w:rPr>
        <w:t xml:space="preserve"> personalities cannot survive oral mnemonics” is a useful starting point</w:t>
      </w:r>
      <w:r w:rsidR="004058BA">
        <w:rPr>
          <w:rFonts w:ascii="Calibri" w:hAnsi="Calibri" w:cs="Calibri"/>
        </w:rPr>
        <w:t xml:space="preserve"> -</w:t>
      </w:r>
      <w:r w:rsidRPr="00842C11">
        <w:rPr>
          <w:rFonts w:ascii="Calibri" w:hAnsi="Calibri" w:cs="Calibri"/>
        </w:rPr>
        <w:t xml:space="preserve"> oral tradition demands characters whose deeds are monumental, memorable and commonly public.</w:t>
      </w:r>
      <w:r w:rsidRPr="00842C11">
        <w:rPr>
          <w:rStyle w:val="FootnoteReference"/>
          <w:rFonts w:ascii="Calibri" w:hAnsi="Calibri" w:cs="Calibri"/>
        </w:rPr>
        <w:footnoteReference w:id="4"/>
      </w:r>
      <w:r w:rsidRPr="00842C11">
        <w:rPr>
          <w:rFonts w:ascii="Calibri" w:hAnsi="Calibri" w:cs="Calibri"/>
        </w:rPr>
        <w:t xml:space="preserve"> Yet the Four Branches, as Patrick K. Ford argues, should also be read as sophisticated literature, not </w:t>
      </w:r>
      <w:r w:rsidR="009C0EC8">
        <w:rPr>
          <w:rFonts w:ascii="Calibri" w:hAnsi="Calibri" w:cs="Calibri"/>
        </w:rPr>
        <w:t>simple</w:t>
      </w:r>
      <w:r w:rsidRPr="00842C11">
        <w:rPr>
          <w:rFonts w:ascii="Calibri" w:hAnsi="Calibri" w:cs="Calibri"/>
        </w:rPr>
        <w:t xml:space="preserve"> folklore,</w:t>
      </w:r>
      <w:r w:rsidRPr="00842C11">
        <w:rPr>
          <w:rStyle w:val="FootnoteReference"/>
          <w:rFonts w:ascii="Calibri" w:hAnsi="Calibri" w:cs="Calibri"/>
        </w:rPr>
        <w:footnoteReference w:id="5"/>
      </w:r>
      <w:r w:rsidRPr="00842C11">
        <w:rPr>
          <w:rFonts w:ascii="Calibri" w:hAnsi="Calibri" w:cs="Calibri"/>
        </w:rPr>
        <w:t xml:space="preserve"> and this complicates the picture. Memorability in a written, literary tradition </w:t>
      </w:r>
      <w:r w:rsidR="00212275">
        <w:rPr>
          <w:rFonts w:ascii="Calibri" w:hAnsi="Calibri" w:cs="Calibri"/>
        </w:rPr>
        <w:t>doesn’t only rely on frequency,</w:t>
      </w:r>
      <w:r w:rsidRPr="00842C11">
        <w:rPr>
          <w:rFonts w:ascii="Calibri" w:hAnsi="Calibri" w:cs="Calibri"/>
        </w:rPr>
        <w:t xml:space="preserve"> but</w:t>
      </w:r>
      <w:r w:rsidR="00212275">
        <w:rPr>
          <w:rFonts w:ascii="Calibri" w:hAnsi="Calibri" w:cs="Calibri"/>
        </w:rPr>
        <w:t xml:space="preserve"> also</w:t>
      </w:r>
      <w:r w:rsidRPr="00842C11">
        <w:rPr>
          <w:rFonts w:ascii="Calibri" w:hAnsi="Calibri" w:cs="Calibri"/>
        </w:rPr>
        <w:t xml:space="preserve"> with a character’s capacity to </w:t>
      </w:r>
      <w:r w:rsidR="00212275">
        <w:rPr>
          <w:rFonts w:ascii="Calibri" w:hAnsi="Calibri" w:cs="Calibri"/>
        </w:rPr>
        <w:t>create</w:t>
      </w:r>
      <w:r w:rsidRPr="00842C11">
        <w:rPr>
          <w:rFonts w:ascii="Calibri" w:hAnsi="Calibri" w:cs="Calibri"/>
        </w:rPr>
        <w:t xml:space="preserve"> interpretative tension. Characters linger when they disturb social norms, expose contradictions in the moral framework, or resist clean resolution. Through this lens, the apparent prominence of female characters becomes less a </w:t>
      </w:r>
      <w:r w:rsidRPr="00842C11">
        <w:rPr>
          <w:rFonts w:ascii="Calibri" w:hAnsi="Calibri" w:cs="Calibri"/>
        </w:rPr>
        <w:lastRenderedPageBreak/>
        <w:t>matter of narrative preference and more a reflection of how the text deploys gendered roles</w:t>
      </w:r>
      <w:r w:rsidR="004058BA">
        <w:rPr>
          <w:rFonts w:ascii="Calibri" w:hAnsi="Calibri" w:cs="Calibri"/>
        </w:rPr>
        <w:t xml:space="preserve"> that would have been recognisable to its audience. </w:t>
      </w:r>
    </w:p>
    <w:p w14:paraId="40108583" w14:textId="56D8BB6C" w:rsidR="00541CBF" w:rsidRPr="00842C11" w:rsidRDefault="00000000">
      <w:pPr>
        <w:spacing w:after="200" w:line="360" w:lineRule="auto"/>
        <w:rPr>
          <w:rFonts w:ascii="Calibri" w:hAnsi="Calibri" w:cs="Calibri"/>
        </w:rPr>
      </w:pPr>
      <w:r w:rsidRPr="00842C11">
        <w:rPr>
          <w:rFonts w:ascii="Calibri" w:hAnsi="Calibri" w:cs="Calibri"/>
        </w:rPr>
        <w:t xml:space="preserve">Pwyll, the protagonist of the First Branch, exemplifies </w:t>
      </w:r>
      <w:r w:rsidR="00212275">
        <w:rPr>
          <w:rFonts w:ascii="Calibri" w:hAnsi="Calibri" w:cs="Calibri"/>
        </w:rPr>
        <w:t>the male virtue of lawfulness</w:t>
      </w:r>
      <w:r w:rsidRPr="00842C11">
        <w:rPr>
          <w:rFonts w:ascii="Calibri" w:hAnsi="Calibri" w:cs="Calibri"/>
        </w:rPr>
        <w:t xml:space="preserve">. </w:t>
      </w:r>
      <w:r w:rsidR="00212275" w:rsidRPr="00212275">
        <w:rPr>
          <w:rFonts w:ascii="Calibri" w:hAnsi="Calibri" w:cs="Calibri"/>
        </w:rPr>
        <w:t>The narrative traces his growth from ignorance to ethical maturity, showing how restraint, honour and public accountability shape medieval Welsh kingship</w:t>
      </w:r>
      <w:r w:rsidRPr="00842C11">
        <w:rPr>
          <w:rFonts w:ascii="Calibri" w:hAnsi="Calibri" w:cs="Calibri"/>
        </w:rPr>
        <w:t xml:space="preserve">. </w:t>
      </w:r>
      <w:r w:rsidR="00FE4BBD" w:rsidRPr="00FE4BBD">
        <w:rPr>
          <w:rFonts w:ascii="Calibri" w:hAnsi="Calibri" w:cs="Calibri"/>
        </w:rPr>
        <w:t>His story culminates in successful reintegration and stability</w:t>
      </w:r>
      <w:r w:rsidR="00212275">
        <w:rPr>
          <w:rFonts w:ascii="Calibri" w:hAnsi="Calibri" w:cs="Calibri"/>
        </w:rPr>
        <w:t>.</w:t>
      </w:r>
      <w:r w:rsidR="00FE4BBD" w:rsidRPr="00FE4BBD">
        <w:rPr>
          <w:rFonts w:ascii="Calibri" w:hAnsi="Calibri" w:cs="Calibri"/>
        </w:rPr>
        <w:t xml:space="preserve"> Blodeuwedd, by contrast, embodies a form of female agency that challenged the constraints of medieval femininity.</w:t>
      </w:r>
      <w:r w:rsidRPr="00FE4BBD">
        <w:rPr>
          <w:rFonts w:ascii="Calibri" w:hAnsi="Calibri" w:cs="Calibri"/>
        </w:rPr>
        <w:t xml:space="preserve"> </w:t>
      </w:r>
      <w:r w:rsidRPr="00842C11">
        <w:rPr>
          <w:rFonts w:ascii="Calibri" w:hAnsi="Calibri" w:cs="Calibri"/>
        </w:rPr>
        <w:t>Created artificially to fulfil a social requirement, she asserts private desire, acts without communal mediation, and is punished with permanent exile. As Juliette Wood notes, Blodeuwedd’s transformation fixes her permanently outside human society, denying her the correction or reintegration afforded to male figures.</w:t>
      </w:r>
      <w:r w:rsidRPr="00842C11">
        <w:rPr>
          <w:rStyle w:val="FootnoteReference"/>
          <w:rFonts w:ascii="Calibri" w:hAnsi="Calibri" w:cs="Calibri"/>
        </w:rPr>
        <w:footnoteReference w:id="6"/>
      </w:r>
    </w:p>
    <w:p w14:paraId="54DED02D" w14:textId="42683D5D" w:rsidR="00541CBF" w:rsidRPr="00842C11" w:rsidRDefault="00000000">
      <w:pPr>
        <w:spacing w:after="200" w:line="360" w:lineRule="auto"/>
        <w:rPr>
          <w:rFonts w:ascii="Calibri" w:hAnsi="Calibri" w:cs="Calibri"/>
        </w:rPr>
      </w:pPr>
      <w:r w:rsidRPr="00842C11">
        <w:rPr>
          <w:rFonts w:ascii="Calibri" w:hAnsi="Calibri" w:cs="Calibri"/>
        </w:rPr>
        <w:t>This essay argues that female characters in the Four Branches are more memorable than male characters because they are repeatedly placed at moments of cultural anxiety. Male characters such as Pwyll demonstrate how order should function; female characters such as Blodeuwedd reveal the strain placed upon that order. Drawing on structural analysis, gender-focused criticism, and the legal frameworks of medieval Welsh society, this essay will show that female memorability in the Mabinogi arises from the way women are made to carry the symbolic weight of disruption, endurance, and exclusion. The Four Branches preserve female figures not as ideals but as points where the cost of social stability becomes visible.</w:t>
      </w:r>
    </w:p>
    <w:p w14:paraId="2B82F3C7" w14:textId="2B42E7AD" w:rsidR="00541CBF" w:rsidRPr="00842C11" w:rsidRDefault="00000000">
      <w:pPr>
        <w:spacing w:after="200" w:line="360" w:lineRule="auto"/>
        <w:rPr>
          <w:rFonts w:ascii="Calibri" w:hAnsi="Calibri" w:cs="Calibri"/>
        </w:rPr>
      </w:pPr>
      <w:r w:rsidRPr="00842C11">
        <w:rPr>
          <w:rFonts w:ascii="Calibri" w:hAnsi="Calibri" w:cs="Calibri"/>
        </w:rPr>
        <w:t xml:space="preserve">The figure of Pwyll provides one of the clearest models of lawful masculinity in medieval Welsh literature. His narrative is concerned with ethical formation rather than heroic excess, presenting kingship as a role that must be learned, regulated, and exercised within social norms. Pwyll’s story establishes the behavioural standards against which later disruptions </w:t>
      </w:r>
      <w:r w:rsidR="005E355C">
        <w:rPr>
          <w:rFonts w:ascii="Calibri" w:hAnsi="Calibri" w:cs="Calibri"/>
        </w:rPr>
        <w:t xml:space="preserve">of those standards </w:t>
      </w:r>
      <w:r w:rsidRPr="00842C11">
        <w:rPr>
          <w:rFonts w:ascii="Calibri" w:hAnsi="Calibri" w:cs="Calibri"/>
        </w:rPr>
        <w:t>can be measured, yet it also shows why male characters like him are often perceived as less memorable than their female counterparts.</w:t>
      </w:r>
    </w:p>
    <w:p w14:paraId="59CED3E3" w14:textId="3185886E" w:rsidR="00541CBF" w:rsidRPr="00842C11" w:rsidRDefault="00000000">
      <w:pPr>
        <w:spacing w:after="200" w:line="360" w:lineRule="auto"/>
        <w:rPr>
          <w:rFonts w:ascii="Calibri" w:hAnsi="Calibri" w:cs="Calibri"/>
        </w:rPr>
      </w:pPr>
      <w:r w:rsidRPr="00842C11">
        <w:rPr>
          <w:rFonts w:ascii="Calibri" w:hAnsi="Calibri" w:cs="Calibri"/>
        </w:rPr>
        <w:t>Pwyll’s masculinity is defined not by physical prowess or conquest but by restraint and responsiveness to correction. His initial offence against Arawn, king of Annwn, is not malicious but ignorant. When he drives Arawn’s hounds from their kill, Arawn’s response is a calm reproof rather than a threat: “</w:t>
      </w:r>
      <w:r w:rsidR="009C0EC8">
        <w:rPr>
          <w:rFonts w:ascii="Calibri" w:hAnsi="Calibri" w:cs="Calibri"/>
        </w:rPr>
        <w:t xml:space="preserve">I have </w:t>
      </w:r>
      <w:r w:rsidR="007E3970">
        <w:rPr>
          <w:rFonts w:ascii="Calibri" w:hAnsi="Calibri" w:cs="Calibri"/>
        </w:rPr>
        <w:t>seen no greater discourtesy in a man.</w:t>
      </w:r>
      <w:r w:rsidRPr="00842C11">
        <w:rPr>
          <w:rFonts w:ascii="Calibri" w:hAnsi="Calibri" w:cs="Calibri"/>
        </w:rPr>
        <w:t>”</w:t>
      </w:r>
      <w:r w:rsidRPr="00842C11">
        <w:rPr>
          <w:rStyle w:val="FootnoteReference"/>
          <w:rFonts w:ascii="Calibri" w:hAnsi="Calibri" w:cs="Calibri"/>
        </w:rPr>
        <w:footnoteReference w:id="7"/>
      </w:r>
      <w:r w:rsidRPr="00842C11">
        <w:rPr>
          <w:rFonts w:ascii="Calibri" w:hAnsi="Calibri" w:cs="Calibri"/>
        </w:rPr>
        <w:t xml:space="preserve"> The exchange frames the error as an opportunity for moral education rather than a cause for feud</w:t>
      </w:r>
      <w:r w:rsidR="005E355C">
        <w:rPr>
          <w:rFonts w:ascii="Calibri" w:hAnsi="Calibri" w:cs="Calibri"/>
        </w:rPr>
        <w:t>, and</w:t>
      </w:r>
      <w:r w:rsidRPr="00842C11">
        <w:rPr>
          <w:rFonts w:ascii="Calibri" w:hAnsi="Calibri" w:cs="Calibri"/>
        </w:rPr>
        <w:t xml:space="preserve"> </w:t>
      </w:r>
      <w:r w:rsidR="005E355C">
        <w:rPr>
          <w:rFonts w:ascii="Calibri" w:hAnsi="Calibri" w:cs="Calibri"/>
        </w:rPr>
        <w:t>b</w:t>
      </w:r>
      <w:r w:rsidRPr="00842C11">
        <w:rPr>
          <w:rFonts w:ascii="Calibri" w:hAnsi="Calibri" w:cs="Calibri"/>
        </w:rPr>
        <w:t xml:space="preserve">y agreeing to exchange places with Arawn for a year and a day, Pwyll submits to a system of accountability that favours restitution over punishment. This emphasis aligns with medieval Welsh legal culture, which, as Dafydd Jenkins observes, placed a high value on restraint, </w:t>
      </w:r>
      <w:r w:rsidRPr="00842C11">
        <w:rPr>
          <w:rFonts w:ascii="Calibri" w:hAnsi="Calibri" w:cs="Calibri"/>
        </w:rPr>
        <w:lastRenderedPageBreak/>
        <w:t>compensation, and the avoidance of feud.</w:t>
      </w:r>
      <w:r w:rsidRPr="00842C11">
        <w:rPr>
          <w:rStyle w:val="FootnoteReference"/>
          <w:rFonts w:ascii="Calibri" w:hAnsi="Calibri" w:cs="Calibri"/>
        </w:rPr>
        <w:footnoteReference w:id="8"/>
      </w:r>
      <w:r w:rsidRPr="00842C11">
        <w:rPr>
          <w:rFonts w:ascii="Calibri" w:hAnsi="Calibri" w:cs="Calibri"/>
        </w:rPr>
        <w:t xml:space="preserve"> Pwyll’s willingness to accept responsibility and make amends grounds his masculinity firmly in this legal and ethical framework.</w:t>
      </w:r>
    </w:p>
    <w:p w14:paraId="6EA39DF4" w14:textId="5315C5EE" w:rsidR="00541CBF" w:rsidRPr="00842C11" w:rsidRDefault="00000000">
      <w:pPr>
        <w:spacing w:after="200" w:line="360" w:lineRule="auto"/>
        <w:rPr>
          <w:rFonts w:ascii="Calibri" w:hAnsi="Calibri" w:cs="Calibri"/>
        </w:rPr>
      </w:pPr>
      <w:r w:rsidRPr="00842C11">
        <w:rPr>
          <w:rFonts w:ascii="Calibri" w:hAnsi="Calibri" w:cs="Calibri"/>
        </w:rPr>
        <w:t xml:space="preserve">The defining test of Pwyll’s character occurs during his time in Annwn, when he refrains from sleeping with Arawn’s wife despite occupying Arawn’s form and authority. The narrator is emphatic on this point: “He </w:t>
      </w:r>
      <w:r w:rsidR="007E3970">
        <w:rPr>
          <w:rFonts w:ascii="Calibri" w:hAnsi="Calibri" w:cs="Calibri"/>
        </w:rPr>
        <w:t>turned his face to the edge of the bed, and his back to her</w:t>
      </w:r>
      <w:r w:rsidRPr="00842C11">
        <w:rPr>
          <w:rFonts w:ascii="Calibri" w:hAnsi="Calibri" w:cs="Calibri"/>
        </w:rPr>
        <w:t>.”</w:t>
      </w:r>
      <w:r w:rsidRPr="00842C11">
        <w:rPr>
          <w:rStyle w:val="FootnoteReference"/>
          <w:rFonts w:ascii="Calibri" w:hAnsi="Calibri" w:cs="Calibri"/>
        </w:rPr>
        <w:footnoteReference w:id="9"/>
      </w:r>
      <w:r w:rsidRPr="00842C11">
        <w:rPr>
          <w:rFonts w:ascii="Calibri" w:hAnsi="Calibri" w:cs="Calibri"/>
        </w:rPr>
        <w:t xml:space="preserve"> This act of sexual restraint is central to the narrative’s construction of ideal kingship</w:t>
      </w:r>
      <w:r w:rsidR="005E355C">
        <w:rPr>
          <w:rFonts w:ascii="Calibri" w:hAnsi="Calibri" w:cs="Calibri"/>
        </w:rPr>
        <w:t xml:space="preserve"> – power</w:t>
      </w:r>
      <w:r w:rsidRPr="00842C11">
        <w:rPr>
          <w:rFonts w:ascii="Calibri" w:hAnsi="Calibri" w:cs="Calibri"/>
        </w:rPr>
        <w:t xml:space="preserve">, the text suggests, is demonstrated through the refusal to abuse it, not through the exploitation of opportunity. Pwyll exemplifies </w:t>
      </w:r>
      <w:r w:rsidR="005E355C">
        <w:rPr>
          <w:rFonts w:ascii="Calibri" w:hAnsi="Calibri" w:cs="Calibri"/>
        </w:rPr>
        <w:t>the</w:t>
      </w:r>
      <w:r w:rsidRPr="00842C11">
        <w:rPr>
          <w:rFonts w:ascii="Calibri" w:hAnsi="Calibri" w:cs="Calibri"/>
        </w:rPr>
        <w:t xml:space="preserve"> model of medieval kingship concerned less with heroic action than with maintaining order</w:t>
      </w:r>
      <w:r w:rsidR="005E355C">
        <w:rPr>
          <w:rFonts w:ascii="Calibri" w:hAnsi="Calibri" w:cs="Calibri"/>
        </w:rPr>
        <w:t>, and his</w:t>
      </w:r>
      <w:r w:rsidRPr="00842C11">
        <w:rPr>
          <w:rFonts w:ascii="Calibri" w:hAnsi="Calibri" w:cs="Calibri"/>
        </w:rPr>
        <w:t xml:space="preserve"> masculinity is inseparable from self-regulation and respect for social boundaries.</w:t>
      </w:r>
    </w:p>
    <w:p w14:paraId="15EF8876" w14:textId="186D7595" w:rsidR="00541CBF" w:rsidRPr="00842C11" w:rsidRDefault="00000000">
      <w:pPr>
        <w:spacing w:after="200" w:line="360" w:lineRule="auto"/>
        <w:rPr>
          <w:rFonts w:ascii="Calibri" w:hAnsi="Calibri" w:cs="Calibri"/>
        </w:rPr>
      </w:pPr>
      <w:r w:rsidRPr="00842C11">
        <w:rPr>
          <w:rFonts w:ascii="Calibri" w:hAnsi="Calibri" w:cs="Calibri"/>
        </w:rPr>
        <w:t xml:space="preserve">The narrative reinforces this </w:t>
      </w:r>
      <w:r w:rsidR="00FE4BBD">
        <w:rPr>
          <w:rFonts w:ascii="Calibri" w:hAnsi="Calibri" w:cs="Calibri"/>
        </w:rPr>
        <w:t>interpretation</w:t>
      </w:r>
      <w:r w:rsidRPr="00842C11">
        <w:rPr>
          <w:rFonts w:ascii="Calibri" w:hAnsi="Calibri" w:cs="Calibri"/>
        </w:rPr>
        <w:t xml:space="preserve"> through the etymology of Pwyll’s name. As Sioned Davies observes, by the close of the First Branch Pwyll has matur</w:t>
      </w:r>
      <w:r w:rsidR="007E3970">
        <w:rPr>
          <w:rFonts w:ascii="Calibri" w:hAnsi="Calibri" w:cs="Calibri"/>
        </w:rPr>
        <w:t xml:space="preserve">ed </w:t>
      </w:r>
      <w:r w:rsidRPr="00842C11">
        <w:rPr>
          <w:rFonts w:ascii="Calibri" w:hAnsi="Calibri" w:cs="Calibri"/>
        </w:rPr>
        <w:t>and fully deserves the name Pwyll (meaning ‘discretion’ or ‘good sense’).</w:t>
      </w:r>
      <w:r w:rsidRPr="00842C11">
        <w:rPr>
          <w:rStyle w:val="FootnoteReference"/>
          <w:rFonts w:ascii="Calibri" w:hAnsi="Calibri" w:cs="Calibri"/>
        </w:rPr>
        <w:footnoteReference w:id="10"/>
      </w:r>
      <w:r w:rsidRPr="00842C11">
        <w:rPr>
          <w:rFonts w:ascii="Calibri" w:hAnsi="Calibri" w:cs="Calibri"/>
        </w:rPr>
        <w:t xml:space="preserve"> The lesson of the branch is, in effect, an extended </w:t>
      </w:r>
      <w:r w:rsidR="005E355C">
        <w:rPr>
          <w:rFonts w:ascii="Calibri" w:hAnsi="Calibri" w:cs="Calibri"/>
        </w:rPr>
        <w:t>treatise</w:t>
      </w:r>
      <w:r w:rsidRPr="00842C11">
        <w:rPr>
          <w:rFonts w:ascii="Calibri" w:hAnsi="Calibri" w:cs="Calibri"/>
        </w:rPr>
        <w:t xml:space="preserve"> on that name. Following these trials, Pwyll’s marriage to Rhiannon reinforces his lawful status</w:t>
      </w:r>
      <w:r w:rsidR="005E355C">
        <w:rPr>
          <w:rFonts w:ascii="Calibri" w:hAnsi="Calibri" w:cs="Calibri"/>
        </w:rPr>
        <w:t>, t</w:t>
      </w:r>
      <w:r w:rsidRPr="00842C11">
        <w:rPr>
          <w:rFonts w:ascii="Calibri" w:hAnsi="Calibri" w:cs="Calibri"/>
        </w:rPr>
        <w:t xml:space="preserve">heir union </w:t>
      </w:r>
      <w:r w:rsidR="005E355C">
        <w:rPr>
          <w:rFonts w:ascii="Calibri" w:hAnsi="Calibri" w:cs="Calibri"/>
        </w:rPr>
        <w:t>c</w:t>
      </w:r>
      <w:r w:rsidRPr="00842C11">
        <w:rPr>
          <w:rFonts w:ascii="Calibri" w:hAnsi="Calibri" w:cs="Calibri"/>
        </w:rPr>
        <w:t xml:space="preserve">onducted publicly and </w:t>
      </w:r>
      <w:r w:rsidR="00FE4BBD" w:rsidRPr="00842C11">
        <w:rPr>
          <w:rFonts w:ascii="Calibri" w:hAnsi="Calibri" w:cs="Calibri"/>
        </w:rPr>
        <w:t>legitimately and</w:t>
      </w:r>
      <w:r w:rsidR="005E355C">
        <w:rPr>
          <w:rFonts w:ascii="Calibri" w:hAnsi="Calibri" w:cs="Calibri"/>
        </w:rPr>
        <w:t xml:space="preserve"> serves as</w:t>
      </w:r>
      <w:r w:rsidRPr="00842C11">
        <w:rPr>
          <w:rFonts w:ascii="Calibri" w:hAnsi="Calibri" w:cs="Calibri"/>
        </w:rPr>
        <w:t xml:space="preserve"> a sharp contrast to the illicit relationships that appear later in the Four Branches. The narrative rewards Pwyll with stability</w:t>
      </w:r>
      <w:r w:rsidR="005E355C">
        <w:rPr>
          <w:rFonts w:ascii="Calibri" w:hAnsi="Calibri" w:cs="Calibri"/>
        </w:rPr>
        <w:t xml:space="preserve"> –</w:t>
      </w:r>
      <w:r w:rsidRPr="00842C11">
        <w:rPr>
          <w:rFonts w:ascii="Calibri" w:hAnsi="Calibri" w:cs="Calibri"/>
        </w:rPr>
        <w:t xml:space="preserve"> alliances are secured, honour affirmed, conflict resolved. He is allowed to learn from his mistakes and to be reintegrated fully into society. His story closes with continuity rather than rupture.</w:t>
      </w:r>
    </w:p>
    <w:p w14:paraId="2152E339" w14:textId="115D61BA" w:rsidR="00541CBF" w:rsidRPr="00842C11" w:rsidRDefault="00000000">
      <w:pPr>
        <w:spacing w:after="200" w:line="360" w:lineRule="auto"/>
        <w:rPr>
          <w:rFonts w:ascii="Calibri" w:hAnsi="Calibri" w:cs="Calibri"/>
        </w:rPr>
      </w:pPr>
      <w:r w:rsidRPr="00842C11">
        <w:rPr>
          <w:rFonts w:ascii="Calibri" w:hAnsi="Calibri" w:cs="Calibri"/>
        </w:rPr>
        <w:t>Yet it is this very success that limits how far Pwyll lingers in the imagination. His arc is educative and reassuring, a demonstration of how power should operate when guided by law and ethical restraint. Once the model is established, tension dissipates. Pwyll does not trouble the reader because he does not expose contradictions within the system he serves</w:t>
      </w:r>
      <w:r w:rsidR="005E355C">
        <w:rPr>
          <w:rFonts w:ascii="Calibri" w:hAnsi="Calibri" w:cs="Calibri"/>
        </w:rPr>
        <w:t>;</w:t>
      </w:r>
      <w:r w:rsidRPr="00842C11">
        <w:rPr>
          <w:rFonts w:ascii="Calibri" w:hAnsi="Calibri" w:cs="Calibri"/>
        </w:rPr>
        <w:t xml:space="preserve"> </w:t>
      </w:r>
      <w:r w:rsidR="005E355C">
        <w:rPr>
          <w:rFonts w:ascii="Calibri" w:hAnsi="Calibri" w:cs="Calibri"/>
        </w:rPr>
        <w:t>h</w:t>
      </w:r>
      <w:r w:rsidRPr="00842C11">
        <w:rPr>
          <w:rFonts w:ascii="Calibri" w:hAnsi="Calibri" w:cs="Calibri"/>
        </w:rPr>
        <w:t>e confirms its legitimacy. His masculinity is exemplary but also narratively quiet — a necessary foundation for the Four Branches that leaves the more unsettling cultural interrogation to other figures.</w:t>
      </w:r>
    </w:p>
    <w:p w14:paraId="5231B7AB" w14:textId="44DDF6B6" w:rsidR="00541CBF" w:rsidRPr="00842C11" w:rsidRDefault="00000000">
      <w:pPr>
        <w:spacing w:after="200" w:line="360" w:lineRule="auto"/>
        <w:rPr>
          <w:rFonts w:ascii="Calibri" w:hAnsi="Calibri" w:cs="Calibri"/>
        </w:rPr>
      </w:pPr>
      <w:r w:rsidRPr="00842C11">
        <w:rPr>
          <w:rFonts w:ascii="Calibri" w:hAnsi="Calibri" w:cs="Calibri"/>
        </w:rPr>
        <w:t xml:space="preserve">Blodeuwedd stands in sharp contrast to Pwyll. Where his narrative is structured around education, restraint, and reintegration, </w:t>
      </w:r>
      <w:proofErr w:type="gramStart"/>
      <w:r w:rsidRPr="00842C11">
        <w:rPr>
          <w:rFonts w:ascii="Calibri" w:hAnsi="Calibri" w:cs="Calibri"/>
        </w:rPr>
        <w:t>hers</w:t>
      </w:r>
      <w:proofErr w:type="gramEnd"/>
      <w:r w:rsidRPr="00842C11">
        <w:rPr>
          <w:rFonts w:ascii="Calibri" w:hAnsi="Calibri" w:cs="Calibri"/>
        </w:rPr>
        <w:t xml:space="preserve"> centres on refusal, secrecy, and irreversible punishment. She is one of the </w:t>
      </w:r>
      <w:r w:rsidRPr="00842C11">
        <w:rPr>
          <w:rFonts w:ascii="Calibri" w:hAnsi="Calibri" w:cs="Calibri"/>
        </w:rPr>
        <w:lastRenderedPageBreak/>
        <w:t xml:space="preserve">most memorable characters in the Four Branches — not because she holds narrative authority, but because she exposes the limits of what the </w:t>
      </w:r>
      <w:r w:rsidR="009A3EC2">
        <w:rPr>
          <w:rFonts w:ascii="Calibri" w:hAnsi="Calibri" w:cs="Calibri"/>
        </w:rPr>
        <w:t xml:space="preserve">constructed </w:t>
      </w:r>
      <w:r w:rsidRPr="00842C11">
        <w:rPr>
          <w:rFonts w:ascii="Calibri" w:hAnsi="Calibri" w:cs="Calibri"/>
        </w:rPr>
        <w:t>social order can accommodate.</w:t>
      </w:r>
    </w:p>
    <w:p w14:paraId="585FF2A3" w14:textId="72A042ED" w:rsidR="00541CBF" w:rsidRPr="00842C11" w:rsidRDefault="00000000">
      <w:pPr>
        <w:spacing w:after="200" w:line="360" w:lineRule="auto"/>
        <w:rPr>
          <w:rFonts w:ascii="Calibri" w:hAnsi="Calibri" w:cs="Calibri"/>
        </w:rPr>
      </w:pPr>
      <w:r w:rsidRPr="00842C11">
        <w:rPr>
          <w:rFonts w:ascii="Calibri" w:hAnsi="Calibri" w:cs="Calibri"/>
        </w:rPr>
        <w:t>Her disruptive potential is signalled from the outset by her unnatural origin</w:t>
      </w:r>
      <w:r w:rsidR="007E3970">
        <w:rPr>
          <w:rFonts w:ascii="Calibri" w:hAnsi="Calibri" w:cs="Calibri"/>
        </w:rPr>
        <w:t>: “they conjured up the fairest and most beautiful maiden</w:t>
      </w:r>
      <w:r w:rsidRPr="00842C11">
        <w:rPr>
          <w:rFonts w:ascii="Calibri" w:hAnsi="Calibri" w:cs="Calibri"/>
        </w:rPr>
        <w:t>”</w:t>
      </w:r>
      <w:r w:rsidRPr="00842C11">
        <w:rPr>
          <w:rStyle w:val="FootnoteReference"/>
          <w:rFonts w:ascii="Calibri" w:hAnsi="Calibri" w:cs="Calibri"/>
        </w:rPr>
        <w:footnoteReference w:id="11"/>
      </w:r>
      <w:r w:rsidR="007E3970">
        <w:rPr>
          <w:rFonts w:ascii="Calibri" w:hAnsi="Calibri" w:cs="Calibri"/>
        </w:rPr>
        <w:t>.</w:t>
      </w:r>
      <w:r w:rsidRPr="00842C11">
        <w:rPr>
          <w:rFonts w:ascii="Calibri" w:hAnsi="Calibri" w:cs="Calibri"/>
        </w:rPr>
        <w:t xml:space="preserve"> Created magically by Math and Gwydion to provide a wife for Lleu </w:t>
      </w:r>
      <w:proofErr w:type="spellStart"/>
      <w:r w:rsidRPr="00842C11">
        <w:rPr>
          <w:rFonts w:ascii="Calibri" w:hAnsi="Calibri" w:cs="Calibri"/>
        </w:rPr>
        <w:t>Llaw</w:t>
      </w:r>
      <w:proofErr w:type="spellEnd"/>
      <w:r w:rsidRPr="00842C11">
        <w:rPr>
          <w:rFonts w:ascii="Calibri" w:hAnsi="Calibri" w:cs="Calibri"/>
        </w:rPr>
        <w:t xml:space="preserve"> Gyffes, she is excluded from the kinship structures that ordinarily ground female legitimacy in medieval Welsh societ</w:t>
      </w:r>
      <w:r w:rsidR="009A3EC2">
        <w:rPr>
          <w:rFonts w:ascii="Calibri" w:hAnsi="Calibri" w:cs="Calibri"/>
        </w:rPr>
        <w:t>y – she</w:t>
      </w:r>
      <w:r w:rsidRPr="00842C11">
        <w:rPr>
          <w:rFonts w:ascii="Calibri" w:hAnsi="Calibri" w:cs="Calibri"/>
        </w:rPr>
        <w:t xml:space="preserve"> has no mother, no lineage, no inherited social role</w:t>
      </w:r>
      <w:r w:rsidR="009A3EC2">
        <w:rPr>
          <w:rFonts w:ascii="Calibri" w:hAnsi="Calibri" w:cs="Calibri"/>
        </w:rPr>
        <w:t xml:space="preserve"> and</w:t>
      </w:r>
      <w:r w:rsidRPr="00842C11">
        <w:rPr>
          <w:rFonts w:ascii="Calibri" w:hAnsi="Calibri" w:cs="Calibri"/>
        </w:rPr>
        <w:t xml:space="preserve"> </w:t>
      </w:r>
      <w:r w:rsidR="009A3EC2">
        <w:rPr>
          <w:rFonts w:ascii="Calibri" w:hAnsi="Calibri" w:cs="Calibri"/>
        </w:rPr>
        <w:t>t</w:t>
      </w:r>
      <w:r w:rsidRPr="00842C11">
        <w:rPr>
          <w:rFonts w:ascii="Calibri" w:hAnsi="Calibri" w:cs="Calibri"/>
        </w:rPr>
        <w:t>his absence places her outside the legal frameworks governing marriage, loyalty, and compensation. Unlike male characters, whose missteps can be addressed through restitution, Blodeuwedd occupies a space where correction is simply not available.</w:t>
      </w:r>
    </w:p>
    <w:p w14:paraId="73EC370C" w14:textId="5E6FC12F" w:rsidR="00541CBF" w:rsidRPr="00842C11" w:rsidRDefault="00000000">
      <w:pPr>
        <w:spacing w:after="200" w:line="360" w:lineRule="auto"/>
        <w:rPr>
          <w:rFonts w:ascii="Calibri" w:hAnsi="Calibri" w:cs="Calibri"/>
        </w:rPr>
      </w:pPr>
      <w:r w:rsidRPr="00842C11">
        <w:rPr>
          <w:rFonts w:ascii="Calibri" w:hAnsi="Calibri" w:cs="Calibri"/>
        </w:rPr>
        <w:t xml:space="preserve">Her assertion of desire further destabilises the social order. Blodeuwedd’s relationship with Gronw </w:t>
      </w:r>
      <w:proofErr w:type="spellStart"/>
      <w:r w:rsidRPr="00842C11">
        <w:rPr>
          <w:rFonts w:ascii="Calibri" w:hAnsi="Calibri" w:cs="Calibri"/>
        </w:rPr>
        <w:t>Pebr</w:t>
      </w:r>
      <w:proofErr w:type="spellEnd"/>
      <w:r w:rsidRPr="00842C11">
        <w:rPr>
          <w:rFonts w:ascii="Calibri" w:hAnsi="Calibri" w:cs="Calibri"/>
        </w:rPr>
        <w:t xml:space="preserve"> is conducted privately and illicitly, bypassing the public, ritualised forms of sexual union that characterise lawful relationships in the Four Branches. Her desire is not merely adulterous but autonomous —</w:t>
      </w:r>
      <w:r w:rsidRPr="00FE4BBD">
        <w:rPr>
          <w:rFonts w:ascii="Calibri" w:hAnsi="Calibri" w:cs="Calibri"/>
        </w:rPr>
        <w:t xml:space="preserve"> </w:t>
      </w:r>
      <w:r w:rsidR="00FE4BBD" w:rsidRPr="00FE4BBD">
        <w:rPr>
          <w:rFonts w:ascii="Calibri" w:hAnsi="Calibri" w:cs="Calibri"/>
        </w:rPr>
        <w:t>it operates independently of her expected emotions, granting her agency</w:t>
      </w:r>
      <w:r w:rsidR="009A3EC2">
        <w:rPr>
          <w:rFonts w:ascii="Calibri" w:hAnsi="Calibri" w:cs="Calibri"/>
        </w:rPr>
        <w:t>:</w:t>
      </w:r>
      <w:r w:rsidR="009A3EC2" w:rsidRPr="00842C11">
        <w:rPr>
          <w:rFonts w:ascii="Calibri" w:hAnsi="Calibri" w:cs="Calibri"/>
        </w:rPr>
        <w:t xml:space="preserve"> “From </w:t>
      </w:r>
      <w:r w:rsidR="007E3970">
        <w:rPr>
          <w:rFonts w:ascii="Calibri" w:hAnsi="Calibri" w:cs="Calibri"/>
        </w:rPr>
        <w:t>the moment she looked there was no part of her that was not filled with love for him</w:t>
      </w:r>
      <w:r w:rsidR="009A3EC2" w:rsidRPr="00842C11">
        <w:rPr>
          <w:rFonts w:ascii="Calibri" w:hAnsi="Calibri" w:cs="Calibri"/>
        </w:rPr>
        <w:t>.”</w:t>
      </w:r>
      <w:r w:rsidR="009A3EC2" w:rsidRPr="00842C11">
        <w:rPr>
          <w:rStyle w:val="FootnoteReference"/>
          <w:rFonts w:ascii="Calibri" w:hAnsi="Calibri" w:cs="Calibri"/>
        </w:rPr>
        <w:footnoteReference w:id="12"/>
      </w:r>
      <w:r w:rsidR="009A3EC2" w:rsidRPr="00842C11">
        <w:rPr>
          <w:rFonts w:ascii="Calibri" w:hAnsi="Calibri" w:cs="Calibri"/>
        </w:rPr>
        <w:t xml:space="preserve"> </w:t>
      </w:r>
      <w:r w:rsidRPr="00842C11">
        <w:rPr>
          <w:rFonts w:ascii="Calibri" w:hAnsi="Calibri" w:cs="Calibri"/>
        </w:rPr>
        <w:t xml:space="preserve">The gravity of this transgression is clarified by the legal material of the period. The Iorwerth text of the Welsh Laws of Women (c. thirteenth century) specifies that if a wife “commit an unseemly offence, either giving a kiss to another man or allowing intercourse, that is </w:t>
      </w:r>
      <w:r w:rsidR="007E3970">
        <w:rPr>
          <w:rFonts w:ascii="Calibri" w:hAnsi="Calibri" w:cs="Calibri"/>
        </w:rPr>
        <w:t>not</w:t>
      </w:r>
      <w:r w:rsidRPr="00842C11">
        <w:rPr>
          <w:rFonts w:ascii="Calibri" w:hAnsi="Calibri" w:cs="Calibri"/>
        </w:rPr>
        <w:t xml:space="preserve"> to her husband” — an insult requiring compensation within a formal legal framework.</w:t>
      </w:r>
      <w:r w:rsidRPr="00842C11">
        <w:rPr>
          <w:rStyle w:val="FootnoteReference"/>
          <w:rFonts w:ascii="Calibri" w:hAnsi="Calibri" w:cs="Calibri"/>
        </w:rPr>
        <w:footnoteReference w:id="13"/>
      </w:r>
      <w:r w:rsidRPr="00842C11">
        <w:rPr>
          <w:rFonts w:ascii="Calibri" w:hAnsi="Calibri" w:cs="Calibri"/>
        </w:rPr>
        <w:t xml:space="preserve"> Blodeuwedd’s conduct, viewed against this backdrop, is not </w:t>
      </w:r>
      <w:r w:rsidR="009A3EC2">
        <w:rPr>
          <w:rFonts w:ascii="Calibri" w:hAnsi="Calibri" w:cs="Calibri"/>
        </w:rPr>
        <w:t xml:space="preserve">only </w:t>
      </w:r>
      <w:r w:rsidRPr="00842C11">
        <w:rPr>
          <w:rFonts w:ascii="Calibri" w:hAnsi="Calibri" w:cs="Calibri"/>
        </w:rPr>
        <w:t xml:space="preserve">a private lapse but a </w:t>
      </w:r>
      <w:r w:rsidR="009A3EC2">
        <w:rPr>
          <w:rFonts w:ascii="Calibri" w:hAnsi="Calibri" w:cs="Calibri"/>
        </w:rPr>
        <w:t xml:space="preserve">legal and </w:t>
      </w:r>
      <w:r w:rsidRPr="00842C11">
        <w:rPr>
          <w:rFonts w:ascii="Calibri" w:hAnsi="Calibri" w:cs="Calibri"/>
        </w:rPr>
        <w:t>structural breach. As Margaret Homans argues, female desire in patriarchal narrative is frequently represented as dangerous when it is not mediated by social structures.</w:t>
      </w:r>
      <w:r w:rsidRPr="00842C11">
        <w:rPr>
          <w:rStyle w:val="FootnoteReference"/>
          <w:rFonts w:ascii="Calibri" w:hAnsi="Calibri" w:cs="Calibri"/>
        </w:rPr>
        <w:footnoteReference w:id="14"/>
      </w:r>
      <w:r w:rsidRPr="00842C11">
        <w:rPr>
          <w:rFonts w:ascii="Calibri" w:hAnsi="Calibri" w:cs="Calibri"/>
        </w:rPr>
        <w:t xml:space="preserve"> Blodeuwedd’s desire works in exactly this way, transforming her from a solution to a social problem into a threat to social stability.</w:t>
      </w:r>
    </w:p>
    <w:p w14:paraId="4808AD69" w14:textId="6DFD68BD" w:rsidR="00541CBF" w:rsidRPr="00842C11" w:rsidRDefault="00000000">
      <w:pPr>
        <w:spacing w:after="200" w:line="360" w:lineRule="auto"/>
        <w:rPr>
          <w:rFonts w:ascii="Calibri" w:hAnsi="Calibri" w:cs="Calibri"/>
        </w:rPr>
      </w:pPr>
      <w:r w:rsidRPr="00842C11">
        <w:rPr>
          <w:rFonts w:ascii="Calibri" w:hAnsi="Calibri" w:cs="Calibri"/>
        </w:rPr>
        <w:t>The attempted murder of Lleu is the culmination of this threat. Blodeuwedd’s violence is covert rather than confrontational. She extracts secret knowledge about the conditions under which Lleu can be killed and uses deception rather than public challenge</w:t>
      </w:r>
      <w:r w:rsidR="009A3EC2">
        <w:rPr>
          <w:rFonts w:ascii="Calibri" w:hAnsi="Calibri" w:cs="Calibri"/>
        </w:rPr>
        <w:t>,</w:t>
      </w:r>
      <w:r w:rsidRPr="00842C11">
        <w:rPr>
          <w:rFonts w:ascii="Calibri" w:hAnsi="Calibri" w:cs="Calibri"/>
        </w:rPr>
        <w:t xml:space="preserve"> </w:t>
      </w:r>
      <w:r w:rsidR="009A3EC2">
        <w:rPr>
          <w:rFonts w:ascii="Calibri" w:hAnsi="Calibri" w:cs="Calibri"/>
        </w:rPr>
        <w:t>and this</w:t>
      </w:r>
      <w:r w:rsidRPr="00842C11">
        <w:rPr>
          <w:rFonts w:ascii="Calibri" w:hAnsi="Calibri" w:cs="Calibri"/>
        </w:rPr>
        <w:t xml:space="preserve"> reliance on secrecy contrasts with the open, mediated forms of conflict resolution endorsed elsewhere in the Four Branches. Her actions undermine not only marital loyalty but the very mechanisms through which authority is negotiated and maintained.</w:t>
      </w:r>
    </w:p>
    <w:p w14:paraId="0FF17E1F" w14:textId="51E95E86" w:rsidR="00541CBF" w:rsidRPr="00842C11" w:rsidRDefault="00000000">
      <w:pPr>
        <w:spacing w:after="200" w:line="360" w:lineRule="auto"/>
        <w:rPr>
          <w:rFonts w:ascii="Calibri" w:hAnsi="Calibri" w:cs="Calibri"/>
        </w:rPr>
      </w:pPr>
      <w:r w:rsidRPr="00842C11">
        <w:rPr>
          <w:rFonts w:ascii="Calibri" w:hAnsi="Calibri" w:cs="Calibri"/>
        </w:rPr>
        <w:lastRenderedPageBreak/>
        <w:t>Blodeuwedd’s punishment reflects the narrative’s inability to absorb her form of agency. Transformed into an owl and condemned to permanent exile, she is denied repentance or reintegration</w:t>
      </w:r>
      <w:r w:rsidR="009A3EC2">
        <w:rPr>
          <w:rFonts w:ascii="Calibri" w:hAnsi="Calibri" w:cs="Calibri"/>
        </w:rPr>
        <w:t xml:space="preserve"> like her male counterparts</w:t>
      </w:r>
      <w:r w:rsidRPr="00842C11">
        <w:rPr>
          <w:rFonts w:ascii="Calibri" w:hAnsi="Calibri" w:cs="Calibri"/>
        </w:rPr>
        <w:t xml:space="preserve">. The contrast with male characters such as Pwyll, whose errors are framed as part of moral development, is stark. Notably, even the </w:t>
      </w:r>
      <w:r w:rsidR="00357C5F">
        <w:rPr>
          <w:rFonts w:ascii="Calibri" w:hAnsi="Calibri" w:cs="Calibri"/>
        </w:rPr>
        <w:t>legal</w:t>
      </w:r>
      <w:r w:rsidRPr="00842C11">
        <w:rPr>
          <w:rFonts w:ascii="Calibri" w:hAnsi="Calibri" w:cs="Calibri"/>
        </w:rPr>
        <w:t xml:space="preserve"> framework assumed a path to restitution; Blodeuwedd’s fate closes that path entirely.</w:t>
      </w:r>
    </w:p>
    <w:p w14:paraId="3E803118" w14:textId="1744975D" w:rsidR="00541CBF" w:rsidRPr="00842C11" w:rsidRDefault="00000000">
      <w:pPr>
        <w:spacing w:after="200" w:line="360" w:lineRule="auto"/>
        <w:rPr>
          <w:rFonts w:ascii="Calibri" w:hAnsi="Calibri" w:cs="Calibri"/>
        </w:rPr>
      </w:pPr>
      <w:r w:rsidRPr="00842C11">
        <w:rPr>
          <w:rFonts w:ascii="Calibri" w:hAnsi="Calibri" w:cs="Calibri"/>
        </w:rPr>
        <w:t>This severity is what makes Blodeuwedd so memorable. Her story does not resolve the tensions it generates; it leaves the reader with unresolved questions about agency, legitimacy, and blame. Where Pwyll confirms the viability of the social order, Blodeuwedd reveals its fragility</w:t>
      </w:r>
      <w:r w:rsidR="009A3EC2">
        <w:rPr>
          <w:rFonts w:ascii="Calibri" w:hAnsi="Calibri" w:cs="Calibri"/>
        </w:rPr>
        <w:t>,</w:t>
      </w:r>
      <w:r w:rsidRPr="00842C11">
        <w:rPr>
          <w:rFonts w:ascii="Calibri" w:hAnsi="Calibri" w:cs="Calibri"/>
        </w:rPr>
        <w:t xml:space="preserve"> </w:t>
      </w:r>
      <w:r w:rsidR="009A3EC2">
        <w:rPr>
          <w:rFonts w:ascii="Calibri" w:hAnsi="Calibri" w:cs="Calibri"/>
        </w:rPr>
        <w:t>h</w:t>
      </w:r>
      <w:r w:rsidRPr="00842C11">
        <w:rPr>
          <w:rFonts w:ascii="Calibri" w:hAnsi="Calibri" w:cs="Calibri"/>
        </w:rPr>
        <w:t xml:space="preserve">er disruptive femininity forces the narrative to respond with exclusion rather than education, and the refusal of closure is what </w:t>
      </w:r>
      <w:r w:rsidR="000F382E">
        <w:rPr>
          <w:rFonts w:ascii="Calibri" w:hAnsi="Calibri" w:cs="Calibri"/>
        </w:rPr>
        <w:t>makes her more vivid</w:t>
      </w:r>
      <w:r w:rsidRPr="00842C11">
        <w:rPr>
          <w:rFonts w:ascii="Calibri" w:hAnsi="Calibri" w:cs="Calibri"/>
        </w:rPr>
        <w:t xml:space="preserve"> in cultural memory.</w:t>
      </w:r>
    </w:p>
    <w:p w14:paraId="28848F7C" w14:textId="64550413" w:rsidR="00541CBF" w:rsidRPr="00842C11" w:rsidRDefault="00000000">
      <w:pPr>
        <w:spacing w:after="200" w:line="360" w:lineRule="auto"/>
        <w:rPr>
          <w:rFonts w:ascii="Calibri" w:hAnsi="Calibri" w:cs="Calibri"/>
        </w:rPr>
      </w:pPr>
      <w:r w:rsidRPr="00842C11">
        <w:rPr>
          <w:rFonts w:ascii="Calibri" w:hAnsi="Calibri" w:cs="Calibri"/>
        </w:rPr>
        <w:t xml:space="preserve">The comparison of Pwyll and Blodeuwedd gains further force when the First and Fourth Branches are read as deliberately mirrored narratives. </w:t>
      </w:r>
      <w:r w:rsidR="00545029">
        <w:rPr>
          <w:rFonts w:ascii="Calibri" w:hAnsi="Calibri" w:cs="Calibri"/>
        </w:rPr>
        <w:t>As mentioned previously, t</w:t>
      </w:r>
      <w:r w:rsidRPr="00842C11">
        <w:rPr>
          <w:rFonts w:ascii="Calibri" w:hAnsi="Calibri" w:cs="Calibri"/>
        </w:rPr>
        <w:t>he Four Branches do not function as independent tales</w:t>
      </w:r>
      <w:r w:rsidR="00545029">
        <w:rPr>
          <w:rFonts w:ascii="Calibri" w:hAnsi="Calibri" w:cs="Calibri"/>
        </w:rPr>
        <w:t xml:space="preserve"> – </w:t>
      </w:r>
      <w:r w:rsidRPr="00842C11">
        <w:rPr>
          <w:rFonts w:ascii="Calibri" w:hAnsi="Calibri" w:cs="Calibri"/>
        </w:rPr>
        <w:t>they are linked</w:t>
      </w:r>
      <w:r w:rsidR="00FE4BBD">
        <w:rPr>
          <w:rFonts w:ascii="Calibri" w:hAnsi="Calibri" w:cs="Calibri"/>
        </w:rPr>
        <w:t xml:space="preserve">, as argued by </w:t>
      </w:r>
      <w:r w:rsidR="00FE4BBD" w:rsidRPr="00842C11">
        <w:rPr>
          <w:rFonts w:ascii="Calibri" w:hAnsi="Calibri" w:cs="Calibri"/>
        </w:rPr>
        <w:t xml:space="preserve">Brynley Roberts, </w:t>
      </w:r>
      <w:r w:rsidRPr="00842C11">
        <w:rPr>
          <w:rFonts w:ascii="Calibri" w:hAnsi="Calibri" w:cs="Calibri"/>
        </w:rPr>
        <w:t xml:space="preserve">by </w:t>
      </w:r>
      <w:r w:rsidR="00DA2FC1">
        <w:rPr>
          <w:rFonts w:ascii="Calibri" w:hAnsi="Calibri" w:cs="Calibri"/>
        </w:rPr>
        <w:t xml:space="preserve">thematic developments and </w:t>
      </w:r>
      <w:proofErr w:type="spellStart"/>
      <w:r w:rsidR="00DA2FC1">
        <w:rPr>
          <w:rFonts w:ascii="Calibri" w:hAnsi="Calibri" w:cs="Calibri"/>
        </w:rPr>
        <w:t>parallellisms</w:t>
      </w:r>
      <w:proofErr w:type="spellEnd"/>
      <w:r w:rsidR="00DA2FC1">
        <w:rPr>
          <w:rFonts w:ascii="Calibri" w:hAnsi="Calibri" w:cs="Calibri"/>
        </w:rPr>
        <w:t>,</w:t>
      </w:r>
      <w:r w:rsidRPr="00842C11">
        <w:rPr>
          <w:rFonts w:ascii="Calibri" w:hAnsi="Calibri" w:cs="Calibri"/>
        </w:rPr>
        <w:t xml:space="preserve"> rather than linear development.</w:t>
      </w:r>
      <w:r w:rsidRPr="00842C11">
        <w:rPr>
          <w:rStyle w:val="FootnoteReference"/>
          <w:rFonts w:ascii="Calibri" w:hAnsi="Calibri" w:cs="Calibri"/>
        </w:rPr>
        <w:footnoteReference w:id="15"/>
      </w:r>
      <w:r w:rsidRPr="00842C11">
        <w:rPr>
          <w:rFonts w:ascii="Calibri" w:hAnsi="Calibri" w:cs="Calibri"/>
        </w:rPr>
        <w:t xml:space="preserve"> Read in this way, the First Branch, centred on Pwyll, and the Fourth, dominated by Blodeuwedd’s transgression, form ethical bookends that establish and then test the values governing the narrative</w:t>
      </w:r>
      <w:r w:rsidR="00FE4BBD">
        <w:rPr>
          <w:rFonts w:ascii="Calibri" w:hAnsi="Calibri" w:cs="Calibri"/>
        </w:rPr>
        <w:t xml:space="preserve">, and social, </w:t>
      </w:r>
      <w:r w:rsidRPr="00842C11">
        <w:rPr>
          <w:rFonts w:ascii="Calibri" w:hAnsi="Calibri" w:cs="Calibri"/>
        </w:rPr>
        <w:t>world.</w:t>
      </w:r>
    </w:p>
    <w:p w14:paraId="23EC2F8B" w14:textId="0A20586E" w:rsidR="00FE4BBD" w:rsidRDefault="00000000">
      <w:pPr>
        <w:spacing w:after="200" w:line="360" w:lineRule="auto"/>
        <w:rPr>
          <w:rFonts w:ascii="Calibri" w:hAnsi="Calibri" w:cs="Calibri"/>
        </w:rPr>
      </w:pPr>
      <w:r w:rsidRPr="00842C11">
        <w:rPr>
          <w:rFonts w:ascii="Calibri" w:hAnsi="Calibri" w:cs="Calibri"/>
        </w:rPr>
        <w:t xml:space="preserve">Valente reads the Four Branches as persistently didactic on precisely this point.  </w:t>
      </w:r>
    </w:p>
    <w:p w14:paraId="19621C85" w14:textId="77777777" w:rsidR="00FE4BBD" w:rsidRDefault="00000000" w:rsidP="00FE4BBD">
      <w:pPr>
        <w:spacing w:after="200" w:line="360" w:lineRule="auto"/>
        <w:ind w:firstLine="720"/>
        <w:rPr>
          <w:rFonts w:ascii="Calibri" w:hAnsi="Calibri" w:cs="Calibri"/>
        </w:rPr>
      </w:pPr>
      <w:r w:rsidRPr="00842C11">
        <w:rPr>
          <w:rFonts w:ascii="Calibri" w:hAnsi="Calibri" w:cs="Calibri"/>
        </w:rPr>
        <w:t>“</w:t>
      </w:r>
      <w:proofErr w:type="gramStart"/>
      <w:r w:rsidRPr="00842C11">
        <w:rPr>
          <w:rFonts w:ascii="Calibri" w:hAnsi="Calibri" w:cs="Calibri"/>
        </w:rPr>
        <w:t>the</w:t>
      </w:r>
      <w:proofErr w:type="gramEnd"/>
      <w:r w:rsidRPr="00842C11">
        <w:rPr>
          <w:rFonts w:ascii="Calibri" w:hAnsi="Calibri" w:cs="Calibri"/>
        </w:rPr>
        <w:t xml:space="preserve"> Four Branches continually remind us that the actions of men and women are inextricably woven together. Where the women are faithful to their responsibilities and where the men respect their powers, the social group finds stability and just resolutions to unexpected difficulties or decisions. When either gender sets out to do anything without regard to the obligations owed to the other, the social group breaks apart.”</w:t>
      </w:r>
      <w:r w:rsidRPr="00842C11">
        <w:rPr>
          <w:rStyle w:val="FootnoteReference"/>
          <w:rFonts w:ascii="Calibri" w:hAnsi="Calibri" w:cs="Calibri"/>
        </w:rPr>
        <w:footnoteReference w:id="16"/>
      </w:r>
      <w:r w:rsidRPr="00842C11">
        <w:rPr>
          <w:rFonts w:ascii="Calibri" w:hAnsi="Calibri" w:cs="Calibri"/>
        </w:rPr>
        <w:t xml:space="preserve"> </w:t>
      </w:r>
    </w:p>
    <w:p w14:paraId="00813EF9" w14:textId="2D62EB14" w:rsidR="00541CBF" w:rsidRPr="00842C11" w:rsidRDefault="00000000" w:rsidP="00FE4BBD">
      <w:pPr>
        <w:spacing w:after="200" w:line="360" w:lineRule="auto"/>
        <w:rPr>
          <w:rFonts w:ascii="Calibri" w:hAnsi="Calibri" w:cs="Calibri"/>
        </w:rPr>
      </w:pPr>
      <w:r w:rsidRPr="00842C11">
        <w:rPr>
          <w:rFonts w:ascii="Calibri" w:hAnsi="Calibri" w:cs="Calibri"/>
        </w:rPr>
        <w:t>This observation gives the First/Fourth Branch pairing its moral weight</w:t>
      </w:r>
      <w:r w:rsidR="00FE4BBD">
        <w:rPr>
          <w:rFonts w:ascii="Calibri" w:hAnsi="Calibri" w:cs="Calibri"/>
        </w:rPr>
        <w:t xml:space="preserve">, and </w:t>
      </w:r>
      <w:r w:rsidRPr="00842C11">
        <w:rPr>
          <w:rFonts w:ascii="Calibri" w:hAnsi="Calibri" w:cs="Calibri"/>
        </w:rPr>
        <w:t xml:space="preserve">together they </w:t>
      </w:r>
      <w:proofErr w:type="spellStart"/>
      <w:r w:rsidRPr="00842C11">
        <w:rPr>
          <w:rFonts w:ascii="Calibri" w:hAnsi="Calibri" w:cs="Calibri"/>
        </w:rPr>
        <w:t>dramatise</w:t>
      </w:r>
      <w:proofErr w:type="spellEnd"/>
      <w:r w:rsidRPr="00842C11">
        <w:rPr>
          <w:rFonts w:ascii="Calibri" w:hAnsi="Calibri" w:cs="Calibri"/>
        </w:rPr>
        <w:t xml:space="preserve"> both halves of Valente’s formula. Pwyll’s branch demonstrates cooperation and its rewards</w:t>
      </w:r>
      <w:r w:rsidR="00FE4BBD">
        <w:rPr>
          <w:rFonts w:ascii="Calibri" w:hAnsi="Calibri" w:cs="Calibri"/>
        </w:rPr>
        <w:t>, with</w:t>
      </w:r>
      <w:r w:rsidRPr="00842C11">
        <w:rPr>
          <w:rFonts w:ascii="Calibri" w:hAnsi="Calibri" w:cs="Calibri"/>
        </w:rPr>
        <w:t xml:space="preserve"> Blodeuwedd’s demonstra</w:t>
      </w:r>
      <w:r w:rsidR="00FE4BBD">
        <w:rPr>
          <w:rFonts w:ascii="Calibri" w:hAnsi="Calibri" w:cs="Calibri"/>
        </w:rPr>
        <w:t>ting</w:t>
      </w:r>
      <w:r w:rsidRPr="00842C11">
        <w:rPr>
          <w:rFonts w:ascii="Calibri" w:hAnsi="Calibri" w:cs="Calibri"/>
        </w:rPr>
        <w:t xml:space="preserve"> rupture and its costs.</w:t>
      </w:r>
    </w:p>
    <w:p w14:paraId="79598F66" w14:textId="1242487A" w:rsidR="00541CBF" w:rsidRPr="00842C11" w:rsidRDefault="00000000">
      <w:pPr>
        <w:spacing w:after="200" w:line="360" w:lineRule="auto"/>
        <w:rPr>
          <w:rFonts w:ascii="Calibri" w:hAnsi="Calibri" w:cs="Calibri"/>
        </w:rPr>
      </w:pPr>
      <w:r w:rsidRPr="00842C11">
        <w:rPr>
          <w:rFonts w:ascii="Calibri" w:hAnsi="Calibri" w:cs="Calibri"/>
        </w:rPr>
        <w:t xml:space="preserve">The First Branch sets out an optimistic vision of social order. Pwyll begins as an inexperienced ruler who makes mistakes, yet the narrative repeatedly affirms that such errors are </w:t>
      </w:r>
      <w:r w:rsidR="00FE4BBD">
        <w:rPr>
          <w:rFonts w:ascii="Calibri" w:hAnsi="Calibri" w:cs="Calibri"/>
        </w:rPr>
        <w:t>redeemable</w:t>
      </w:r>
      <w:r w:rsidRPr="00842C11">
        <w:rPr>
          <w:rFonts w:ascii="Calibri" w:hAnsi="Calibri" w:cs="Calibri"/>
        </w:rPr>
        <w:t xml:space="preserve"> within a functioning system of law and honour. Through his exchange with Arawn, his demonstration of sexual restraint, and his </w:t>
      </w:r>
      <w:r w:rsidRPr="00842C11">
        <w:rPr>
          <w:rFonts w:ascii="Calibri" w:hAnsi="Calibri" w:cs="Calibri"/>
        </w:rPr>
        <w:lastRenderedPageBreak/>
        <w:t>lawful marriage to Rhiannon, Pwyll learns how to exercise power responsibly</w:t>
      </w:r>
      <w:r w:rsidR="00FE4BBD">
        <w:rPr>
          <w:rFonts w:ascii="Calibri" w:hAnsi="Calibri" w:cs="Calibri"/>
        </w:rPr>
        <w:t xml:space="preserve"> and becomes the idealised Medieval ruler</w:t>
      </w:r>
      <w:r w:rsidRPr="00842C11">
        <w:rPr>
          <w:rFonts w:ascii="Calibri" w:hAnsi="Calibri" w:cs="Calibri"/>
        </w:rPr>
        <w:t>. By the close of the First Branch, authority has been stabilised and the future secured</w:t>
      </w:r>
      <w:r w:rsidR="00FE4BBD">
        <w:rPr>
          <w:rFonts w:ascii="Calibri" w:hAnsi="Calibri" w:cs="Calibri"/>
        </w:rPr>
        <w:t>, with t</w:t>
      </w:r>
      <w:r w:rsidRPr="00842C11">
        <w:rPr>
          <w:rFonts w:ascii="Calibri" w:hAnsi="Calibri" w:cs="Calibri"/>
        </w:rPr>
        <w:t>he branch operat</w:t>
      </w:r>
      <w:r w:rsidR="00FE4BBD">
        <w:rPr>
          <w:rFonts w:ascii="Calibri" w:hAnsi="Calibri" w:cs="Calibri"/>
        </w:rPr>
        <w:t>ing</w:t>
      </w:r>
      <w:r w:rsidRPr="00842C11">
        <w:rPr>
          <w:rFonts w:ascii="Calibri" w:hAnsi="Calibri" w:cs="Calibri"/>
        </w:rPr>
        <w:t xml:space="preserve"> as a foundational narrative, outlining how order can be learned and maintained.</w:t>
      </w:r>
    </w:p>
    <w:p w14:paraId="7BDF3E0E" w14:textId="12FD2574" w:rsidR="00541CBF" w:rsidRPr="00842C11" w:rsidRDefault="00000000">
      <w:pPr>
        <w:spacing w:after="200" w:line="360" w:lineRule="auto"/>
        <w:rPr>
          <w:rFonts w:ascii="Calibri" w:hAnsi="Calibri" w:cs="Calibri"/>
        </w:rPr>
      </w:pPr>
      <w:r w:rsidRPr="00842C11">
        <w:rPr>
          <w:rFonts w:ascii="Calibri" w:hAnsi="Calibri" w:cs="Calibri"/>
        </w:rPr>
        <w:t>The Fourth Branch revisits many of these concerns but reverses their outcomes. Blodeuwedd is introduced as a figure designed to ensure stability — created to resolve the problem posed by Lleu’s inability to marry a human woman</w:t>
      </w:r>
      <w:r w:rsidR="000F382E">
        <w:rPr>
          <w:rFonts w:ascii="Calibri" w:hAnsi="Calibri" w:cs="Calibri"/>
        </w:rPr>
        <w:t>, however r</w:t>
      </w:r>
      <w:r w:rsidRPr="00842C11">
        <w:rPr>
          <w:rFonts w:ascii="Calibri" w:hAnsi="Calibri" w:cs="Calibri"/>
        </w:rPr>
        <w:t>ather than confir</w:t>
      </w:r>
      <w:r w:rsidR="000F382E">
        <w:rPr>
          <w:rFonts w:ascii="Calibri" w:hAnsi="Calibri" w:cs="Calibri"/>
        </w:rPr>
        <w:t>ming the social order</w:t>
      </w:r>
      <w:r w:rsidRPr="00842C11">
        <w:rPr>
          <w:rFonts w:ascii="Calibri" w:hAnsi="Calibri" w:cs="Calibri"/>
        </w:rPr>
        <w:t xml:space="preserve">, her presence </w:t>
      </w:r>
      <w:r w:rsidR="000F382E">
        <w:rPr>
          <w:rFonts w:ascii="Calibri" w:hAnsi="Calibri" w:cs="Calibri"/>
        </w:rPr>
        <w:t>causes disruption that can’t be contained within its rigidity</w:t>
      </w:r>
      <w:r w:rsidRPr="00842C11">
        <w:rPr>
          <w:rFonts w:ascii="Calibri" w:hAnsi="Calibri" w:cs="Calibri"/>
        </w:rPr>
        <w:t>. Where Pwyll’s mistakes are met with opportunities for correction, Blodeuwedd’s refusal of her imposed role triggers irreversible consequences. The narrative elements that support Pwyll’s integration — public action, lawful mediation, ethical restraint — are inverted in Blodeuwedd’s story through secrecy, illicit desire, and covert violence.</w:t>
      </w:r>
    </w:p>
    <w:p w14:paraId="3E5C8A02" w14:textId="0AD85D62" w:rsidR="00541CBF" w:rsidRPr="00842C11" w:rsidRDefault="00000000">
      <w:pPr>
        <w:spacing w:after="200" w:line="360" w:lineRule="auto"/>
        <w:rPr>
          <w:rFonts w:ascii="Calibri" w:hAnsi="Calibri" w:cs="Calibri"/>
        </w:rPr>
      </w:pPr>
      <w:r w:rsidRPr="00842C11">
        <w:rPr>
          <w:rFonts w:ascii="Calibri" w:hAnsi="Calibri" w:cs="Calibri"/>
        </w:rPr>
        <w:t xml:space="preserve">This structural mirroring is particularly clear in </w:t>
      </w:r>
      <w:r w:rsidR="00357A64">
        <w:rPr>
          <w:rFonts w:ascii="Calibri" w:hAnsi="Calibri" w:cs="Calibri"/>
        </w:rPr>
        <w:t>when it comes to</w:t>
      </w:r>
      <w:r w:rsidRPr="00842C11">
        <w:rPr>
          <w:rFonts w:ascii="Calibri" w:hAnsi="Calibri" w:cs="Calibri"/>
        </w:rPr>
        <w:t xml:space="preserve"> sexual conduct. Pwyll’s restraint in Annwn </w:t>
      </w:r>
      <w:r w:rsidR="00357A64">
        <w:rPr>
          <w:rFonts w:ascii="Calibri" w:hAnsi="Calibri" w:cs="Calibri"/>
        </w:rPr>
        <w:t>confirms</w:t>
      </w:r>
      <w:r w:rsidRPr="00842C11">
        <w:rPr>
          <w:rFonts w:ascii="Calibri" w:hAnsi="Calibri" w:cs="Calibri"/>
        </w:rPr>
        <w:t xml:space="preserve"> his suitability for rule, while Blodeuwedd’s sexual autonomy marks her as disruptive. In both cases, sexuality functions as a test of legitimacy, yet only the male character pass</w:t>
      </w:r>
      <w:r w:rsidR="000F382E">
        <w:rPr>
          <w:rFonts w:ascii="Calibri" w:hAnsi="Calibri" w:cs="Calibri"/>
        </w:rPr>
        <w:t>es</w:t>
      </w:r>
      <w:r w:rsidRPr="00842C11">
        <w:rPr>
          <w:rFonts w:ascii="Calibri" w:hAnsi="Calibri" w:cs="Calibri"/>
        </w:rPr>
        <w:t xml:space="preserve"> </w:t>
      </w:r>
      <w:r w:rsidR="00357A64">
        <w:rPr>
          <w:rFonts w:ascii="Calibri" w:hAnsi="Calibri" w:cs="Calibri"/>
        </w:rPr>
        <w:t>the test of morality and gains</w:t>
      </w:r>
      <w:r w:rsidRPr="00842C11">
        <w:rPr>
          <w:rFonts w:ascii="Calibri" w:hAnsi="Calibri" w:cs="Calibri"/>
        </w:rPr>
        <w:t xml:space="preserve"> affirmation. The female character’s transgression </w:t>
      </w:r>
      <w:r w:rsidR="000F382E">
        <w:rPr>
          <w:rFonts w:ascii="Calibri" w:hAnsi="Calibri" w:cs="Calibri"/>
        </w:rPr>
        <w:t>marks her as irredeemable</w:t>
      </w:r>
      <w:r w:rsidRPr="00842C11">
        <w:rPr>
          <w:rFonts w:ascii="Calibri" w:hAnsi="Calibri" w:cs="Calibri"/>
        </w:rPr>
        <w:t xml:space="preserve">. As Sioned Davies notes, each branch revisits questions of authority and legitimacy from a different angle, and the contrast between the First and Fourth Branches reveals </w:t>
      </w:r>
      <w:r w:rsidR="00357A64">
        <w:rPr>
          <w:rFonts w:ascii="Calibri" w:hAnsi="Calibri" w:cs="Calibri"/>
        </w:rPr>
        <w:t xml:space="preserve">strong guidelines of social </w:t>
      </w:r>
      <w:r w:rsidRPr="00842C11">
        <w:rPr>
          <w:rFonts w:ascii="Calibri" w:hAnsi="Calibri" w:cs="Calibri"/>
        </w:rPr>
        <w:t>tolerance.</w:t>
      </w:r>
    </w:p>
    <w:p w14:paraId="7F27505B" w14:textId="29831DD8" w:rsidR="00541CBF" w:rsidRPr="00842C11" w:rsidRDefault="00000000">
      <w:pPr>
        <w:spacing w:after="200" w:line="360" w:lineRule="auto"/>
        <w:rPr>
          <w:rFonts w:ascii="Calibri" w:hAnsi="Calibri" w:cs="Calibri"/>
        </w:rPr>
      </w:pPr>
      <w:r w:rsidRPr="00842C11">
        <w:rPr>
          <w:rFonts w:ascii="Calibri" w:hAnsi="Calibri" w:cs="Calibri"/>
        </w:rPr>
        <w:t xml:space="preserve">The outcomes of the two branches </w:t>
      </w:r>
      <w:proofErr w:type="gramStart"/>
      <w:r w:rsidRPr="00842C11">
        <w:rPr>
          <w:rFonts w:ascii="Calibri" w:hAnsi="Calibri" w:cs="Calibri"/>
        </w:rPr>
        <w:t>reinforce</w:t>
      </w:r>
      <w:r w:rsidR="000F382E">
        <w:rPr>
          <w:rFonts w:ascii="Calibri" w:hAnsi="Calibri" w:cs="Calibri"/>
        </w:rPr>
        <w:t>s</w:t>
      </w:r>
      <w:proofErr w:type="gramEnd"/>
      <w:r w:rsidR="000F382E">
        <w:rPr>
          <w:rFonts w:ascii="Calibri" w:hAnsi="Calibri" w:cs="Calibri"/>
        </w:rPr>
        <w:t xml:space="preserve"> this further. </w:t>
      </w:r>
      <w:r w:rsidRPr="00842C11">
        <w:rPr>
          <w:rFonts w:ascii="Calibri" w:hAnsi="Calibri" w:cs="Calibri"/>
        </w:rPr>
        <w:t>Pwyll’s story concludes with reintegration and continuity; Blodeuwedd’s ends in exile and exclusion. These endings are not merely individual punishments or rewards but ideological statements about the limits of social flexibility. The First Branch suggests that order can accommodate human error, provided it is acknowledged and corrected. The Fourth Branch demonstrates that certain forms of refusal — particularly those associated with female autonomy — cannot be absorbed without threatening the system itself</w:t>
      </w:r>
      <w:r w:rsidR="000F382E">
        <w:rPr>
          <w:rFonts w:ascii="Calibri" w:hAnsi="Calibri" w:cs="Calibri"/>
        </w:rPr>
        <w:t xml:space="preserve">. The uncomfortable outcome of the Fourth Branch is what lingers in the memory, almost as a threat that plays on the mind of the audience. </w:t>
      </w:r>
    </w:p>
    <w:p w14:paraId="72099859" w14:textId="70CAC4FC" w:rsidR="00541CBF" w:rsidRPr="00842C11" w:rsidRDefault="00000000">
      <w:pPr>
        <w:spacing w:after="200" w:line="360" w:lineRule="auto"/>
        <w:rPr>
          <w:rFonts w:ascii="Calibri" w:hAnsi="Calibri" w:cs="Calibri"/>
        </w:rPr>
      </w:pPr>
      <w:r w:rsidRPr="00842C11">
        <w:rPr>
          <w:rFonts w:ascii="Calibri" w:hAnsi="Calibri" w:cs="Calibri"/>
        </w:rPr>
        <w:t xml:space="preserve">While Blodeuwedd represents disruptive femininity that the narrative expels, Rhiannon offers a contrasting model of </w:t>
      </w:r>
      <w:r w:rsidR="00357A64">
        <w:rPr>
          <w:rFonts w:ascii="Calibri" w:hAnsi="Calibri" w:cs="Calibri"/>
        </w:rPr>
        <w:t>virtuous</w:t>
      </w:r>
      <w:r w:rsidRPr="00842C11">
        <w:rPr>
          <w:rFonts w:ascii="Calibri" w:hAnsi="Calibri" w:cs="Calibri"/>
        </w:rPr>
        <w:t xml:space="preserve"> femininity</w:t>
      </w:r>
      <w:r w:rsidR="000F382E">
        <w:rPr>
          <w:rFonts w:ascii="Calibri" w:hAnsi="Calibri" w:cs="Calibri"/>
        </w:rPr>
        <w:t xml:space="preserve"> throughout her story spanning</w:t>
      </w:r>
      <w:r w:rsidRPr="00842C11">
        <w:rPr>
          <w:rFonts w:ascii="Calibri" w:hAnsi="Calibri" w:cs="Calibri"/>
        </w:rPr>
        <w:t xml:space="preserve"> the First and Third </w:t>
      </w:r>
      <w:r w:rsidR="00357A64" w:rsidRPr="00842C11">
        <w:rPr>
          <w:rFonts w:ascii="Calibri" w:hAnsi="Calibri" w:cs="Calibri"/>
        </w:rPr>
        <w:t>Branches and</w:t>
      </w:r>
      <w:r w:rsidR="000F382E">
        <w:rPr>
          <w:rFonts w:ascii="Calibri" w:hAnsi="Calibri" w:cs="Calibri"/>
        </w:rPr>
        <w:t xml:space="preserve"> </w:t>
      </w:r>
      <w:r w:rsidRPr="00842C11">
        <w:rPr>
          <w:rFonts w:ascii="Calibri" w:hAnsi="Calibri" w:cs="Calibri"/>
        </w:rPr>
        <w:t xml:space="preserve">demonstrates that female memorability is not limited to transgression. Her endurance under extreme and undeserved suffering is equally striking, and it reveals the moral labour </w:t>
      </w:r>
      <w:r w:rsidR="000F382E">
        <w:rPr>
          <w:rFonts w:ascii="Calibri" w:hAnsi="Calibri" w:cs="Calibri"/>
        </w:rPr>
        <w:t>expected</w:t>
      </w:r>
      <w:r w:rsidRPr="00842C11">
        <w:rPr>
          <w:rFonts w:ascii="Calibri" w:hAnsi="Calibri" w:cs="Calibri"/>
        </w:rPr>
        <w:t xml:space="preserve"> of women to preserve social continuity.</w:t>
      </w:r>
    </w:p>
    <w:p w14:paraId="75268384" w14:textId="2A7BC161" w:rsidR="00541CBF" w:rsidRPr="00842C11" w:rsidRDefault="00000000">
      <w:pPr>
        <w:spacing w:after="200" w:line="360" w:lineRule="auto"/>
        <w:rPr>
          <w:rFonts w:ascii="Calibri" w:hAnsi="Calibri" w:cs="Calibri"/>
        </w:rPr>
      </w:pPr>
      <w:r w:rsidRPr="00842C11">
        <w:rPr>
          <w:rFonts w:ascii="Calibri" w:hAnsi="Calibri" w:cs="Calibri"/>
        </w:rPr>
        <w:t xml:space="preserve">Rhiannon is introduced as a figure of dignity and authority. Her initial appearance — riding calmly past Pwyll while remaining unreachable — signals both sovereignty and control. The text emphasises her </w:t>
      </w:r>
      <w:r w:rsidRPr="00842C11">
        <w:rPr>
          <w:rFonts w:ascii="Calibri" w:hAnsi="Calibri" w:cs="Calibri"/>
        </w:rPr>
        <w:lastRenderedPageBreak/>
        <w:t>unhurried composure: “</w:t>
      </w:r>
      <w:r w:rsidR="008B3A47">
        <w:rPr>
          <w:rFonts w:ascii="Calibri" w:hAnsi="Calibri" w:cs="Calibri"/>
        </w:rPr>
        <w:t>Her pace was no faster than</w:t>
      </w:r>
      <w:r w:rsidRPr="00842C11">
        <w:rPr>
          <w:rFonts w:ascii="Calibri" w:hAnsi="Calibri" w:cs="Calibri"/>
        </w:rPr>
        <w:t xml:space="preserve"> before.”</w:t>
      </w:r>
      <w:r w:rsidRPr="00842C11">
        <w:rPr>
          <w:rStyle w:val="FootnoteReference"/>
          <w:rFonts w:ascii="Calibri" w:hAnsi="Calibri" w:cs="Calibri"/>
        </w:rPr>
        <w:footnoteReference w:id="17"/>
      </w:r>
      <w:r w:rsidRPr="00842C11">
        <w:rPr>
          <w:rFonts w:ascii="Calibri" w:hAnsi="Calibri" w:cs="Calibri"/>
        </w:rPr>
        <w:t xml:space="preserve"> Her choice of Pwyll as husband is conducted publicly and with ritual clarity, distinguishing her sexual agency from the illicit desire associated with Blodeuwedd. Yet Davies notes that Rhiannon’s agency is </w:t>
      </w:r>
      <w:r w:rsidR="00357A64">
        <w:rPr>
          <w:rFonts w:ascii="Calibri" w:hAnsi="Calibri" w:cs="Calibri"/>
        </w:rPr>
        <w:t>still visible</w:t>
      </w:r>
      <w:r w:rsidRPr="00842C11">
        <w:rPr>
          <w:rFonts w:ascii="Calibri" w:hAnsi="Calibri" w:cs="Calibri"/>
        </w:rPr>
        <w:t>: the text “turns upside down” the usual marriage conventions, since Rhiannon “takes on the male role” by choosing Pwyll and organising her own marriage feast.</w:t>
      </w:r>
      <w:r w:rsidRPr="00842C11">
        <w:rPr>
          <w:rStyle w:val="FootnoteReference"/>
          <w:rFonts w:ascii="Calibri" w:hAnsi="Calibri" w:cs="Calibri"/>
        </w:rPr>
        <w:footnoteReference w:id="18"/>
      </w:r>
      <w:r w:rsidRPr="00842C11">
        <w:rPr>
          <w:rFonts w:ascii="Calibri" w:hAnsi="Calibri" w:cs="Calibri"/>
        </w:rPr>
        <w:t xml:space="preserve"> Her femininity is not </w:t>
      </w:r>
      <w:proofErr w:type="gramStart"/>
      <w:r w:rsidRPr="00842C11">
        <w:rPr>
          <w:rFonts w:ascii="Calibri" w:hAnsi="Calibri" w:cs="Calibri"/>
        </w:rPr>
        <w:t>passive</w:t>
      </w:r>
      <w:proofErr w:type="gramEnd"/>
      <w:r w:rsidRPr="00842C11">
        <w:rPr>
          <w:rFonts w:ascii="Calibri" w:hAnsi="Calibri" w:cs="Calibri"/>
        </w:rPr>
        <w:t xml:space="preserve"> </w:t>
      </w:r>
      <w:proofErr w:type="gramStart"/>
      <w:r w:rsidRPr="00842C11">
        <w:rPr>
          <w:rFonts w:ascii="Calibri" w:hAnsi="Calibri" w:cs="Calibri"/>
        </w:rPr>
        <w:t xml:space="preserve">but </w:t>
      </w:r>
      <w:r w:rsidR="00357A64">
        <w:rPr>
          <w:rFonts w:ascii="Calibri" w:hAnsi="Calibri" w:cs="Calibri"/>
        </w:rPr>
        <w:t xml:space="preserve"> it</w:t>
      </w:r>
      <w:proofErr w:type="gramEnd"/>
      <w:r w:rsidR="00357A64">
        <w:rPr>
          <w:rFonts w:ascii="Calibri" w:hAnsi="Calibri" w:cs="Calibri"/>
        </w:rPr>
        <w:t xml:space="preserve"> is still </w:t>
      </w:r>
      <w:r w:rsidRPr="00842C11">
        <w:rPr>
          <w:rFonts w:ascii="Calibri" w:hAnsi="Calibri" w:cs="Calibri"/>
        </w:rPr>
        <w:t xml:space="preserve">socially </w:t>
      </w:r>
      <w:r w:rsidR="00357A64">
        <w:rPr>
          <w:rFonts w:ascii="Calibri" w:hAnsi="Calibri" w:cs="Calibri"/>
        </w:rPr>
        <w:t>acceptable</w:t>
      </w:r>
      <w:r w:rsidRPr="00842C11">
        <w:rPr>
          <w:rFonts w:ascii="Calibri" w:hAnsi="Calibri" w:cs="Calibri"/>
        </w:rPr>
        <w:t>, operating within recognised structures of consent and legitimacy while quietly inverting them. She exemplifies a form of female power that can be accommodated by the narrative because it reinforces communal order rather than undermining it.</w:t>
      </w:r>
    </w:p>
    <w:p w14:paraId="61906273" w14:textId="36AB8632" w:rsidR="00541CBF" w:rsidRPr="00842C11" w:rsidRDefault="00000000">
      <w:pPr>
        <w:spacing w:after="200" w:line="360" w:lineRule="auto"/>
        <w:rPr>
          <w:rFonts w:ascii="Calibri" w:hAnsi="Calibri" w:cs="Calibri"/>
        </w:rPr>
      </w:pPr>
      <w:r w:rsidRPr="00842C11">
        <w:rPr>
          <w:rFonts w:ascii="Calibri" w:hAnsi="Calibri" w:cs="Calibri"/>
        </w:rPr>
        <w:t>The most significant test of Rhiannon’s character follows the disappearance of her infant son, for which she is falsely accused of infanticide. Her punishment is severe and humiliating</w:t>
      </w:r>
      <w:r w:rsidR="00357A64">
        <w:rPr>
          <w:rFonts w:ascii="Calibri" w:hAnsi="Calibri" w:cs="Calibri"/>
        </w:rPr>
        <w:t>, being</w:t>
      </w:r>
      <w:r w:rsidRPr="00842C11">
        <w:rPr>
          <w:rFonts w:ascii="Calibri" w:hAnsi="Calibri" w:cs="Calibri"/>
        </w:rPr>
        <w:t xml:space="preserve"> </w:t>
      </w:r>
      <w:r w:rsidR="00357A64">
        <w:rPr>
          <w:rFonts w:ascii="Calibri" w:hAnsi="Calibri" w:cs="Calibri"/>
        </w:rPr>
        <w:t>r</w:t>
      </w:r>
      <w:r w:rsidRPr="00842C11">
        <w:rPr>
          <w:rFonts w:ascii="Calibri" w:hAnsi="Calibri" w:cs="Calibri"/>
        </w:rPr>
        <w:t xml:space="preserve">equired to sit by the </w:t>
      </w:r>
      <w:proofErr w:type="gramStart"/>
      <w:r w:rsidRPr="00842C11">
        <w:rPr>
          <w:rFonts w:ascii="Calibri" w:hAnsi="Calibri" w:cs="Calibri"/>
        </w:rPr>
        <w:t>horse-block</w:t>
      </w:r>
      <w:proofErr w:type="gramEnd"/>
      <w:r w:rsidRPr="00842C11">
        <w:rPr>
          <w:rFonts w:ascii="Calibri" w:hAnsi="Calibri" w:cs="Calibri"/>
        </w:rPr>
        <w:t xml:space="preserve"> and offer to carry visitors on her back</w:t>
      </w:r>
      <w:r w:rsidR="00357A64">
        <w:rPr>
          <w:rFonts w:ascii="Calibri" w:hAnsi="Calibri" w:cs="Calibri"/>
        </w:rPr>
        <w:t>, but</w:t>
      </w:r>
      <w:r w:rsidRPr="00842C11">
        <w:rPr>
          <w:rFonts w:ascii="Calibri" w:hAnsi="Calibri" w:cs="Calibri"/>
        </w:rPr>
        <w:t xml:space="preserve"> Rhiannon does not resist this injustice through rebellion or deception. She submits to the punishment, maintaining composure and dignity. “</w:t>
      </w:r>
      <w:r w:rsidR="008B3A47">
        <w:rPr>
          <w:rFonts w:ascii="Calibri" w:hAnsi="Calibri" w:cs="Calibri"/>
        </w:rPr>
        <w:t>And when she thought it better to accept her punishment than argue with the women, she accepted her punishment</w:t>
      </w:r>
      <w:r w:rsidRPr="00842C11">
        <w:rPr>
          <w:rFonts w:ascii="Calibri" w:hAnsi="Calibri" w:cs="Calibri"/>
        </w:rPr>
        <w:t>.”</w:t>
      </w:r>
      <w:r w:rsidRPr="00842C11">
        <w:rPr>
          <w:rStyle w:val="FootnoteReference"/>
          <w:rFonts w:ascii="Calibri" w:hAnsi="Calibri" w:cs="Calibri"/>
        </w:rPr>
        <w:footnoteReference w:id="19"/>
      </w:r>
      <w:r w:rsidRPr="00842C11">
        <w:rPr>
          <w:rFonts w:ascii="Calibri" w:hAnsi="Calibri" w:cs="Calibri"/>
        </w:rPr>
        <w:t xml:space="preserve"> As Fiona Winward and Kathy Shimpock both argue, endurance of this kind in medieval narrative should be understood not as passivity but as a form of moral </w:t>
      </w:r>
      <w:r w:rsidR="00357A64">
        <w:rPr>
          <w:rFonts w:ascii="Calibri" w:hAnsi="Calibri" w:cs="Calibri"/>
        </w:rPr>
        <w:t xml:space="preserve">strength </w:t>
      </w:r>
      <w:r w:rsidRPr="00842C11">
        <w:rPr>
          <w:rFonts w:ascii="Calibri" w:hAnsi="Calibri" w:cs="Calibri"/>
        </w:rPr>
        <w:t>through which women shoulder the costs of social continuity.</w:t>
      </w:r>
      <w:r w:rsidRPr="00842C11">
        <w:rPr>
          <w:rStyle w:val="FootnoteReference"/>
          <w:rFonts w:ascii="Calibri" w:hAnsi="Calibri" w:cs="Calibri"/>
        </w:rPr>
        <w:footnoteReference w:id="20"/>
      </w:r>
      <w:r w:rsidRPr="00842C11">
        <w:rPr>
          <w:rFonts w:ascii="Calibri" w:hAnsi="Calibri" w:cs="Calibri"/>
        </w:rPr>
        <w:t xml:space="preserve"> Rhiannon’s suffering performs a stabilising function, allowing the social order to persist even as it fails her.</w:t>
      </w:r>
    </w:p>
    <w:p w14:paraId="7B1DCD96" w14:textId="1085B305" w:rsidR="00541CBF" w:rsidRPr="00842C11" w:rsidRDefault="00000000">
      <w:pPr>
        <w:spacing w:after="200" w:line="360" w:lineRule="auto"/>
        <w:rPr>
          <w:rFonts w:ascii="Calibri" w:hAnsi="Calibri" w:cs="Calibri"/>
        </w:rPr>
      </w:pPr>
      <w:r w:rsidRPr="00842C11">
        <w:rPr>
          <w:rFonts w:ascii="Calibri" w:hAnsi="Calibri" w:cs="Calibri"/>
        </w:rPr>
        <w:t xml:space="preserve">Her eventual vindication reinforces her role as a lawful female figure. When her son is restored, her innocence is publicly </w:t>
      </w:r>
      <w:r w:rsidR="00357A64" w:rsidRPr="00842C11">
        <w:rPr>
          <w:rFonts w:ascii="Calibri" w:hAnsi="Calibri" w:cs="Calibri"/>
        </w:rPr>
        <w:t>acknowledged,</w:t>
      </w:r>
      <w:r w:rsidRPr="00842C11">
        <w:rPr>
          <w:rFonts w:ascii="Calibri" w:hAnsi="Calibri" w:cs="Calibri"/>
        </w:rPr>
        <w:t xml:space="preserve"> and she is reintegrated into society</w:t>
      </w:r>
      <w:r w:rsidR="00357A64">
        <w:rPr>
          <w:rFonts w:ascii="Calibri" w:hAnsi="Calibri" w:cs="Calibri"/>
        </w:rPr>
        <w:t xml:space="preserve">, </w:t>
      </w:r>
      <w:r w:rsidRPr="00842C11">
        <w:rPr>
          <w:rFonts w:ascii="Calibri" w:hAnsi="Calibri" w:cs="Calibri"/>
        </w:rPr>
        <w:t>contrast</w:t>
      </w:r>
      <w:r w:rsidR="00357A64">
        <w:rPr>
          <w:rFonts w:ascii="Calibri" w:hAnsi="Calibri" w:cs="Calibri"/>
        </w:rPr>
        <w:t>ing strongly</w:t>
      </w:r>
      <w:r w:rsidRPr="00842C11">
        <w:rPr>
          <w:rFonts w:ascii="Calibri" w:hAnsi="Calibri" w:cs="Calibri"/>
        </w:rPr>
        <w:t xml:space="preserve"> with Blodeuwedd’s permanent exile and highlight</w:t>
      </w:r>
      <w:r w:rsidR="00357A64">
        <w:rPr>
          <w:rFonts w:ascii="Calibri" w:hAnsi="Calibri" w:cs="Calibri"/>
        </w:rPr>
        <w:t>ing</w:t>
      </w:r>
      <w:r w:rsidRPr="00842C11">
        <w:rPr>
          <w:rFonts w:ascii="Calibri" w:hAnsi="Calibri" w:cs="Calibri"/>
        </w:rPr>
        <w:t xml:space="preserve"> the narrative’s different treatment of female agency. Rhiannon is rewarded not because she avoids injustice but because she absorbs it without destabilising the system. What makes her memorable is the extremity of this demand: the reader is left to reckon with the </w:t>
      </w:r>
      <w:r w:rsidR="00357A64">
        <w:rPr>
          <w:rFonts w:ascii="Calibri" w:hAnsi="Calibri" w:cs="Calibri"/>
        </w:rPr>
        <w:t>huge</w:t>
      </w:r>
      <w:r w:rsidRPr="00842C11">
        <w:rPr>
          <w:rFonts w:ascii="Calibri" w:hAnsi="Calibri" w:cs="Calibri"/>
        </w:rPr>
        <w:t xml:space="preserve"> burden placed upon her.</w:t>
      </w:r>
    </w:p>
    <w:p w14:paraId="4164DE57" w14:textId="77777777" w:rsidR="00541CBF" w:rsidRPr="00842C11" w:rsidRDefault="00000000">
      <w:pPr>
        <w:spacing w:after="200" w:line="360" w:lineRule="auto"/>
        <w:rPr>
          <w:rFonts w:ascii="Calibri" w:hAnsi="Calibri" w:cs="Calibri"/>
        </w:rPr>
      </w:pPr>
      <w:r w:rsidRPr="00842C11">
        <w:rPr>
          <w:rFonts w:ascii="Calibri" w:hAnsi="Calibri" w:cs="Calibri"/>
        </w:rPr>
        <w:t xml:space="preserve">This pattern aligns with broader trends in Celtic literature. As Máire Ní </w:t>
      </w:r>
      <w:proofErr w:type="spellStart"/>
      <w:r w:rsidRPr="00842C11">
        <w:rPr>
          <w:rFonts w:ascii="Calibri" w:hAnsi="Calibri" w:cs="Calibri"/>
        </w:rPr>
        <w:t>Mhaonaigh</w:t>
      </w:r>
      <w:proofErr w:type="spellEnd"/>
      <w:r w:rsidRPr="00842C11">
        <w:rPr>
          <w:rFonts w:ascii="Calibri" w:hAnsi="Calibri" w:cs="Calibri"/>
        </w:rPr>
        <w:t xml:space="preserve"> observes, female figures in medieval Welsh and Irish narratives often carry the symbolic burden of continuity.</w:t>
      </w:r>
      <w:r w:rsidRPr="00842C11">
        <w:rPr>
          <w:rStyle w:val="FootnoteReference"/>
          <w:rFonts w:ascii="Calibri" w:hAnsi="Calibri" w:cs="Calibri"/>
        </w:rPr>
        <w:footnoteReference w:id="21"/>
      </w:r>
      <w:r w:rsidRPr="00842C11">
        <w:rPr>
          <w:rFonts w:ascii="Calibri" w:hAnsi="Calibri" w:cs="Calibri"/>
        </w:rPr>
        <w:t xml:space="preserve"> Rhiannon </w:t>
      </w:r>
      <w:r w:rsidRPr="00842C11">
        <w:rPr>
          <w:rFonts w:ascii="Calibri" w:hAnsi="Calibri" w:cs="Calibri"/>
        </w:rPr>
        <w:lastRenderedPageBreak/>
        <w:t>exemplifies this function. She preserves lineage, legitimacy, and social cohesion through personal sacrifice, embodying a form of femininity that sustains order at considerable cost.</w:t>
      </w:r>
    </w:p>
    <w:p w14:paraId="55B28A31" w14:textId="2F5522FD" w:rsidR="00541CBF" w:rsidRPr="00842C11" w:rsidRDefault="00000000">
      <w:pPr>
        <w:spacing w:after="200" w:line="360" w:lineRule="auto"/>
        <w:rPr>
          <w:rFonts w:ascii="Calibri" w:hAnsi="Calibri" w:cs="Calibri"/>
        </w:rPr>
      </w:pPr>
      <w:r w:rsidRPr="00842C11">
        <w:rPr>
          <w:rFonts w:ascii="Calibri" w:hAnsi="Calibri" w:cs="Calibri"/>
        </w:rPr>
        <w:t xml:space="preserve">In contrast to male characters, whose authority is rarely subjected to comparable humiliation, Rhiannon’s endurance becomes a central narrative </w:t>
      </w:r>
      <w:r w:rsidR="00357A64">
        <w:rPr>
          <w:rFonts w:ascii="Calibri" w:hAnsi="Calibri" w:cs="Calibri"/>
        </w:rPr>
        <w:t>theme</w:t>
      </w:r>
      <w:r w:rsidRPr="00842C11">
        <w:rPr>
          <w:rFonts w:ascii="Calibri" w:hAnsi="Calibri" w:cs="Calibri"/>
        </w:rPr>
        <w:t xml:space="preserve">. Her memorability lies in exposure: her story reveals how far social stability depends on the willingness of women to suffer silently and </w:t>
      </w:r>
      <w:r w:rsidR="00357A64">
        <w:rPr>
          <w:rFonts w:ascii="Calibri" w:hAnsi="Calibri" w:cs="Calibri"/>
        </w:rPr>
        <w:t>with dignity</w:t>
      </w:r>
      <w:r w:rsidRPr="00842C11">
        <w:rPr>
          <w:rFonts w:ascii="Calibri" w:hAnsi="Calibri" w:cs="Calibri"/>
        </w:rPr>
        <w:t>. Through Rhiannon, the Four Branches articulate an ideal of femininity that is powerful because it is constrained — and it is this paradox that gives her a lasting presence in the narrative and critical imagination.</w:t>
      </w:r>
    </w:p>
    <w:p w14:paraId="0349C44B" w14:textId="6C37FEE0" w:rsidR="00541CBF" w:rsidRPr="00842C11" w:rsidRDefault="00000000">
      <w:pPr>
        <w:spacing w:after="200" w:line="360" w:lineRule="auto"/>
        <w:rPr>
          <w:rFonts w:ascii="Calibri" w:hAnsi="Calibri" w:cs="Calibri"/>
        </w:rPr>
      </w:pPr>
      <w:r w:rsidRPr="00842C11">
        <w:rPr>
          <w:rFonts w:ascii="Calibri" w:hAnsi="Calibri" w:cs="Calibri"/>
        </w:rPr>
        <w:t xml:space="preserve">Having examined </w:t>
      </w:r>
      <w:r w:rsidR="00357A64">
        <w:rPr>
          <w:rFonts w:ascii="Calibri" w:hAnsi="Calibri" w:cs="Calibri"/>
        </w:rPr>
        <w:t xml:space="preserve">and contrasted </w:t>
      </w:r>
      <w:r w:rsidRPr="00842C11">
        <w:rPr>
          <w:rFonts w:ascii="Calibri" w:hAnsi="Calibri" w:cs="Calibri"/>
        </w:rPr>
        <w:t xml:space="preserve">Pwyll with Blodeuwedd and Rhiannon, it is worth </w:t>
      </w:r>
      <w:r w:rsidR="00357A64">
        <w:rPr>
          <w:rFonts w:ascii="Calibri" w:hAnsi="Calibri" w:cs="Calibri"/>
        </w:rPr>
        <w:t>giving</w:t>
      </w:r>
      <w:r w:rsidRPr="00842C11">
        <w:rPr>
          <w:rFonts w:ascii="Calibri" w:hAnsi="Calibri" w:cs="Calibri"/>
        </w:rPr>
        <w:t xml:space="preserve"> Pwyll</w:t>
      </w:r>
      <w:r w:rsidR="00357A64">
        <w:rPr>
          <w:rFonts w:ascii="Calibri" w:hAnsi="Calibri" w:cs="Calibri"/>
        </w:rPr>
        <w:t xml:space="preserve"> further </w:t>
      </w:r>
      <w:proofErr w:type="spellStart"/>
      <w:r w:rsidR="00357A64">
        <w:rPr>
          <w:rFonts w:ascii="Calibri" w:hAnsi="Calibri" w:cs="Calibri"/>
        </w:rPr>
        <w:t>conttext</w:t>
      </w:r>
      <w:proofErr w:type="spellEnd"/>
      <w:r w:rsidRPr="00842C11">
        <w:rPr>
          <w:rFonts w:ascii="Calibri" w:hAnsi="Calibri" w:cs="Calibri"/>
        </w:rPr>
        <w:t xml:space="preserve"> within the broader pattern of male characterisation across the Four Branches. Considered collectively, the male figures of the cycle tend to function as agents of continuity and repair rather than as sources of sustained narrative tension. This structural role helps explain why, despite their ethical and political importance, male characters are often less memorable than their female counterparts.</w:t>
      </w:r>
    </w:p>
    <w:p w14:paraId="3FFC1CDB" w14:textId="159CC23D" w:rsidR="00541CBF" w:rsidRPr="00842C11" w:rsidRDefault="00000000">
      <w:pPr>
        <w:spacing w:after="200" w:line="360" w:lineRule="auto"/>
        <w:rPr>
          <w:rFonts w:ascii="Calibri" w:hAnsi="Calibri" w:cs="Calibri"/>
        </w:rPr>
      </w:pPr>
      <w:r w:rsidRPr="00842C11">
        <w:rPr>
          <w:rFonts w:ascii="Calibri" w:hAnsi="Calibri" w:cs="Calibri"/>
        </w:rPr>
        <w:t xml:space="preserve">Beyond Pwyll, characters such as Pryderi, Manawydan, and Lleu </w:t>
      </w:r>
      <w:proofErr w:type="spellStart"/>
      <w:r w:rsidRPr="00842C11">
        <w:rPr>
          <w:rFonts w:ascii="Calibri" w:hAnsi="Calibri" w:cs="Calibri"/>
        </w:rPr>
        <w:t>Llaw</w:t>
      </w:r>
      <w:proofErr w:type="spellEnd"/>
      <w:r w:rsidRPr="00842C11">
        <w:rPr>
          <w:rFonts w:ascii="Calibri" w:hAnsi="Calibri" w:cs="Calibri"/>
        </w:rPr>
        <w:t xml:space="preserve"> </w:t>
      </w:r>
      <w:proofErr w:type="spellStart"/>
      <w:r w:rsidRPr="00842C11">
        <w:rPr>
          <w:rFonts w:ascii="Calibri" w:hAnsi="Calibri" w:cs="Calibri"/>
        </w:rPr>
        <w:t>Gyffes</w:t>
      </w:r>
      <w:proofErr w:type="spellEnd"/>
      <w:r w:rsidRPr="00842C11">
        <w:rPr>
          <w:rFonts w:ascii="Calibri" w:hAnsi="Calibri" w:cs="Calibri"/>
        </w:rPr>
        <w:t xml:space="preserve"> each play important roles in maintaining or restoring social order. Pryderi, who appears across all four branches, is notable less for </w:t>
      </w:r>
      <w:r w:rsidR="00357A64">
        <w:rPr>
          <w:rFonts w:ascii="Calibri" w:hAnsi="Calibri" w:cs="Calibri"/>
        </w:rPr>
        <w:t>his personal</w:t>
      </w:r>
      <w:r w:rsidRPr="00842C11">
        <w:rPr>
          <w:rFonts w:ascii="Calibri" w:hAnsi="Calibri" w:cs="Calibri"/>
        </w:rPr>
        <w:t xml:space="preserve"> complexity than for his function as a link between generations. His repeated losses and recoveries of territory point to the fragility of political stability, yet Pryderi himself rarely disrupts the system he inherits. He endures misfortune with patience, allowing order to be re-established through persistence rather than rebellion. This emphasis on continuity reflects the conservative </w:t>
      </w:r>
      <w:r w:rsidR="007F2A24">
        <w:rPr>
          <w:rFonts w:ascii="Calibri" w:hAnsi="Calibri" w:cs="Calibri"/>
        </w:rPr>
        <w:t>nature</w:t>
      </w:r>
      <w:r w:rsidRPr="00842C11">
        <w:rPr>
          <w:rFonts w:ascii="Calibri" w:hAnsi="Calibri" w:cs="Calibri"/>
        </w:rPr>
        <w:t xml:space="preserve"> of medieval Welsh kinship structures, which, as Thomas Charles-Edwards explains, were fundamentally concerned with preserving lineage and inheritance.</w:t>
      </w:r>
      <w:r w:rsidRPr="00842C11">
        <w:rPr>
          <w:rStyle w:val="FootnoteReference"/>
          <w:rFonts w:ascii="Calibri" w:hAnsi="Calibri" w:cs="Calibri"/>
        </w:rPr>
        <w:footnoteReference w:id="22"/>
      </w:r>
    </w:p>
    <w:p w14:paraId="45EBCC76" w14:textId="5B333A38" w:rsidR="00541CBF" w:rsidRPr="00842C11" w:rsidRDefault="00000000">
      <w:pPr>
        <w:spacing w:after="200" w:line="360" w:lineRule="auto"/>
        <w:rPr>
          <w:rFonts w:ascii="Calibri" w:hAnsi="Calibri" w:cs="Calibri"/>
        </w:rPr>
      </w:pPr>
      <w:r w:rsidRPr="00842C11">
        <w:rPr>
          <w:rFonts w:ascii="Calibri" w:hAnsi="Calibri" w:cs="Calibri"/>
        </w:rPr>
        <w:t xml:space="preserve">Manawydan similarly </w:t>
      </w:r>
      <w:r w:rsidR="007F2A24">
        <w:rPr>
          <w:rFonts w:ascii="Calibri" w:hAnsi="Calibri" w:cs="Calibri"/>
        </w:rPr>
        <w:t>demonstrates</w:t>
      </w:r>
      <w:r w:rsidRPr="00842C11">
        <w:rPr>
          <w:rFonts w:ascii="Calibri" w:hAnsi="Calibri" w:cs="Calibri"/>
        </w:rPr>
        <w:t xml:space="preserve"> stabilising masculinity. His response to the enchantment of Dyfed in the Third Branch is marked by restraint, ingenuity, and cooperation rather than violence. He resolves the crisis through negotiation and careful observation, restoring social normalcy without challenging existing hierarchies. Like Pwyll, Manawydan succeeds by working within the system, and the narrative rewards this kind of adaptive, law-abiding male behaviour.</w:t>
      </w:r>
    </w:p>
    <w:p w14:paraId="020F9F9D" w14:textId="7D508B0B" w:rsidR="00541CBF" w:rsidRPr="00842C11" w:rsidRDefault="00000000">
      <w:pPr>
        <w:spacing w:after="200" w:line="360" w:lineRule="auto"/>
        <w:rPr>
          <w:rFonts w:ascii="Calibri" w:hAnsi="Calibri" w:cs="Calibri"/>
        </w:rPr>
      </w:pPr>
      <w:r w:rsidRPr="00842C11">
        <w:rPr>
          <w:rFonts w:ascii="Calibri" w:hAnsi="Calibri" w:cs="Calibri"/>
        </w:rPr>
        <w:t xml:space="preserve">Even Lleu </w:t>
      </w:r>
      <w:proofErr w:type="spellStart"/>
      <w:r w:rsidRPr="00842C11">
        <w:rPr>
          <w:rFonts w:ascii="Calibri" w:hAnsi="Calibri" w:cs="Calibri"/>
        </w:rPr>
        <w:t>Llaw</w:t>
      </w:r>
      <w:proofErr w:type="spellEnd"/>
      <w:r w:rsidRPr="00842C11">
        <w:rPr>
          <w:rFonts w:ascii="Calibri" w:hAnsi="Calibri" w:cs="Calibri"/>
        </w:rPr>
        <w:t xml:space="preserve"> Gyffes, whose story involves betrayal and attempted murder, ultimately works as a figure of restoration. Although temporarily destabilised by Blodeuwedd’s actions, Lleu regains his position and authority through the intervention of Gwydion and the reassertion of rightful order. His suffering does not generate lasting ambiguity</w:t>
      </w:r>
      <w:r w:rsidR="007F2A24">
        <w:rPr>
          <w:rFonts w:ascii="Calibri" w:hAnsi="Calibri" w:cs="Calibri"/>
        </w:rPr>
        <w:t xml:space="preserve"> but</w:t>
      </w:r>
      <w:r w:rsidRPr="00842C11">
        <w:rPr>
          <w:rFonts w:ascii="Calibri" w:hAnsi="Calibri" w:cs="Calibri"/>
        </w:rPr>
        <w:t xml:space="preserve"> reaffirms the legitimacy of male sovereignty. As Joseph Falaky Nagy </w:t>
      </w:r>
      <w:r w:rsidRPr="00842C11">
        <w:rPr>
          <w:rFonts w:ascii="Calibri" w:hAnsi="Calibri" w:cs="Calibri"/>
        </w:rPr>
        <w:lastRenderedPageBreak/>
        <w:t>observes, heroic figures in Celtic narrative often exist to resolve crises rather than embody them</w:t>
      </w:r>
      <w:r w:rsidR="002B51CC">
        <w:rPr>
          <w:rFonts w:ascii="Calibri" w:hAnsi="Calibri" w:cs="Calibri"/>
        </w:rPr>
        <w:t>,</w:t>
      </w:r>
      <w:r w:rsidRPr="00842C11">
        <w:rPr>
          <w:rStyle w:val="FootnoteReference"/>
          <w:rFonts w:ascii="Calibri" w:hAnsi="Calibri" w:cs="Calibri"/>
        </w:rPr>
        <w:footnoteReference w:id="23"/>
      </w:r>
      <w:r w:rsidRPr="00842C11">
        <w:rPr>
          <w:rFonts w:ascii="Calibri" w:hAnsi="Calibri" w:cs="Calibri"/>
        </w:rPr>
        <w:t xml:space="preserve"> </w:t>
      </w:r>
      <w:r w:rsidR="002B51CC">
        <w:rPr>
          <w:rFonts w:ascii="Calibri" w:hAnsi="Calibri" w:cs="Calibri"/>
        </w:rPr>
        <w:t>and the m</w:t>
      </w:r>
      <w:r w:rsidRPr="00842C11">
        <w:rPr>
          <w:rFonts w:ascii="Calibri" w:hAnsi="Calibri" w:cs="Calibri"/>
        </w:rPr>
        <w:t>ale characters in the Four Branches are positioned as solutions to disorder, not as its source.</w:t>
      </w:r>
    </w:p>
    <w:p w14:paraId="2C6B0E39" w14:textId="74FCC019" w:rsidR="00541CBF" w:rsidRPr="00842C11" w:rsidRDefault="00000000">
      <w:pPr>
        <w:spacing w:after="200" w:line="360" w:lineRule="auto"/>
        <w:rPr>
          <w:rFonts w:ascii="Calibri" w:hAnsi="Calibri" w:cs="Calibri"/>
        </w:rPr>
      </w:pPr>
      <w:r w:rsidRPr="00842C11">
        <w:rPr>
          <w:rFonts w:ascii="Calibri" w:hAnsi="Calibri" w:cs="Calibri"/>
        </w:rPr>
        <w:t>Exceptions only reinforce the rule. Efnisien in the Second Branch is the clearest example of disruptive masculinity, yet his aggression</w:t>
      </w:r>
      <w:r w:rsidR="007F2A24">
        <w:rPr>
          <w:rFonts w:ascii="Calibri" w:hAnsi="Calibri" w:cs="Calibri"/>
        </w:rPr>
        <w:t>, having led to</w:t>
      </w:r>
      <w:r w:rsidRPr="00842C11">
        <w:rPr>
          <w:rFonts w:ascii="Calibri" w:hAnsi="Calibri" w:cs="Calibri"/>
        </w:rPr>
        <w:t xml:space="preserve"> catastrophic destruction</w:t>
      </w:r>
      <w:r w:rsidR="007F2A24">
        <w:rPr>
          <w:rFonts w:ascii="Calibri" w:hAnsi="Calibri" w:cs="Calibri"/>
        </w:rPr>
        <w:t xml:space="preserve">, </w:t>
      </w:r>
      <w:r w:rsidRPr="00842C11">
        <w:rPr>
          <w:rFonts w:ascii="Calibri" w:hAnsi="Calibri" w:cs="Calibri"/>
        </w:rPr>
        <w:t xml:space="preserve">is swiftly neutralised through death. His narrative function is to illustrate the dangers of unregulated male aggression, not to complicate the system in any lasting way. Once removed, social </w:t>
      </w:r>
      <w:r w:rsidR="002B51CC" w:rsidRPr="00842C11">
        <w:rPr>
          <w:rFonts w:ascii="Calibri" w:hAnsi="Calibri" w:cs="Calibri"/>
        </w:rPr>
        <w:t>order</w:t>
      </w:r>
      <w:r w:rsidR="002B51CC">
        <w:rPr>
          <w:rFonts w:ascii="Calibri" w:hAnsi="Calibri" w:cs="Calibri"/>
        </w:rPr>
        <w:t xml:space="preserve">, </w:t>
      </w:r>
      <w:r w:rsidR="002B51CC" w:rsidRPr="00842C11">
        <w:rPr>
          <w:rFonts w:ascii="Calibri" w:hAnsi="Calibri" w:cs="Calibri"/>
        </w:rPr>
        <w:t>however</w:t>
      </w:r>
      <w:r w:rsidRPr="00842C11">
        <w:rPr>
          <w:rFonts w:ascii="Calibri" w:hAnsi="Calibri" w:cs="Calibri"/>
        </w:rPr>
        <w:t xml:space="preserve"> diminishe</w:t>
      </w:r>
      <w:r w:rsidR="007F2A24">
        <w:rPr>
          <w:rFonts w:ascii="Calibri" w:hAnsi="Calibri" w:cs="Calibri"/>
        </w:rPr>
        <w:t>d, is restored</w:t>
      </w:r>
      <w:r w:rsidRPr="00842C11">
        <w:rPr>
          <w:rFonts w:ascii="Calibri" w:hAnsi="Calibri" w:cs="Calibri"/>
        </w:rPr>
        <w:t>.</w:t>
      </w:r>
    </w:p>
    <w:p w14:paraId="220D5F6D" w14:textId="1A7B8293" w:rsidR="00541CBF" w:rsidRPr="00842C11" w:rsidRDefault="00000000">
      <w:pPr>
        <w:spacing w:after="200" w:line="360" w:lineRule="auto"/>
        <w:rPr>
          <w:rFonts w:ascii="Calibri" w:hAnsi="Calibri" w:cs="Calibri"/>
        </w:rPr>
      </w:pPr>
      <w:r w:rsidRPr="00842C11">
        <w:rPr>
          <w:rFonts w:ascii="Calibri" w:hAnsi="Calibri" w:cs="Calibri"/>
        </w:rPr>
        <w:t xml:space="preserve">These examples suggest that male characters in the Four Branches are structurally aligned with stability and repair. Their narratives tend to </w:t>
      </w:r>
      <w:r w:rsidR="007F2A24">
        <w:rPr>
          <w:rFonts w:ascii="Calibri" w:hAnsi="Calibri" w:cs="Calibri"/>
        </w:rPr>
        <w:t>remove or reduce</w:t>
      </w:r>
      <w:r w:rsidRPr="00842C11">
        <w:rPr>
          <w:rFonts w:ascii="Calibri" w:hAnsi="Calibri" w:cs="Calibri"/>
        </w:rPr>
        <w:t xml:space="preserve"> conflict rather than </w:t>
      </w:r>
      <w:r w:rsidR="007F2A24">
        <w:rPr>
          <w:rFonts w:ascii="Calibri" w:hAnsi="Calibri" w:cs="Calibri"/>
        </w:rPr>
        <w:t>introduce</w:t>
      </w:r>
      <w:r w:rsidRPr="00842C11">
        <w:rPr>
          <w:rFonts w:ascii="Calibri" w:hAnsi="Calibri" w:cs="Calibri"/>
        </w:rPr>
        <w:t xml:space="preserve"> it, leaving limited space for the kind of interpretative unease that keeps a character in mind. Female figures, by contrast, are positioned at points of ethical and social contradiction. Male characters are the instruments through which the narrative restores </w:t>
      </w:r>
      <w:r w:rsidR="007F2A24">
        <w:rPr>
          <w:rFonts w:ascii="Calibri" w:hAnsi="Calibri" w:cs="Calibri"/>
        </w:rPr>
        <w:t>balance</w:t>
      </w:r>
      <w:r w:rsidRPr="00842C11">
        <w:rPr>
          <w:rFonts w:ascii="Calibri" w:hAnsi="Calibri" w:cs="Calibri"/>
        </w:rPr>
        <w:t>. Their importance is clear, but their relative lack of memorability follows from the success with which they fulfil this role.</w:t>
      </w:r>
    </w:p>
    <w:p w14:paraId="4437DCAC" w14:textId="6D496775" w:rsidR="00541CBF" w:rsidRPr="00842C11" w:rsidRDefault="007F2A24">
      <w:pPr>
        <w:spacing w:after="200" w:line="360" w:lineRule="auto"/>
        <w:rPr>
          <w:rFonts w:ascii="Calibri" w:hAnsi="Calibri" w:cs="Calibri"/>
        </w:rPr>
      </w:pPr>
      <w:r>
        <w:rPr>
          <w:rFonts w:ascii="Calibri" w:hAnsi="Calibri" w:cs="Calibri"/>
        </w:rPr>
        <w:t xml:space="preserve">We </w:t>
      </w:r>
      <w:r w:rsidR="00000000" w:rsidRPr="00842C11">
        <w:rPr>
          <w:rFonts w:ascii="Calibri" w:hAnsi="Calibri" w:cs="Calibri"/>
        </w:rPr>
        <w:t>have shown that female characters in the Four Branches are repeatedly placed at moments of narrative strain — whether through disruptive refusal, as with Blodeuwedd, or through extreme endurance, as with Rhiannon. Why does this positioning result in greater memorability? The answer lies in the way female figures</w:t>
      </w:r>
      <w:r>
        <w:rPr>
          <w:rFonts w:ascii="Calibri" w:hAnsi="Calibri" w:cs="Calibri"/>
        </w:rPr>
        <w:t>, and their ambigu</w:t>
      </w:r>
      <w:r w:rsidR="00E1653A">
        <w:rPr>
          <w:rFonts w:ascii="Calibri" w:hAnsi="Calibri" w:cs="Calibri"/>
        </w:rPr>
        <w:t>ity</w:t>
      </w:r>
      <w:r>
        <w:rPr>
          <w:rFonts w:ascii="Calibri" w:hAnsi="Calibri" w:cs="Calibri"/>
        </w:rPr>
        <w:t>,</w:t>
      </w:r>
      <w:r w:rsidR="00000000" w:rsidRPr="00842C11">
        <w:rPr>
          <w:rFonts w:ascii="Calibri" w:hAnsi="Calibri" w:cs="Calibri"/>
        </w:rPr>
        <w:t xml:space="preserve"> are used to articulate cultural anxiety. They linger in the imagination because they are placed at the boundaries of law, identity, and social order</w:t>
      </w:r>
      <w:r>
        <w:rPr>
          <w:rFonts w:ascii="Calibri" w:hAnsi="Calibri" w:cs="Calibri"/>
        </w:rPr>
        <w:t>, crucial to maintaining civility and structure in medieval society.</w:t>
      </w:r>
    </w:p>
    <w:p w14:paraId="2E19935E" w14:textId="42BBD68F" w:rsidR="00541CBF" w:rsidRPr="00842C11" w:rsidRDefault="00000000">
      <w:pPr>
        <w:spacing w:after="200" w:line="360" w:lineRule="auto"/>
        <w:rPr>
          <w:rFonts w:ascii="Calibri" w:hAnsi="Calibri" w:cs="Calibri"/>
        </w:rPr>
      </w:pPr>
      <w:r w:rsidRPr="00842C11">
        <w:rPr>
          <w:rFonts w:ascii="Calibri" w:hAnsi="Calibri" w:cs="Calibri"/>
        </w:rPr>
        <w:t xml:space="preserve">Anthropological theory offers a useful framework here. As Mary Douglas argues in </w:t>
      </w:r>
      <w:r w:rsidRPr="00842C11">
        <w:rPr>
          <w:rFonts w:ascii="Calibri" w:hAnsi="Calibri" w:cs="Calibri"/>
          <w:i/>
          <w:iCs/>
        </w:rPr>
        <w:t>Purity and Danger</w:t>
      </w:r>
      <w:r w:rsidRPr="00842C11">
        <w:rPr>
          <w:rFonts w:ascii="Calibri" w:hAnsi="Calibri" w:cs="Calibri"/>
        </w:rPr>
        <w:t>, where there is ambiguity, there is danger.</w:t>
      </w:r>
      <w:r w:rsidRPr="00842C11">
        <w:rPr>
          <w:rStyle w:val="FootnoteReference"/>
          <w:rFonts w:ascii="Calibri" w:hAnsi="Calibri" w:cs="Calibri"/>
        </w:rPr>
        <w:footnoteReference w:id="24"/>
      </w:r>
      <w:r w:rsidRPr="00842C11">
        <w:rPr>
          <w:rFonts w:ascii="Calibri" w:hAnsi="Calibri" w:cs="Calibri"/>
        </w:rPr>
        <w:t xml:space="preserve"> Douglas’s insight helps explain why a figure such as Blodeuwedd exerts such a powerful pull. Blodeuwedd is ambiguous at every level: she is neither </w:t>
      </w:r>
      <w:r w:rsidR="007F2A24">
        <w:rPr>
          <w:rFonts w:ascii="Calibri" w:hAnsi="Calibri" w:cs="Calibri"/>
        </w:rPr>
        <w:t>fully natural</w:t>
      </w:r>
      <w:r w:rsidRPr="00842C11">
        <w:rPr>
          <w:rFonts w:ascii="Calibri" w:hAnsi="Calibri" w:cs="Calibri"/>
        </w:rPr>
        <w:t xml:space="preserve"> nor entirely artificial, neither loyal wife nor recognised rival, neither fully human nor fully otherworldly. Her actions disrupt categorical boundaries the social system depends upon — particularly those governing kinship, sexuality, and legitimacy. Because the </w:t>
      </w:r>
      <w:r w:rsidR="007F2A24">
        <w:rPr>
          <w:rFonts w:ascii="Calibri" w:hAnsi="Calibri" w:cs="Calibri"/>
        </w:rPr>
        <w:t>audience</w:t>
      </w:r>
      <w:r w:rsidRPr="00842C11">
        <w:rPr>
          <w:rFonts w:ascii="Calibri" w:hAnsi="Calibri" w:cs="Calibri"/>
        </w:rPr>
        <w:t xml:space="preserve"> can</w:t>
      </w:r>
      <w:r w:rsidR="007F2A24">
        <w:rPr>
          <w:rFonts w:ascii="Calibri" w:hAnsi="Calibri" w:cs="Calibri"/>
        </w:rPr>
        <w:t>’</w:t>
      </w:r>
      <w:r w:rsidRPr="00842C11">
        <w:rPr>
          <w:rFonts w:ascii="Calibri" w:hAnsi="Calibri" w:cs="Calibri"/>
        </w:rPr>
        <w:t xml:space="preserve">t comfortably classify her, it responds with </w:t>
      </w:r>
      <w:r w:rsidR="00E1653A">
        <w:rPr>
          <w:rFonts w:ascii="Calibri" w:hAnsi="Calibri" w:cs="Calibri"/>
        </w:rPr>
        <w:t xml:space="preserve">removal </w:t>
      </w:r>
      <w:r w:rsidRPr="00842C11">
        <w:rPr>
          <w:rFonts w:ascii="Calibri" w:hAnsi="Calibri" w:cs="Calibri"/>
        </w:rPr>
        <w:t xml:space="preserve">rather than </w:t>
      </w:r>
      <w:r w:rsidR="00E1653A">
        <w:rPr>
          <w:rFonts w:ascii="Calibri" w:hAnsi="Calibri" w:cs="Calibri"/>
        </w:rPr>
        <w:t>finding a way to assimilate her, but</w:t>
      </w:r>
      <w:r w:rsidRPr="00842C11">
        <w:rPr>
          <w:rFonts w:ascii="Calibri" w:hAnsi="Calibri" w:cs="Calibri"/>
        </w:rPr>
        <w:t xml:space="preserve"> this act of </w:t>
      </w:r>
      <w:r w:rsidR="00E1653A">
        <w:rPr>
          <w:rFonts w:ascii="Calibri" w:hAnsi="Calibri" w:cs="Calibri"/>
        </w:rPr>
        <w:t>removal</w:t>
      </w:r>
      <w:r w:rsidRPr="00842C11">
        <w:rPr>
          <w:rFonts w:ascii="Calibri" w:hAnsi="Calibri" w:cs="Calibri"/>
        </w:rPr>
        <w:t xml:space="preserve"> does not eliminate ambiguity. It preserves it in memory.</w:t>
      </w:r>
    </w:p>
    <w:p w14:paraId="263751AB" w14:textId="5BD3C753" w:rsidR="00541CBF" w:rsidRPr="00842C11" w:rsidRDefault="00000000">
      <w:pPr>
        <w:spacing w:after="200" w:line="360" w:lineRule="auto"/>
        <w:rPr>
          <w:rFonts w:ascii="Calibri" w:hAnsi="Calibri" w:cs="Calibri"/>
        </w:rPr>
      </w:pPr>
      <w:r w:rsidRPr="00842C11">
        <w:rPr>
          <w:rFonts w:ascii="Calibri" w:hAnsi="Calibri" w:cs="Calibri"/>
        </w:rPr>
        <w:t xml:space="preserve">Rhiannon’s memorability operates differently but </w:t>
      </w:r>
      <w:r w:rsidR="00E1653A">
        <w:rPr>
          <w:rFonts w:ascii="Calibri" w:hAnsi="Calibri" w:cs="Calibri"/>
        </w:rPr>
        <w:t>comes</w:t>
      </w:r>
      <w:r w:rsidRPr="00842C11">
        <w:rPr>
          <w:rFonts w:ascii="Calibri" w:hAnsi="Calibri" w:cs="Calibri"/>
        </w:rPr>
        <w:t xml:space="preserve"> from a </w:t>
      </w:r>
      <w:r w:rsidR="00E1653A">
        <w:rPr>
          <w:rFonts w:ascii="Calibri" w:hAnsi="Calibri" w:cs="Calibri"/>
        </w:rPr>
        <w:t>similar</w:t>
      </w:r>
      <w:r w:rsidRPr="00842C11">
        <w:rPr>
          <w:rFonts w:ascii="Calibri" w:hAnsi="Calibri" w:cs="Calibri"/>
        </w:rPr>
        <w:t xml:space="preserve"> logic. Her prolonged punishment for a crime she did not commit exposes a gap between law and justice that the narrative struggles to close. Although she is eventually vindicated, the extremity of her suffering remains disproportionate to social </w:t>
      </w:r>
      <w:r w:rsidRPr="00842C11">
        <w:rPr>
          <w:rFonts w:ascii="Calibri" w:hAnsi="Calibri" w:cs="Calibri"/>
        </w:rPr>
        <w:lastRenderedPageBreak/>
        <w:t>necessity</w:t>
      </w:r>
      <w:r w:rsidR="00E1653A">
        <w:rPr>
          <w:rFonts w:ascii="Calibri" w:hAnsi="Calibri" w:cs="Calibri"/>
        </w:rPr>
        <w:t>, and</w:t>
      </w:r>
      <w:r w:rsidRPr="00842C11">
        <w:rPr>
          <w:rFonts w:ascii="Calibri" w:hAnsi="Calibri" w:cs="Calibri"/>
        </w:rPr>
        <w:t xml:space="preserve"> </w:t>
      </w:r>
      <w:r w:rsidR="00E1653A">
        <w:rPr>
          <w:rFonts w:ascii="Calibri" w:hAnsi="Calibri" w:cs="Calibri"/>
        </w:rPr>
        <w:t>t</w:t>
      </w:r>
      <w:r w:rsidRPr="00842C11">
        <w:rPr>
          <w:rFonts w:ascii="Calibri" w:hAnsi="Calibri" w:cs="Calibri"/>
        </w:rPr>
        <w:t>he reader is left with a</w:t>
      </w:r>
      <w:r w:rsidR="00E1653A">
        <w:rPr>
          <w:rFonts w:ascii="Calibri" w:hAnsi="Calibri" w:cs="Calibri"/>
        </w:rPr>
        <w:t xml:space="preserve"> lingering</w:t>
      </w:r>
      <w:r w:rsidRPr="00842C11">
        <w:rPr>
          <w:rFonts w:ascii="Calibri" w:hAnsi="Calibri" w:cs="Calibri"/>
        </w:rPr>
        <w:t xml:space="preserve"> awareness of </w:t>
      </w:r>
      <w:r w:rsidR="00E1653A">
        <w:rPr>
          <w:rFonts w:ascii="Calibri" w:hAnsi="Calibri" w:cs="Calibri"/>
        </w:rPr>
        <w:t>this</w:t>
      </w:r>
      <w:r w:rsidRPr="00842C11">
        <w:rPr>
          <w:rFonts w:ascii="Calibri" w:hAnsi="Calibri" w:cs="Calibri"/>
        </w:rPr>
        <w:t xml:space="preserve">. In both cases, female characters carry what might be </w:t>
      </w:r>
      <w:r w:rsidR="00E1653A">
        <w:rPr>
          <w:rFonts w:ascii="Calibri" w:hAnsi="Calibri" w:cs="Calibri"/>
        </w:rPr>
        <w:t>considered</w:t>
      </w:r>
      <w:r w:rsidRPr="00842C11">
        <w:rPr>
          <w:rFonts w:ascii="Calibri" w:hAnsi="Calibri" w:cs="Calibri"/>
        </w:rPr>
        <w:t xml:space="preserve"> surplus meaning: their experiences generate more ethical disturbance than the narrative can </w:t>
      </w:r>
      <w:r w:rsidR="002B51CC">
        <w:rPr>
          <w:rFonts w:ascii="Calibri" w:hAnsi="Calibri" w:cs="Calibri"/>
        </w:rPr>
        <w:t>rectify.</w:t>
      </w:r>
    </w:p>
    <w:p w14:paraId="3344E2C4" w14:textId="39585B6D" w:rsidR="00541CBF" w:rsidRPr="00842C11" w:rsidRDefault="00000000">
      <w:pPr>
        <w:spacing w:after="200" w:line="360" w:lineRule="auto"/>
        <w:rPr>
          <w:rFonts w:ascii="Calibri" w:hAnsi="Calibri" w:cs="Calibri"/>
        </w:rPr>
      </w:pPr>
      <w:r w:rsidRPr="00842C11">
        <w:rPr>
          <w:rFonts w:ascii="Calibri" w:hAnsi="Calibri" w:cs="Calibri"/>
        </w:rPr>
        <w:t>Literary theory further illuminates this dynamic. Julia Kristeva describes the “abject” as that which “disturbs identity, system, order.”</w:t>
      </w:r>
      <w:r w:rsidRPr="00842C11">
        <w:rPr>
          <w:rStyle w:val="FootnoteReference"/>
          <w:rFonts w:ascii="Calibri" w:hAnsi="Calibri" w:cs="Calibri"/>
        </w:rPr>
        <w:footnoteReference w:id="25"/>
      </w:r>
      <w:r w:rsidRPr="00842C11">
        <w:rPr>
          <w:rFonts w:ascii="Calibri" w:hAnsi="Calibri" w:cs="Calibri"/>
        </w:rPr>
        <w:t xml:space="preserve"> Blodeuwedd functions as an abject figure within the Four Branches. Her transformation into an owl does not simply punish her; it marks her as permanently liminal — excluded from human society yet still present at its edges. The abject, Kristeva suggests, cannot be </w:t>
      </w:r>
      <w:r w:rsidR="00E1653A">
        <w:rPr>
          <w:rFonts w:ascii="Calibri" w:hAnsi="Calibri" w:cs="Calibri"/>
        </w:rPr>
        <w:t>totally</w:t>
      </w:r>
      <w:r w:rsidRPr="00842C11">
        <w:rPr>
          <w:rFonts w:ascii="Calibri" w:hAnsi="Calibri" w:cs="Calibri"/>
        </w:rPr>
        <w:t xml:space="preserve"> expelled from consciousness because it defines the limits of the system. Blodeuwedd’s continued hold on the reader </w:t>
      </w:r>
      <w:r w:rsidR="00E1653A">
        <w:rPr>
          <w:rFonts w:ascii="Calibri" w:hAnsi="Calibri" w:cs="Calibri"/>
        </w:rPr>
        <w:t>comes</w:t>
      </w:r>
      <w:r w:rsidRPr="00842C11">
        <w:rPr>
          <w:rFonts w:ascii="Calibri" w:hAnsi="Calibri" w:cs="Calibri"/>
        </w:rPr>
        <w:t xml:space="preserve"> from this role as a boundary marker, a figure who reveals what the social order must cast out </w:t>
      </w:r>
      <w:r w:rsidR="00AD1F91">
        <w:rPr>
          <w:rFonts w:ascii="Calibri" w:hAnsi="Calibri" w:cs="Calibri"/>
        </w:rPr>
        <w:t>to</w:t>
      </w:r>
      <w:r w:rsidRPr="00842C11">
        <w:rPr>
          <w:rFonts w:ascii="Calibri" w:hAnsi="Calibri" w:cs="Calibri"/>
        </w:rPr>
        <w:t xml:space="preserve"> define itself.</w:t>
      </w:r>
    </w:p>
    <w:p w14:paraId="74BC4447" w14:textId="52E0B21E" w:rsidR="00541CBF" w:rsidRPr="00842C11" w:rsidRDefault="00000000">
      <w:pPr>
        <w:spacing w:after="200" w:line="360" w:lineRule="auto"/>
        <w:rPr>
          <w:rFonts w:ascii="Calibri" w:hAnsi="Calibri" w:cs="Calibri"/>
        </w:rPr>
      </w:pPr>
      <w:r w:rsidRPr="00842C11">
        <w:rPr>
          <w:rFonts w:ascii="Calibri" w:hAnsi="Calibri" w:cs="Calibri"/>
        </w:rPr>
        <w:t xml:space="preserve">Male characters rarely occupy this position. As </w:t>
      </w:r>
      <w:r w:rsidR="00E1653A">
        <w:rPr>
          <w:rFonts w:ascii="Calibri" w:hAnsi="Calibri" w:cs="Calibri"/>
        </w:rPr>
        <w:t>explained</w:t>
      </w:r>
      <w:r w:rsidRPr="00842C11">
        <w:rPr>
          <w:rFonts w:ascii="Calibri" w:hAnsi="Calibri" w:cs="Calibri"/>
        </w:rPr>
        <w:t xml:space="preserve">, men in the Four Branches are typically aligned with repair, continuity, and reintegration. Even when they cause destruction, as Efnisien does, the narrative resolves the threat decisively through death. Female characters are more often left suspended between condemnation and sympathy, </w:t>
      </w:r>
      <w:r w:rsidR="00E1653A">
        <w:rPr>
          <w:rFonts w:ascii="Calibri" w:hAnsi="Calibri" w:cs="Calibri"/>
        </w:rPr>
        <w:t xml:space="preserve">their </w:t>
      </w:r>
      <w:r w:rsidRPr="00842C11">
        <w:rPr>
          <w:rFonts w:ascii="Calibri" w:hAnsi="Calibri" w:cs="Calibri"/>
        </w:rPr>
        <w:t>stories not fully close</w:t>
      </w:r>
      <w:r w:rsidR="00E1653A">
        <w:rPr>
          <w:rFonts w:ascii="Calibri" w:hAnsi="Calibri" w:cs="Calibri"/>
        </w:rPr>
        <w:t>d</w:t>
      </w:r>
      <w:r w:rsidRPr="00842C11">
        <w:rPr>
          <w:rFonts w:ascii="Calibri" w:hAnsi="Calibri" w:cs="Calibri"/>
        </w:rPr>
        <w:t>, and this lack of closure is what allows them to linger</w:t>
      </w:r>
      <w:r w:rsidR="00E1653A">
        <w:rPr>
          <w:rFonts w:ascii="Calibri" w:hAnsi="Calibri" w:cs="Calibri"/>
        </w:rPr>
        <w:t xml:space="preserve"> in memory</w:t>
      </w:r>
      <w:r w:rsidRPr="00842C11">
        <w:rPr>
          <w:rFonts w:ascii="Calibri" w:hAnsi="Calibri" w:cs="Calibri"/>
        </w:rPr>
        <w:t>.</w:t>
      </w:r>
    </w:p>
    <w:p w14:paraId="75945824" w14:textId="45C75792" w:rsidR="00541CBF" w:rsidRPr="00842C11" w:rsidRDefault="00000000">
      <w:pPr>
        <w:spacing w:after="200" w:line="360" w:lineRule="auto"/>
        <w:rPr>
          <w:rFonts w:ascii="Calibri" w:hAnsi="Calibri" w:cs="Calibri"/>
        </w:rPr>
      </w:pPr>
      <w:r w:rsidRPr="00842C11">
        <w:rPr>
          <w:rFonts w:ascii="Calibri" w:hAnsi="Calibri" w:cs="Calibri"/>
        </w:rPr>
        <w:t>Memorability, then, is not an accident of characterisation but a product of narrative pressure. As Catherine Byfield observes, “it is from the delineation of characters, and in their interactions and motivations, that the Four Branches derive much of their value as literature.”</w:t>
      </w:r>
      <w:r w:rsidRPr="00842C11">
        <w:rPr>
          <w:rStyle w:val="FootnoteReference"/>
          <w:rFonts w:ascii="Calibri" w:hAnsi="Calibri" w:cs="Calibri"/>
        </w:rPr>
        <w:footnoteReference w:id="26"/>
      </w:r>
      <w:r w:rsidRPr="00842C11">
        <w:rPr>
          <w:rFonts w:ascii="Calibri" w:hAnsi="Calibri" w:cs="Calibri"/>
        </w:rPr>
        <w:t xml:space="preserve"> Female characters are made memorable because they are used to think through what </w:t>
      </w:r>
      <w:r w:rsidR="00E1653A">
        <w:rPr>
          <w:rFonts w:ascii="Calibri" w:hAnsi="Calibri" w:cs="Calibri"/>
        </w:rPr>
        <w:t>can’t</w:t>
      </w:r>
      <w:r w:rsidRPr="00842C11">
        <w:rPr>
          <w:rFonts w:ascii="Calibri" w:hAnsi="Calibri" w:cs="Calibri"/>
        </w:rPr>
        <w:t xml:space="preserve"> be comfortably resolved</w:t>
      </w:r>
      <w:r w:rsidR="00E1653A">
        <w:rPr>
          <w:rFonts w:ascii="Calibri" w:hAnsi="Calibri" w:cs="Calibri"/>
        </w:rPr>
        <w:t xml:space="preserve"> – the </w:t>
      </w:r>
      <w:r w:rsidRPr="00842C11">
        <w:rPr>
          <w:rFonts w:ascii="Calibri" w:hAnsi="Calibri" w:cs="Calibri"/>
        </w:rPr>
        <w:t xml:space="preserve"> tension between desire and law, between justice and continuity. By locating these tensions in women’s bodies and experiences, the Four Branches ensure that female figures remain the most unsettling presences in the text. It is worth noting that Andrew Breeze has controversially proposed that the Four Branches may have been composed by a woman — Gwenllian </w:t>
      </w:r>
      <w:proofErr w:type="spellStart"/>
      <w:r w:rsidRPr="00842C11">
        <w:rPr>
          <w:rFonts w:ascii="Calibri" w:hAnsi="Calibri" w:cs="Calibri"/>
        </w:rPr>
        <w:t>ferch</w:t>
      </w:r>
      <w:proofErr w:type="spellEnd"/>
      <w:r w:rsidRPr="00842C11">
        <w:rPr>
          <w:rFonts w:ascii="Calibri" w:hAnsi="Calibri" w:cs="Calibri"/>
        </w:rPr>
        <w:t xml:space="preserve"> Gruffudd ap Cynan — citing the text’s unusual sympathy with its female characters as part of the evidence.</w:t>
      </w:r>
      <w:r w:rsidRPr="00842C11">
        <w:rPr>
          <w:rStyle w:val="FootnoteReference"/>
          <w:rFonts w:ascii="Calibri" w:hAnsi="Calibri" w:cs="Calibri"/>
        </w:rPr>
        <w:footnoteReference w:id="27"/>
      </w:r>
      <w:r w:rsidRPr="00842C11">
        <w:rPr>
          <w:rFonts w:ascii="Calibri" w:hAnsi="Calibri" w:cs="Calibri"/>
        </w:rPr>
        <w:t xml:space="preserve"> Th</w:t>
      </w:r>
      <w:r w:rsidR="00E1653A">
        <w:rPr>
          <w:rFonts w:ascii="Calibri" w:hAnsi="Calibri" w:cs="Calibri"/>
        </w:rPr>
        <w:t>is</w:t>
      </w:r>
      <w:r w:rsidRPr="00842C11">
        <w:rPr>
          <w:rFonts w:ascii="Calibri" w:hAnsi="Calibri" w:cs="Calibri"/>
        </w:rPr>
        <w:t xml:space="preserve"> argument remains contested, but the observation it rests on is harder to dismiss: the Four Branches linger with women’s experience in a way that is difficult to explain without acknowledging the distinctive narrative weight those experiences carry.</w:t>
      </w:r>
    </w:p>
    <w:p w14:paraId="2B159AD1" w14:textId="0B2475D8" w:rsidR="00541CBF" w:rsidRPr="00842C11" w:rsidRDefault="00E1653A">
      <w:pPr>
        <w:spacing w:after="200" w:line="360" w:lineRule="auto"/>
        <w:rPr>
          <w:rFonts w:ascii="Calibri" w:hAnsi="Calibri" w:cs="Calibri"/>
        </w:rPr>
      </w:pPr>
      <w:r>
        <w:rPr>
          <w:rFonts w:ascii="Calibri" w:hAnsi="Calibri" w:cs="Calibri"/>
        </w:rPr>
        <w:lastRenderedPageBreak/>
        <w:t>Having</w:t>
      </w:r>
      <w:r w:rsidR="00000000" w:rsidRPr="00842C11">
        <w:rPr>
          <w:rFonts w:ascii="Calibri" w:hAnsi="Calibri" w:cs="Calibri"/>
        </w:rPr>
        <w:t xml:space="preserve"> compared Pwyll with Blodeuwedd </w:t>
      </w:r>
      <w:proofErr w:type="gramStart"/>
      <w:r w:rsidR="00000000" w:rsidRPr="00842C11">
        <w:rPr>
          <w:rFonts w:ascii="Calibri" w:hAnsi="Calibri" w:cs="Calibri"/>
        </w:rPr>
        <w:t>in order to</w:t>
      </w:r>
      <w:proofErr w:type="gramEnd"/>
      <w:r w:rsidR="00000000" w:rsidRPr="00842C11">
        <w:rPr>
          <w:rFonts w:ascii="Calibri" w:hAnsi="Calibri" w:cs="Calibri"/>
        </w:rPr>
        <w:t xml:space="preserve"> assess the claim that female characters in the Four Branches of the Mabinogi are more memorable than male characters</w:t>
      </w:r>
      <w:r>
        <w:rPr>
          <w:rFonts w:ascii="Calibri" w:hAnsi="Calibri" w:cs="Calibri"/>
        </w:rPr>
        <w:t>, we can see this</w:t>
      </w:r>
      <w:r w:rsidRPr="00842C11">
        <w:rPr>
          <w:rFonts w:ascii="Calibri" w:hAnsi="Calibri" w:cs="Calibri"/>
        </w:rPr>
        <w:t xml:space="preserve"> is persuasive</w:t>
      </w:r>
      <w:r>
        <w:rPr>
          <w:rFonts w:ascii="Calibri" w:hAnsi="Calibri" w:cs="Calibri"/>
        </w:rPr>
        <w:t>, with this memorability resting on the narrative tensions throughout</w:t>
      </w:r>
      <w:r w:rsidR="00000000" w:rsidRPr="00842C11">
        <w:rPr>
          <w:rFonts w:ascii="Calibri" w:hAnsi="Calibri" w:cs="Calibri"/>
        </w:rPr>
        <w:t>. Male characters such as Pwyll are ethically central to the Four Branches, yet their narrative role is to resolve disorder and reaffirm stability. Female characters are situated at points where order is threatened, strained, or violently enforced, and this makes them more unsettling and enduring in the reader’s imagination.</w:t>
      </w:r>
    </w:p>
    <w:p w14:paraId="5F7D4A9A" w14:textId="565583BC" w:rsidR="00541CBF" w:rsidRPr="00842C11" w:rsidRDefault="00A46A68">
      <w:pPr>
        <w:spacing w:after="200" w:line="360" w:lineRule="auto"/>
        <w:rPr>
          <w:rFonts w:ascii="Calibri" w:hAnsi="Calibri" w:cs="Calibri"/>
        </w:rPr>
      </w:pPr>
      <w:r>
        <w:rPr>
          <w:rFonts w:ascii="Calibri" w:hAnsi="Calibri" w:cs="Calibri"/>
        </w:rPr>
        <w:t>The women are the most well remembered,</w:t>
      </w:r>
      <w:r w:rsidR="00000000" w:rsidRPr="00842C11">
        <w:rPr>
          <w:rFonts w:ascii="Calibri" w:hAnsi="Calibri" w:cs="Calibri"/>
        </w:rPr>
        <w:t xml:space="preserve"> not because they are privileged by the narrative, but because they are used to think through the limits of order itself. The male characters show how social systems are meant to operate; the female characters expose what those systems require, suppress, or destroy to survive. </w:t>
      </w:r>
      <w:r>
        <w:rPr>
          <w:rFonts w:ascii="Calibri" w:hAnsi="Calibri" w:cs="Calibri"/>
        </w:rPr>
        <w:t xml:space="preserve">By using the women as trigger points to understand social order, they become the embodiment of the virtues to live by, or the vices to avoid. </w:t>
      </w:r>
    </w:p>
    <w:p w14:paraId="4EAAF24C" w14:textId="2D3B94C0" w:rsidR="00FF7FCE" w:rsidRPr="00FF7FCE" w:rsidRDefault="00FF7FCE" w:rsidP="00FF7FCE">
      <w:pPr>
        <w:rPr>
          <w:rFonts w:ascii="Times New Roman" w:eastAsia="Times New Roman" w:hAnsi="Times New Roman" w:cs="Times New Roman"/>
        </w:rPr>
      </w:pPr>
    </w:p>
    <w:p w14:paraId="0F1E1DDC"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b/>
          <w:bCs/>
        </w:rPr>
        <w:t>Bibliography</w:t>
      </w:r>
    </w:p>
    <w:p w14:paraId="51479173"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Breeze, Andrew, </w:t>
      </w:r>
      <w:r w:rsidRPr="00FF7FCE">
        <w:rPr>
          <w:rFonts w:ascii="Calibri" w:eastAsia="Times New Roman" w:hAnsi="Calibri" w:cs="Calibri"/>
          <w:i/>
          <w:iCs/>
        </w:rPr>
        <w:t>Medieval Welsh Literature</w:t>
      </w:r>
      <w:r w:rsidRPr="00FF7FCE">
        <w:rPr>
          <w:rFonts w:ascii="Calibri" w:eastAsia="Times New Roman" w:hAnsi="Calibri" w:cs="Calibri"/>
        </w:rPr>
        <w:t xml:space="preserve"> (Dublin: Four Courts Press, 1997)</w:t>
      </w:r>
    </w:p>
    <w:p w14:paraId="41A3B701" w14:textId="5836B79C" w:rsid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Byfield, Catherine E., 'Character and Conflict in the Four Branches of the Mabinogi', </w:t>
      </w:r>
      <w:r w:rsidRPr="00FF7FCE">
        <w:rPr>
          <w:rFonts w:ascii="Calibri" w:eastAsia="Times New Roman" w:hAnsi="Calibri" w:cs="Calibri"/>
          <w:i/>
          <w:iCs/>
        </w:rPr>
        <w:t>Bulletin of the Board of Celtic Studies</w:t>
      </w:r>
      <w:r w:rsidRPr="00FF7FCE">
        <w:rPr>
          <w:rFonts w:ascii="Calibri" w:eastAsia="Times New Roman" w:hAnsi="Calibri" w:cs="Calibri"/>
        </w:rPr>
        <w:t>, 40 (1993)</w:t>
      </w:r>
    </w:p>
    <w:p w14:paraId="5B6A059A" w14:textId="04106D5D" w:rsidR="00FF7FCE" w:rsidRPr="00F71886" w:rsidRDefault="00FF7FCE" w:rsidP="00FF7FCE">
      <w:pPr>
        <w:spacing w:before="100" w:beforeAutospacing="1" w:after="100" w:afterAutospacing="1"/>
        <w:rPr>
          <w:rFonts w:ascii="Calibri" w:eastAsia="Times New Roman" w:hAnsi="Calibri" w:cs="Calibri"/>
          <w:b/>
          <w:bCs/>
        </w:rPr>
      </w:pPr>
      <w:r>
        <w:rPr>
          <w:rFonts w:ascii="Calibri" w:eastAsia="Times New Roman" w:hAnsi="Calibri" w:cs="Calibri"/>
        </w:rPr>
        <w:t xml:space="preserve">Cartwright, Jane, </w:t>
      </w:r>
      <w:r w:rsidR="00F71886">
        <w:rPr>
          <w:rFonts w:ascii="Calibri" w:eastAsia="Times New Roman" w:hAnsi="Calibri" w:cs="Calibri"/>
        </w:rPr>
        <w:t>‘</w:t>
      </w:r>
      <w:r w:rsidR="00F71886" w:rsidRPr="00F71886">
        <w:rPr>
          <w:rFonts w:ascii="Calibri" w:eastAsia="Times New Roman" w:hAnsi="Calibri" w:cs="Calibri"/>
        </w:rPr>
        <w:t>Characterisation</w:t>
      </w:r>
      <w:r w:rsidR="00F71886">
        <w:rPr>
          <w:rFonts w:ascii="Calibri" w:eastAsia="Times New Roman" w:hAnsi="Calibri" w:cs="Calibri"/>
        </w:rPr>
        <w:t xml:space="preserve">’ Handout, </w:t>
      </w:r>
      <w:r w:rsidR="00F71886" w:rsidRPr="00F71886">
        <w:rPr>
          <w:rFonts w:ascii="Calibri" w:eastAsia="Times New Roman" w:hAnsi="Calibri" w:cs="Calibri"/>
          <w:i/>
          <w:iCs/>
        </w:rPr>
        <w:t>Moodle</w:t>
      </w:r>
    </w:p>
    <w:p w14:paraId="40B06D1E"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Charles-Edwards, Thomas, </w:t>
      </w:r>
      <w:r w:rsidRPr="00FF7FCE">
        <w:rPr>
          <w:rFonts w:ascii="Calibri" w:eastAsia="Times New Roman" w:hAnsi="Calibri" w:cs="Calibri"/>
          <w:i/>
          <w:iCs/>
        </w:rPr>
        <w:t>Early Christian Ireland</w:t>
      </w:r>
      <w:r w:rsidRPr="00FF7FCE">
        <w:rPr>
          <w:rFonts w:ascii="Calibri" w:eastAsia="Times New Roman" w:hAnsi="Calibri" w:cs="Calibri"/>
        </w:rPr>
        <w:t xml:space="preserve"> (Cambridge: Cambridge University Press, 2000)</w:t>
      </w:r>
    </w:p>
    <w:p w14:paraId="4B56E3E0" w14:textId="7E697DB5"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Davies, Sioned, </w:t>
      </w:r>
      <w:r w:rsidRPr="00FF7FCE">
        <w:rPr>
          <w:rFonts w:ascii="Calibri" w:eastAsia="Times New Roman" w:hAnsi="Calibri" w:cs="Calibri"/>
          <w:i/>
          <w:iCs/>
        </w:rPr>
        <w:t xml:space="preserve">The Four Branches of the Mabinogi / </w:t>
      </w:r>
      <w:proofErr w:type="spellStart"/>
      <w:r w:rsidRPr="00FF7FCE">
        <w:rPr>
          <w:rFonts w:ascii="Calibri" w:eastAsia="Times New Roman" w:hAnsi="Calibri" w:cs="Calibri"/>
          <w:i/>
          <w:iCs/>
        </w:rPr>
        <w:t>Pedeir</w:t>
      </w:r>
      <w:proofErr w:type="spellEnd"/>
      <w:r w:rsidRPr="00FF7FCE">
        <w:rPr>
          <w:rFonts w:ascii="Calibri" w:eastAsia="Times New Roman" w:hAnsi="Calibri" w:cs="Calibri"/>
          <w:i/>
          <w:iCs/>
        </w:rPr>
        <w:t xml:space="preserve"> </w:t>
      </w:r>
      <w:proofErr w:type="spellStart"/>
      <w:r w:rsidRPr="00FF7FCE">
        <w:rPr>
          <w:rFonts w:ascii="Calibri" w:eastAsia="Times New Roman" w:hAnsi="Calibri" w:cs="Calibri"/>
          <w:i/>
          <w:iCs/>
        </w:rPr>
        <w:t>Keinc</w:t>
      </w:r>
      <w:proofErr w:type="spellEnd"/>
      <w:r w:rsidRPr="00FF7FCE">
        <w:rPr>
          <w:rFonts w:ascii="Calibri" w:eastAsia="Times New Roman" w:hAnsi="Calibri" w:cs="Calibri"/>
          <w:i/>
          <w:iCs/>
        </w:rPr>
        <w:t xml:space="preserve"> y Mabinogi</w:t>
      </w:r>
      <w:r w:rsidRPr="00FF7FCE">
        <w:rPr>
          <w:rFonts w:ascii="Calibri" w:eastAsia="Times New Roman" w:hAnsi="Calibri" w:cs="Calibri"/>
        </w:rPr>
        <w:t xml:space="preserve"> (Llandysul: </w:t>
      </w:r>
      <w:proofErr w:type="spellStart"/>
      <w:r w:rsidRPr="00FF7FCE">
        <w:rPr>
          <w:rFonts w:ascii="Calibri" w:eastAsia="Times New Roman" w:hAnsi="Calibri" w:cs="Calibri"/>
        </w:rPr>
        <w:t>Gwasg</w:t>
      </w:r>
      <w:proofErr w:type="spellEnd"/>
      <w:r w:rsidRPr="00FF7FCE">
        <w:rPr>
          <w:rFonts w:ascii="Calibri" w:eastAsia="Times New Roman" w:hAnsi="Calibri" w:cs="Calibri"/>
        </w:rPr>
        <w:t xml:space="preserve"> Gomer,</w:t>
      </w:r>
      <w:r w:rsidRPr="00FF7FCE">
        <w:rPr>
          <w:rFonts w:ascii="Calibri" w:eastAsia="Times New Roman" w:hAnsi="Calibri" w:cs="Calibri"/>
        </w:rPr>
        <w:t xml:space="preserve"> </w:t>
      </w:r>
      <w:r w:rsidRPr="00FF7FCE">
        <w:rPr>
          <w:rFonts w:ascii="Calibri" w:eastAsia="Times New Roman" w:hAnsi="Calibri" w:cs="Calibri"/>
        </w:rPr>
        <w:t>1993)</w:t>
      </w:r>
    </w:p>
    <w:p w14:paraId="51361F4A" w14:textId="5A96E979"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Davies, Sioned (trans.), </w:t>
      </w:r>
      <w:r w:rsidRPr="00FF7FCE">
        <w:rPr>
          <w:rFonts w:ascii="Calibri" w:eastAsia="Times New Roman" w:hAnsi="Calibri" w:cs="Calibri"/>
          <w:i/>
          <w:iCs/>
        </w:rPr>
        <w:t>The Mabinogion</w:t>
      </w:r>
      <w:r w:rsidRPr="00FF7FCE">
        <w:rPr>
          <w:rFonts w:ascii="Calibri" w:eastAsia="Times New Roman" w:hAnsi="Calibri" w:cs="Calibri"/>
        </w:rPr>
        <w:t xml:space="preserve"> (Oxford: Oxford University Press, 2007)</w:t>
      </w:r>
    </w:p>
    <w:p w14:paraId="5F70E941" w14:textId="5B0FA6B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Davies, Sioned, '</w:t>
      </w:r>
      <w:proofErr w:type="spellStart"/>
      <w:r w:rsidRPr="00FF7FCE">
        <w:rPr>
          <w:rFonts w:ascii="Calibri" w:eastAsia="Times New Roman" w:hAnsi="Calibri" w:cs="Calibri"/>
        </w:rPr>
        <w:t>Pedeir</w:t>
      </w:r>
      <w:proofErr w:type="spellEnd"/>
      <w:r w:rsidRPr="00FF7FCE">
        <w:rPr>
          <w:rFonts w:ascii="Calibri" w:eastAsia="Times New Roman" w:hAnsi="Calibri" w:cs="Calibri"/>
        </w:rPr>
        <w:t xml:space="preserve"> </w:t>
      </w:r>
      <w:proofErr w:type="spellStart"/>
      <w:r w:rsidRPr="00FF7FCE">
        <w:rPr>
          <w:rFonts w:ascii="Calibri" w:eastAsia="Times New Roman" w:hAnsi="Calibri" w:cs="Calibri"/>
        </w:rPr>
        <w:t>Keinc</w:t>
      </w:r>
      <w:proofErr w:type="spellEnd"/>
      <w:r w:rsidRPr="00FF7FCE">
        <w:rPr>
          <w:rFonts w:ascii="Calibri" w:eastAsia="Times New Roman" w:hAnsi="Calibri" w:cs="Calibri"/>
        </w:rPr>
        <w:t xml:space="preserve"> y Mabinogi', </w:t>
      </w:r>
      <w:proofErr w:type="spellStart"/>
      <w:r w:rsidRPr="00FF7FCE">
        <w:rPr>
          <w:rFonts w:ascii="Calibri" w:eastAsia="Times New Roman" w:hAnsi="Calibri" w:cs="Calibri"/>
          <w:i/>
          <w:iCs/>
        </w:rPr>
        <w:t>Llên</w:t>
      </w:r>
      <w:proofErr w:type="spellEnd"/>
      <w:r w:rsidRPr="00FF7FCE">
        <w:rPr>
          <w:rFonts w:ascii="Calibri" w:eastAsia="Times New Roman" w:hAnsi="Calibri" w:cs="Calibri"/>
          <w:i/>
          <w:iCs/>
        </w:rPr>
        <w:t xml:space="preserve"> Cymru</w:t>
      </w:r>
      <w:r w:rsidRPr="00FF7FCE">
        <w:rPr>
          <w:rFonts w:ascii="Calibri" w:eastAsia="Times New Roman" w:hAnsi="Calibri" w:cs="Calibri"/>
        </w:rPr>
        <w:t>, 15 (1989)</w:t>
      </w:r>
    </w:p>
    <w:p w14:paraId="09B15D80"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Douglas, Mary, </w:t>
      </w:r>
      <w:r w:rsidRPr="00FF7FCE">
        <w:rPr>
          <w:rFonts w:ascii="Calibri" w:eastAsia="Times New Roman" w:hAnsi="Calibri" w:cs="Calibri"/>
          <w:i/>
          <w:iCs/>
        </w:rPr>
        <w:t>Purity and Danger: An Analysis of Concepts of Pollution and Taboo</w:t>
      </w:r>
      <w:r w:rsidRPr="00FF7FCE">
        <w:rPr>
          <w:rFonts w:ascii="Calibri" w:eastAsia="Times New Roman" w:hAnsi="Calibri" w:cs="Calibri"/>
        </w:rPr>
        <w:t xml:space="preserve"> (London: Routledge, 1966)</w:t>
      </w:r>
    </w:p>
    <w:p w14:paraId="745CA6C7"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Ford, Patrick K., </w:t>
      </w:r>
      <w:r w:rsidRPr="00FF7FCE">
        <w:rPr>
          <w:rFonts w:ascii="Calibri" w:eastAsia="Times New Roman" w:hAnsi="Calibri" w:cs="Calibri"/>
          <w:i/>
          <w:iCs/>
        </w:rPr>
        <w:t>The Mabinogi and Other Medieval Welsh Tales</w:t>
      </w:r>
      <w:r w:rsidRPr="00FF7FCE">
        <w:rPr>
          <w:rFonts w:ascii="Calibri" w:eastAsia="Times New Roman" w:hAnsi="Calibri" w:cs="Calibri"/>
        </w:rPr>
        <w:t xml:space="preserve"> (Berkeley: University of California Press, 1977)</w:t>
      </w:r>
    </w:p>
    <w:p w14:paraId="217711BD"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Homans, Margaret, </w:t>
      </w:r>
      <w:r w:rsidRPr="00FF7FCE">
        <w:rPr>
          <w:rFonts w:ascii="Calibri" w:eastAsia="Times New Roman" w:hAnsi="Calibri" w:cs="Calibri"/>
          <w:i/>
          <w:iCs/>
        </w:rPr>
        <w:t>Bearing the Word: Language and Female Experience in Nineteenth-Century Women's Writing</w:t>
      </w:r>
      <w:r w:rsidRPr="00FF7FCE">
        <w:rPr>
          <w:rFonts w:ascii="Calibri" w:eastAsia="Times New Roman" w:hAnsi="Calibri" w:cs="Calibri"/>
        </w:rPr>
        <w:t xml:space="preserve"> (Chicago: University of Chicago Press, 1986)</w:t>
      </w:r>
    </w:p>
    <w:p w14:paraId="6FF03348"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Jenkins, Dafydd, 'Property, Interests and Power', in </w:t>
      </w:r>
      <w:r w:rsidRPr="00FF7FCE">
        <w:rPr>
          <w:rFonts w:ascii="Calibri" w:eastAsia="Times New Roman" w:hAnsi="Calibri" w:cs="Calibri"/>
          <w:i/>
          <w:iCs/>
        </w:rPr>
        <w:t>The Welsh Law of Women: Studies Presented to Professor Daniel A. Binchy on his Eightieth Birthday, 3 June 1980</w:t>
      </w:r>
      <w:r w:rsidRPr="00FF7FCE">
        <w:rPr>
          <w:rFonts w:ascii="Calibri" w:eastAsia="Times New Roman" w:hAnsi="Calibri" w:cs="Calibri"/>
        </w:rPr>
        <w:t>, ed. by Dafydd Jenkins and Morfydd E. Owen (Cardiff: University of Wales Press, 1980), pp. 161–183</w:t>
      </w:r>
    </w:p>
    <w:p w14:paraId="6CEC5720"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lastRenderedPageBreak/>
        <w:t xml:space="preserve">Jenkins, Dafydd, and Morfydd E. Owen (eds), </w:t>
      </w:r>
      <w:r w:rsidRPr="00FF7FCE">
        <w:rPr>
          <w:rFonts w:ascii="Calibri" w:eastAsia="Times New Roman" w:hAnsi="Calibri" w:cs="Calibri"/>
          <w:i/>
          <w:iCs/>
        </w:rPr>
        <w:t>The Welsh Law of Women: Studies Presented to Professor Daniel A. Binchy on his Eightieth Birthday, 3 June 1980</w:t>
      </w:r>
      <w:r w:rsidRPr="00FF7FCE">
        <w:rPr>
          <w:rFonts w:ascii="Calibri" w:eastAsia="Times New Roman" w:hAnsi="Calibri" w:cs="Calibri"/>
        </w:rPr>
        <w:t xml:space="preserve"> (Cardiff: University of Wales Press, 1980)</w:t>
      </w:r>
    </w:p>
    <w:p w14:paraId="41D75E23"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Kristeva, Julia, </w:t>
      </w:r>
      <w:r w:rsidRPr="00FF7FCE">
        <w:rPr>
          <w:rFonts w:ascii="Calibri" w:eastAsia="Times New Roman" w:hAnsi="Calibri" w:cs="Calibri"/>
          <w:i/>
          <w:iCs/>
        </w:rPr>
        <w:t>Powers of Horror: An Essay on Abjection</w:t>
      </w:r>
      <w:r w:rsidRPr="00FF7FCE">
        <w:rPr>
          <w:rFonts w:ascii="Calibri" w:eastAsia="Times New Roman" w:hAnsi="Calibri" w:cs="Calibri"/>
        </w:rPr>
        <w:t xml:space="preserve">, trans. by Leon S. </w:t>
      </w:r>
      <w:proofErr w:type="spellStart"/>
      <w:r w:rsidRPr="00FF7FCE">
        <w:rPr>
          <w:rFonts w:ascii="Calibri" w:eastAsia="Times New Roman" w:hAnsi="Calibri" w:cs="Calibri"/>
        </w:rPr>
        <w:t>Roudiez</w:t>
      </w:r>
      <w:proofErr w:type="spellEnd"/>
      <w:r w:rsidRPr="00FF7FCE">
        <w:rPr>
          <w:rFonts w:ascii="Calibri" w:eastAsia="Times New Roman" w:hAnsi="Calibri" w:cs="Calibri"/>
        </w:rPr>
        <w:t xml:space="preserve"> (New York: Columbia University Press, 1982)</w:t>
      </w:r>
    </w:p>
    <w:p w14:paraId="7E4333C3"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Nagy, Joseph Falaky, </w:t>
      </w:r>
      <w:r w:rsidRPr="00FF7FCE">
        <w:rPr>
          <w:rFonts w:ascii="Calibri" w:eastAsia="Times New Roman" w:hAnsi="Calibri" w:cs="Calibri"/>
          <w:i/>
          <w:iCs/>
        </w:rPr>
        <w:t>The Wisdom of the Outlaw: The Boyhood Deeds of Finn in Gaelic Narrative Tradition</w:t>
      </w:r>
      <w:r w:rsidRPr="00FF7FCE">
        <w:rPr>
          <w:rFonts w:ascii="Calibri" w:eastAsia="Times New Roman" w:hAnsi="Calibri" w:cs="Calibri"/>
        </w:rPr>
        <w:t xml:space="preserve"> (Berkeley: University of California Press, 1985)</w:t>
      </w:r>
    </w:p>
    <w:p w14:paraId="7325B1E1" w14:textId="3AD0D1D0"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Ní </w:t>
      </w:r>
      <w:proofErr w:type="spellStart"/>
      <w:r w:rsidRPr="00FF7FCE">
        <w:rPr>
          <w:rFonts w:ascii="Calibri" w:eastAsia="Times New Roman" w:hAnsi="Calibri" w:cs="Calibri"/>
        </w:rPr>
        <w:t>Mhaonaigh</w:t>
      </w:r>
      <w:proofErr w:type="spellEnd"/>
      <w:r w:rsidRPr="00FF7FCE">
        <w:rPr>
          <w:rFonts w:ascii="Calibri" w:eastAsia="Times New Roman" w:hAnsi="Calibri" w:cs="Calibri"/>
        </w:rPr>
        <w:t xml:space="preserve">, Máire, 'Tales of Three </w:t>
      </w:r>
      <w:proofErr w:type="spellStart"/>
      <w:r w:rsidRPr="00FF7FCE">
        <w:rPr>
          <w:rFonts w:ascii="Calibri" w:eastAsia="Times New Roman" w:hAnsi="Calibri" w:cs="Calibri"/>
        </w:rPr>
        <w:t>Gormlaiths</w:t>
      </w:r>
      <w:proofErr w:type="spellEnd"/>
      <w:r w:rsidRPr="00FF7FCE">
        <w:rPr>
          <w:rFonts w:ascii="Calibri" w:eastAsia="Times New Roman" w:hAnsi="Calibri" w:cs="Calibri"/>
        </w:rPr>
        <w:t xml:space="preserve"> in Medieval Irish Literature', </w:t>
      </w:r>
      <w:proofErr w:type="spellStart"/>
      <w:r w:rsidRPr="00FF7FCE">
        <w:rPr>
          <w:rFonts w:ascii="Calibri" w:eastAsia="Times New Roman" w:hAnsi="Calibri" w:cs="Calibri"/>
          <w:i/>
          <w:iCs/>
        </w:rPr>
        <w:t>Ériu</w:t>
      </w:r>
      <w:proofErr w:type="spellEnd"/>
      <w:r w:rsidRPr="00FF7FCE">
        <w:rPr>
          <w:rFonts w:ascii="Calibri" w:eastAsia="Times New Roman" w:hAnsi="Calibri" w:cs="Calibri"/>
        </w:rPr>
        <w:t>, 52 (2002), pp. 1–24</w:t>
      </w:r>
    </w:p>
    <w:p w14:paraId="0825F01D" w14:textId="780DE43D"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O'Connor, Ralph, 'Models of Kingship in Medieval Narrative', </w:t>
      </w:r>
      <w:r w:rsidRPr="00FF7FCE">
        <w:rPr>
          <w:rFonts w:ascii="Calibri" w:eastAsia="Times New Roman" w:hAnsi="Calibri" w:cs="Calibri"/>
          <w:i/>
          <w:iCs/>
        </w:rPr>
        <w:t xml:space="preserve">Medium </w:t>
      </w:r>
      <w:proofErr w:type="spellStart"/>
      <w:r w:rsidRPr="00FF7FCE">
        <w:rPr>
          <w:rFonts w:ascii="Calibri" w:eastAsia="Times New Roman" w:hAnsi="Calibri" w:cs="Calibri"/>
          <w:i/>
          <w:iCs/>
        </w:rPr>
        <w:t>Ævum</w:t>
      </w:r>
      <w:proofErr w:type="spellEnd"/>
      <w:r w:rsidRPr="00FF7FCE">
        <w:rPr>
          <w:rFonts w:ascii="Calibri" w:eastAsia="Times New Roman" w:hAnsi="Calibri" w:cs="Calibri"/>
        </w:rPr>
        <w:t xml:space="preserve"> </w:t>
      </w:r>
    </w:p>
    <w:p w14:paraId="32794740"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Ong, Walter J., </w:t>
      </w:r>
      <w:r w:rsidRPr="00FF7FCE">
        <w:rPr>
          <w:rFonts w:ascii="Calibri" w:eastAsia="Times New Roman" w:hAnsi="Calibri" w:cs="Calibri"/>
          <w:i/>
          <w:iCs/>
        </w:rPr>
        <w:t>Orality and Literacy: The Technologizing of the Word</w:t>
      </w:r>
      <w:r w:rsidRPr="00FF7FCE">
        <w:rPr>
          <w:rFonts w:ascii="Calibri" w:eastAsia="Times New Roman" w:hAnsi="Calibri" w:cs="Calibri"/>
        </w:rPr>
        <w:t xml:space="preserve"> (London: Methuen, 1982)</w:t>
      </w:r>
    </w:p>
    <w:p w14:paraId="71AF3D5C"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Roberts, Brynley F., </w:t>
      </w:r>
      <w:r w:rsidRPr="00FF7FCE">
        <w:rPr>
          <w:rFonts w:ascii="Calibri" w:eastAsia="Times New Roman" w:hAnsi="Calibri" w:cs="Calibri"/>
          <w:i/>
          <w:iCs/>
        </w:rPr>
        <w:t>Studies on Middle Welsh Literature</w:t>
      </w:r>
      <w:r w:rsidRPr="00FF7FCE">
        <w:rPr>
          <w:rFonts w:ascii="Calibri" w:eastAsia="Times New Roman" w:hAnsi="Calibri" w:cs="Calibri"/>
        </w:rPr>
        <w:t xml:space="preserve"> (Lampeter: Edwin Mellen Press, 1992)</w:t>
      </w:r>
    </w:p>
    <w:p w14:paraId="6AD1EDD4" w14:textId="43641929"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Roberts, Brynley F., 'The Structure of the Four Branches of the Mabinogi', in </w:t>
      </w:r>
      <w:r w:rsidRPr="00FF7FCE">
        <w:rPr>
          <w:rFonts w:ascii="Calibri" w:eastAsia="Times New Roman" w:hAnsi="Calibri" w:cs="Calibri"/>
          <w:i/>
          <w:iCs/>
        </w:rPr>
        <w:t>The Celtic Heroic Age</w:t>
      </w:r>
      <w:r w:rsidRPr="00FF7FCE">
        <w:rPr>
          <w:rFonts w:ascii="Calibri" w:eastAsia="Times New Roman" w:hAnsi="Calibri" w:cs="Calibri"/>
        </w:rPr>
        <w:t>, ed. by John Carey and others (Aberystwyth: Celtic Studies Publications, 1999)</w:t>
      </w:r>
    </w:p>
    <w:p w14:paraId="129DBE27" w14:textId="77777777" w:rsidR="00FF7FCE" w:rsidRPr="00FF7FCE" w:rsidRDefault="00FF7FCE" w:rsidP="00FF7FCE">
      <w:pPr>
        <w:spacing w:before="100" w:beforeAutospacing="1" w:after="100" w:afterAutospacing="1"/>
        <w:rPr>
          <w:rFonts w:ascii="Calibri" w:eastAsia="Times New Roman" w:hAnsi="Calibri" w:cs="Calibri"/>
        </w:rPr>
      </w:pPr>
      <w:proofErr w:type="spellStart"/>
      <w:r w:rsidRPr="00FF7FCE">
        <w:rPr>
          <w:rFonts w:ascii="Calibri" w:eastAsia="Times New Roman" w:hAnsi="Calibri" w:cs="Calibri"/>
        </w:rPr>
        <w:t>Shimpock</w:t>
      </w:r>
      <w:proofErr w:type="spellEnd"/>
      <w:r w:rsidRPr="00FF7FCE">
        <w:rPr>
          <w:rFonts w:ascii="Calibri" w:eastAsia="Times New Roman" w:hAnsi="Calibri" w:cs="Calibri"/>
        </w:rPr>
        <w:t>, Kathy E., 'The Unlikely Female Characters of the Mabinogi' (unpublished MA dissertation, University of Wales Trinity Saint David, 2017)</w:t>
      </w:r>
    </w:p>
    <w:p w14:paraId="48949371" w14:textId="77777777"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Valente, R. L., '</w:t>
      </w:r>
      <w:proofErr w:type="spellStart"/>
      <w:r w:rsidRPr="00FF7FCE">
        <w:rPr>
          <w:rFonts w:ascii="Calibri" w:eastAsia="Times New Roman" w:hAnsi="Calibri" w:cs="Calibri"/>
        </w:rPr>
        <w:t>Merched</w:t>
      </w:r>
      <w:proofErr w:type="spellEnd"/>
      <w:r w:rsidRPr="00FF7FCE">
        <w:rPr>
          <w:rFonts w:ascii="Calibri" w:eastAsia="Times New Roman" w:hAnsi="Calibri" w:cs="Calibri"/>
        </w:rPr>
        <w:t xml:space="preserve"> y Mabinogi: Women and the Thematic Structure of the Four Branches' (unpublished PhD thesis, Cornell University, 1986)</w:t>
      </w:r>
    </w:p>
    <w:p w14:paraId="06E93583" w14:textId="65F55E7B"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Valente, R. L., 'Gwydion and Aranrhod: Crossing the Borders of Gender in </w:t>
      </w:r>
      <w:r w:rsidRPr="00FF7FCE">
        <w:rPr>
          <w:rFonts w:ascii="Calibri" w:eastAsia="Times New Roman" w:hAnsi="Calibri" w:cs="Calibri"/>
          <w:i/>
          <w:iCs/>
        </w:rPr>
        <w:t>Math</w:t>
      </w:r>
      <w:r w:rsidRPr="00FF7FCE">
        <w:rPr>
          <w:rFonts w:ascii="Calibri" w:eastAsia="Times New Roman" w:hAnsi="Calibri" w:cs="Calibri"/>
        </w:rPr>
        <w:t xml:space="preserve">', </w:t>
      </w:r>
      <w:r w:rsidRPr="00FF7FCE">
        <w:rPr>
          <w:rFonts w:ascii="Calibri" w:eastAsia="Times New Roman" w:hAnsi="Calibri" w:cs="Calibri"/>
          <w:i/>
          <w:iCs/>
        </w:rPr>
        <w:t>Bulletin of the Board of Celtic Studies</w:t>
      </w:r>
      <w:r w:rsidRPr="00FF7FCE">
        <w:rPr>
          <w:rFonts w:ascii="Calibri" w:eastAsia="Times New Roman" w:hAnsi="Calibri" w:cs="Calibri"/>
        </w:rPr>
        <w:t>, 35 (1988)</w:t>
      </w:r>
    </w:p>
    <w:p w14:paraId="3BB6A5CD" w14:textId="1136714C"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Winward, Fiona, 'Some Aspects of the Women in The Four Branches', </w:t>
      </w:r>
      <w:r w:rsidRPr="00FF7FCE">
        <w:rPr>
          <w:rFonts w:ascii="Calibri" w:eastAsia="Times New Roman" w:hAnsi="Calibri" w:cs="Calibri"/>
          <w:i/>
          <w:iCs/>
        </w:rPr>
        <w:t>Cambrian Medieval Celtic Studies</w:t>
      </w:r>
      <w:r w:rsidRPr="00FF7FCE">
        <w:rPr>
          <w:rFonts w:ascii="Calibri" w:eastAsia="Times New Roman" w:hAnsi="Calibri" w:cs="Calibri"/>
        </w:rPr>
        <w:t>, 34 (1997),</w:t>
      </w:r>
    </w:p>
    <w:p w14:paraId="690380B0" w14:textId="0D0FABB9" w:rsidR="00FF7FCE" w:rsidRPr="00FF7FCE" w:rsidRDefault="00FF7FCE" w:rsidP="00FF7FCE">
      <w:pPr>
        <w:spacing w:before="100" w:beforeAutospacing="1" w:after="100" w:afterAutospacing="1"/>
        <w:rPr>
          <w:rFonts w:ascii="Calibri" w:eastAsia="Times New Roman" w:hAnsi="Calibri" w:cs="Calibri"/>
        </w:rPr>
      </w:pPr>
      <w:r w:rsidRPr="00FF7FCE">
        <w:rPr>
          <w:rFonts w:ascii="Calibri" w:eastAsia="Times New Roman" w:hAnsi="Calibri" w:cs="Calibri"/>
        </w:rPr>
        <w:t xml:space="preserve">Wood, Juliette, 'The Calumniated Wife in Medieval Welsh Literature', </w:t>
      </w:r>
      <w:r w:rsidRPr="00FF7FCE">
        <w:rPr>
          <w:rFonts w:ascii="Calibri" w:eastAsia="Times New Roman" w:hAnsi="Calibri" w:cs="Calibri"/>
          <w:i/>
          <w:iCs/>
        </w:rPr>
        <w:t>Cambridge Medieval Celtic Studies</w:t>
      </w:r>
      <w:r w:rsidRPr="00FF7FCE">
        <w:rPr>
          <w:rFonts w:ascii="Calibri" w:eastAsia="Times New Roman" w:hAnsi="Calibri" w:cs="Calibri"/>
        </w:rPr>
        <w:t>, 10 (1985)</w:t>
      </w:r>
    </w:p>
    <w:p w14:paraId="44AA743B" w14:textId="2D3BB193" w:rsidR="00541CBF" w:rsidRPr="00FF7FCE" w:rsidRDefault="00541CBF" w:rsidP="00A46A68">
      <w:pPr>
        <w:rPr>
          <w:rFonts w:ascii="Calibri" w:hAnsi="Calibri" w:cs="Calibri"/>
        </w:rPr>
      </w:pPr>
    </w:p>
    <w:sectPr w:rsidR="00541CBF" w:rsidRPr="00FF7FCE" w:rsidSect="00842C11">
      <w:headerReference w:type="default" r:id="rId8"/>
      <w:footerReference w:type="default" r:id="rId9"/>
      <w:pgSz w:w="11906" w:h="16838"/>
      <w:pgMar w:top="720" w:right="720"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25E9A6" w14:textId="77777777" w:rsidR="00820FAB" w:rsidRDefault="00820FAB">
      <w:r>
        <w:separator/>
      </w:r>
    </w:p>
  </w:endnote>
  <w:endnote w:type="continuationSeparator" w:id="0">
    <w:p w14:paraId="0A459371" w14:textId="77777777" w:rsidR="00820FAB" w:rsidRDefault="00820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DB9E85" w14:textId="3B6991DB" w:rsidR="00541CBF" w:rsidRDefault="00541CBF">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AA536D" w14:textId="77777777" w:rsidR="00820FAB" w:rsidRDefault="00820FAB">
      <w:r>
        <w:separator/>
      </w:r>
    </w:p>
  </w:footnote>
  <w:footnote w:type="continuationSeparator" w:id="0">
    <w:p w14:paraId="187A2F70" w14:textId="77777777" w:rsidR="00820FAB" w:rsidRDefault="00820FAB">
      <w:r>
        <w:continuationSeparator/>
      </w:r>
    </w:p>
  </w:footnote>
  <w:footnote w:id="1">
    <w:p w14:paraId="4CC17897" w14:textId="278037B8"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Sioned Davies (trans.), The Mabinogion (Oxford: Oxford University Press, 2007), Introduction, p. x. </w:t>
      </w:r>
    </w:p>
  </w:footnote>
  <w:footnote w:id="2">
    <w:p w14:paraId="353C1BFD" w14:textId="43AA97DC"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R. L. Valente, '</w:t>
      </w:r>
      <w:proofErr w:type="spellStart"/>
      <w:r w:rsidRPr="00F71886">
        <w:rPr>
          <w:rFonts w:ascii="Calibri" w:hAnsi="Calibri" w:cs="Calibri"/>
          <w:sz w:val="20"/>
          <w:szCs w:val="20"/>
        </w:rPr>
        <w:t>Merched</w:t>
      </w:r>
      <w:proofErr w:type="spellEnd"/>
      <w:r w:rsidRPr="00F71886">
        <w:rPr>
          <w:rFonts w:ascii="Calibri" w:hAnsi="Calibri" w:cs="Calibri"/>
          <w:sz w:val="20"/>
          <w:szCs w:val="20"/>
        </w:rPr>
        <w:t xml:space="preserve"> y Mabinogi: Women and the Thematic Structure of the Four Branches' (PhD thesis, Cornell University, 1986), p. 283, cited in Jane Cartwright, 'Characterisation' handout (</w:t>
      </w:r>
      <w:proofErr w:type="spellStart"/>
      <w:r w:rsidRPr="00F71886">
        <w:rPr>
          <w:rFonts w:ascii="Calibri" w:hAnsi="Calibri" w:cs="Calibri"/>
          <w:sz w:val="20"/>
          <w:szCs w:val="20"/>
        </w:rPr>
        <w:t>Pedeir</w:t>
      </w:r>
      <w:proofErr w:type="spellEnd"/>
      <w:r w:rsidRPr="00F71886">
        <w:rPr>
          <w:rFonts w:ascii="Calibri" w:hAnsi="Calibri" w:cs="Calibri"/>
          <w:sz w:val="20"/>
          <w:szCs w:val="20"/>
        </w:rPr>
        <w:t xml:space="preserve"> </w:t>
      </w:r>
      <w:proofErr w:type="spellStart"/>
      <w:r w:rsidRPr="00F71886">
        <w:rPr>
          <w:rFonts w:ascii="Calibri" w:hAnsi="Calibri" w:cs="Calibri"/>
          <w:sz w:val="20"/>
          <w:szCs w:val="20"/>
        </w:rPr>
        <w:t>Keinc</w:t>
      </w:r>
      <w:proofErr w:type="spellEnd"/>
      <w:r w:rsidRPr="00F71886">
        <w:rPr>
          <w:rFonts w:ascii="Calibri" w:hAnsi="Calibri" w:cs="Calibri"/>
          <w:sz w:val="20"/>
          <w:szCs w:val="20"/>
        </w:rPr>
        <w:t xml:space="preserve"> y Mabinogi),</w:t>
      </w:r>
      <w:r w:rsidR="00A46A68" w:rsidRPr="00F71886">
        <w:rPr>
          <w:rFonts w:ascii="Calibri" w:hAnsi="Calibri" w:cs="Calibri"/>
          <w:sz w:val="20"/>
          <w:szCs w:val="20"/>
        </w:rPr>
        <w:t xml:space="preserve">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3">
    <w:p w14:paraId="5E0A784C" w14:textId="0C9C9617"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Sioned Davies, '</w:t>
      </w:r>
      <w:proofErr w:type="spellStart"/>
      <w:r w:rsidRPr="00F71886">
        <w:rPr>
          <w:rFonts w:ascii="Calibri" w:hAnsi="Calibri" w:cs="Calibri"/>
          <w:sz w:val="20"/>
          <w:szCs w:val="20"/>
        </w:rPr>
        <w:t>Pedeir</w:t>
      </w:r>
      <w:proofErr w:type="spellEnd"/>
      <w:r w:rsidRPr="00F71886">
        <w:rPr>
          <w:rFonts w:ascii="Calibri" w:hAnsi="Calibri" w:cs="Calibri"/>
          <w:sz w:val="20"/>
          <w:szCs w:val="20"/>
        </w:rPr>
        <w:t xml:space="preserve"> </w:t>
      </w:r>
      <w:proofErr w:type="spellStart"/>
      <w:r w:rsidRPr="00F71886">
        <w:rPr>
          <w:rFonts w:ascii="Calibri" w:hAnsi="Calibri" w:cs="Calibri"/>
          <w:sz w:val="20"/>
          <w:szCs w:val="20"/>
        </w:rPr>
        <w:t>Keinc</w:t>
      </w:r>
      <w:proofErr w:type="spellEnd"/>
      <w:r w:rsidRPr="00F71886">
        <w:rPr>
          <w:rFonts w:ascii="Calibri" w:hAnsi="Calibri" w:cs="Calibri"/>
          <w:sz w:val="20"/>
          <w:szCs w:val="20"/>
        </w:rPr>
        <w:t xml:space="preserve"> y Mabinogi' (1989), p. 71, cited in Cartwright, 'Characterisation',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4">
    <w:p w14:paraId="52B5EF13" w14:textId="4BF14B2A"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Walter J. Ong, Orality and Literacy: The Technologizing of the Word (London: Methuen, 1982), p. </w:t>
      </w:r>
      <w:r w:rsidR="005B7789" w:rsidRPr="00F71886">
        <w:rPr>
          <w:rFonts w:ascii="Calibri" w:hAnsi="Calibri" w:cs="Calibri"/>
          <w:sz w:val="20"/>
          <w:szCs w:val="20"/>
        </w:rPr>
        <w:t>68 [</w:t>
      </w:r>
      <w:r w:rsidR="005B7789" w:rsidRPr="00F71886">
        <w:rPr>
          <w:rFonts w:ascii="Calibri" w:hAnsi="Calibri" w:cs="Calibri"/>
          <w:sz w:val="20"/>
          <w:szCs w:val="20"/>
        </w:rPr>
        <w:t>https://monoskop.org/images/d/db/Ong_Walter_J_Orality_and_Literacy_2nd_ed.pdf</w:t>
      </w:r>
      <w:r w:rsidR="005B7789" w:rsidRPr="00F71886">
        <w:rPr>
          <w:rFonts w:ascii="Calibri" w:hAnsi="Calibri" w:cs="Calibri"/>
          <w:sz w:val="20"/>
          <w:szCs w:val="20"/>
        </w:rPr>
        <w:t>]</w:t>
      </w:r>
    </w:p>
  </w:footnote>
  <w:footnote w:id="5">
    <w:p w14:paraId="28A18239" w14:textId="77777777"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Patrick K. Ford, The Mabinogi and Other Medieval Welsh Tales (Berkeley: University of California Press, 1977), Introduction.</w:t>
      </w:r>
    </w:p>
  </w:footnote>
  <w:footnote w:id="6">
    <w:p w14:paraId="570D81C6" w14:textId="3630DD0A"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Juliette Wood, 'The Calumniated Wife in Medieval Welsh Literature', Cambridge Medieval Celtic Studies 10 (1985)</w:t>
      </w:r>
      <w:r w:rsidR="009C0EC8" w:rsidRPr="00F71886">
        <w:rPr>
          <w:rFonts w:ascii="Calibri" w:hAnsi="Calibri" w:cs="Calibri"/>
          <w:sz w:val="20"/>
          <w:szCs w:val="20"/>
        </w:rPr>
        <w:t xml:space="preserve">, </w:t>
      </w:r>
      <w:r w:rsidR="009C0EC8" w:rsidRPr="00F71886">
        <w:rPr>
          <w:rFonts w:ascii="Calibri" w:hAnsi="Calibri" w:cs="Calibri"/>
          <w:sz w:val="20"/>
          <w:szCs w:val="20"/>
        </w:rPr>
        <w:t>pp. 61-78</w:t>
      </w:r>
      <w:r w:rsidR="00F71886">
        <w:rPr>
          <w:rFonts w:ascii="Calibri" w:hAnsi="Calibri" w:cs="Calibri"/>
          <w:sz w:val="20"/>
          <w:szCs w:val="20"/>
        </w:rPr>
        <w:t>.</w:t>
      </w:r>
    </w:p>
  </w:footnote>
  <w:footnote w:id="7">
    <w:p w14:paraId="3C386431" w14:textId="03A042D7"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Davies (trans.), The Mabinogion, p. 4.</w:t>
      </w:r>
    </w:p>
  </w:footnote>
  <w:footnote w:id="8">
    <w:p w14:paraId="5A688EC8" w14:textId="64BB9AF1"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Dafydd Jenkins, 'Property, Interests and Power', in Dafydd Jenkins and Morfydd E. Owen (eds), The Welsh Law of Women: Studies Presented to Professor Daniel A. Binchy on his Eightieth Birthday, 3 June 1980 (Cardiff: University of Wales Press, 1980); </w:t>
      </w:r>
      <w:r w:rsidR="00F71886">
        <w:rPr>
          <w:rFonts w:ascii="Calibri" w:hAnsi="Calibri" w:cs="Calibri"/>
          <w:sz w:val="20"/>
          <w:szCs w:val="20"/>
        </w:rPr>
        <w:t>&lt;</w:t>
      </w:r>
      <w:r w:rsidR="007E3970"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9">
    <w:p w14:paraId="783A6678" w14:textId="6F76267E"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Davies (trans.), The Mabinogion, p. </w:t>
      </w:r>
      <w:r w:rsidR="007E3970" w:rsidRPr="00F71886">
        <w:rPr>
          <w:rFonts w:ascii="Calibri" w:hAnsi="Calibri" w:cs="Calibri"/>
          <w:sz w:val="20"/>
          <w:szCs w:val="20"/>
        </w:rPr>
        <w:t>5</w:t>
      </w:r>
      <w:r w:rsidRPr="00F71886">
        <w:rPr>
          <w:rFonts w:ascii="Calibri" w:hAnsi="Calibri" w:cs="Calibri"/>
          <w:sz w:val="20"/>
          <w:szCs w:val="20"/>
        </w:rPr>
        <w:t>.</w:t>
      </w:r>
    </w:p>
  </w:footnote>
  <w:footnote w:id="10">
    <w:p w14:paraId="3A71C7B1" w14:textId="473E6FBE" w:rsidR="007E3970" w:rsidRPr="00F71886" w:rsidRDefault="00000000" w:rsidP="007E397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Sioned Davies, The Four Branches of the Mabinogi (Llandysul: </w:t>
      </w:r>
      <w:proofErr w:type="spellStart"/>
      <w:r w:rsidRPr="00F71886">
        <w:rPr>
          <w:rFonts w:ascii="Calibri" w:hAnsi="Calibri" w:cs="Calibri"/>
          <w:sz w:val="20"/>
          <w:szCs w:val="20"/>
        </w:rPr>
        <w:t>Gwasg</w:t>
      </w:r>
      <w:proofErr w:type="spellEnd"/>
      <w:r w:rsidRPr="00F71886">
        <w:rPr>
          <w:rFonts w:ascii="Calibri" w:hAnsi="Calibri" w:cs="Calibri"/>
          <w:sz w:val="20"/>
          <w:szCs w:val="20"/>
        </w:rPr>
        <w:t xml:space="preserve"> Gomer, 1993), </w:t>
      </w:r>
      <w:proofErr w:type="spellStart"/>
      <w:r w:rsidRPr="00F71886">
        <w:rPr>
          <w:rFonts w:ascii="Calibri" w:hAnsi="Calibri" w:cs="Calibri"/>
          <w:sz w:val="20"/>
          <w:szCs w:val="20"/>
        </w:rPr>
        <w:t>ch.</w:t>
      </w:r>
      <w:proofErr w:type="spellEnd"/>
      <w:r w:rsidRPr="00F71886">
        <w:rPr>
          <w:rFonts w:ascii="Calibri" w:hAnsi="Calibri" w:cs="Calibri"/>
          <w:sz w:val="20"/>
          <w:szCs w:val="20"/>
        </w:rPr>
        <w:t xml:space="preserve"> 5,</w:t>
      </w:r>
      <w:r w:rsidR="007E3970" w:rsidRPr="00F71886">
        <w:rPr>
          <w:rFonts w:ascii="Calibri" w:hAnsi="Calibri" w:cs="Calibri"/>
          <w:sz w:val="20"/>
          <w:szCs w:val="20"/>
        </w:rPr>
        <w:t xml:space="preserve">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p w14:paraId="737A054C" w14:textId="3A06A1B3" w:rsidR="00541CBF" w:rsidRPr="00F71886" w:rsidRDefault="00541CBF">
      <w:pPr>
        <w:rPr>
          <w:rFonts w:ascii="Calibri" w:hAnsi="Calibri" w:cs="Calibri"/>
        </w:rPr>
      </w:pPr>
    </w:p>
  </w:footnote>
  <w:footnote w:id="11">
    <w:p w14:paraId="2B2A309E" w14:textId="543062AB"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Davies (trans.), The Mabinogion, p. </w:t>
      </w:r>
      <w:r w:rsidR="007E3970" w:rsidRPr="00F71886">
        <w:rPr>
          <w:rFonts w:ascii="Calibri" w:hAnsi="Calibri" w:cs="Calibri"/>
          <w:sz w:val="20"/>
          <w:szCs w:val="20"/>
        </w:rPr>
        <w:t>58</w:t>
      </w:r>
      <w:r w:rsidRPr="00F71886">
        <w:rPr>
          <w:rFonts w:ascii="Calibri" w:hAnsi="Calibri" w:cs="Calibri"/>
          <w:sz w:val="20"/>
          <w:szCs w:val="20"/>
        </w:rPr>
        <w:t>.</w:t>
      </w:r>
    </w:p>
  </w:footnote>
  <w:footnote w:id="12">
    <w:p w14:paraId="18600D99" w14:textId="72E78EAA" w:rsidR="009A3EC2" w:rsidRPr="00F71886" w:rsidRDefault="009A3EC2" w:rsidP="009A3EC2">
      <w:pPr>
        <w:rPr>
          <w:rFonts w:ascii="Calibri" w:hAnsi="Calibri" w:cs="Calibri"/>
        </w:rPr>
      </w:pPr>
      <w:r w:rsidRPr="00F71886">
        <w:rPr>
          <w:rStyle w:val="FootnoteReference"/>
          <w:rFonts w:ascii="Calibri" w:hAnsi="Calibri" w:cs="Calibri"/>
        </w:rPr>
        <w:footnoteRef/>
      </w:r>
      <w:r w:rsidR="007E3970" w:rsidRPr="00F71886">
        <w:rPr>
          <w:rFonts w:ascii="Calibri" w:hAnsi="Calibri" w:cs="Calibri"/>
          <w:sz w:val="20"/>
          <w:szCs w:val="20"/>
        </w:rPr>
        <w:t>Ibid</w:t>
      </w:r>
      <w:r w:rsidRPr="00F71886">
        <w:rPr>
          <w:rFonts w:ascii="Calibri" w:hAnsi="Calibri" w:cs="Calibri"/>
          <w:sz w:val="20"/>
          <w:szCs w:val="20"/>
        </w:rPr>
        <w:t xml:space="preserve">, p. </w:t>
      </w:r>
      <w:r w:rsidR="007E3970" w:rsidRPr="00F71886">
        <w:rPr>
          <w:rFonts w:ascii="Calibri" w:hAnsi="Calibri" w:cs="Calibri"/>
          <w:sz w:val="20"/>
          <w:szCs w:val="20"/>
        </w:rPr>
        <w:t>59</w:t>
      </w:r>
      <w:r w:rsidRPr="00F71886">
        <w:rPr>
          <w:rFonts w:ascii="Calibri" w:hAnsi="Calibri" w:cs="Calibri"/>
          <w:sz w:val="20"/>
          <w:szCs w:val="20"/>
        </w:rPr>
        <w:t>.</w:t>
      </w:r>
    </w:p>
  </w:footnote>
  <w:footnote w:id="13">
    <w:p w14:paraId="3AC14A2E" w14:textId="73EA85BD"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Jenkins and Owen (eds), The Welsh Law of Women, pp. 162–165: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14">
    <w:p w14:paraId="2447A233" w14:textId="207041DA"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Margaret Homans, Bearing the Word: Language and Female Experience in Nineteenth-Century Women's Writing (Chicago: University of Chicago Press, 1986), </w:t>
      </w:r>
      <w:r w:rsidR="00357C5F" w:rsidRPr="00F71886">
        <w:rPr>
          <w:rFonts w:ascii="Calibri" w:hAnsi="Calibri" w:cs="Calibri"/>
          <w:sz w:val="20"/>
          <w:szCs w:val="20"/>
        </w:rPr>
        <w:t>pp. 1 – 72.</w:t>
      </w:r>
      <w:r w:rsidRPr="00F71886">
        <w:rPr>
          <w:rFonts w:ascii="Calibri" w:hAnsi="Calibri" w:cs="Calibri"/>
          <w:sz w:val="20"/>
          <w:szCs w:val="20"/>
        </w:rPr>
        <w:t xml:space="preserve"> </w:t>
      </w:r>
      <w:r w:rsidR="00F71886">
        <w:rPr>
          <w:rFonts w:ascii="Calibri" w:hAnsi="Calibri" w:cs="Calibri"/>
          <w:sz w:val="20"/>
          <w:szCs w:val="20"/>
        </w:rPr>
        <w:t>&lt;</w:t>
      </w:r>
      <w:r w:rsidR="00357C5F" w:rsidRPr="00F71886">
        <w:rPr>
          <w:rFonts w:ascii="Calibri" w:hAnsi="Calibri" w:cs="Calibri"/>
          <w:sz w:val="20"/>
          <w:szCs w:val="20"/>
        </w:rPr>
        <w:t>https://archive.org/details/bearingwordlangu0000homa/page/18/mode/2up</w:t>
      </w:r>
      <w:r w:rsidR="00F71886">
        <w:rPr>
          <w:rFonts w:ascii="Calibri" w:hAnsi="Calibri" w:cs="Calibri"/>
          <w:sz w:val="20"/>
          <w:szCs w:val="20"/>
        </w:rPr>
        <w:t>&gt; [Accessed 4 Apr 2026]</w:t>
      </w:r>
    </w:p>
  </w:footnote>
  <w:footnote w:id="15">
    <w:p w14:paraId="6B26500C" w14:textId="7DE2FC53"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Brynley F. Roberts, Studies on Middle Welsh Literature (Lampeter: Edwin Mellen Press, 1992); </w:t>
      </w:r>
      <w:r w:rsidR="00DA2FC1" w:rsidRPr="00F71886">
        <w:rPr>
          <w:rFonts w:ascii="Calibri" w:hAnsi="Calibri" w:cs="Calibri"/>
          <w:sz w:val="20"/>
          <w:szCs w:val="20"/>
        </w:rPr>
        <w:t xml:space="preserve">pp. 72-73. </w:t>
      </w:r>
      <w:r w:rsidR="00F71886">
        <w:rPr>
          <w:rFonts w:ascii="Calibri" w:hAnsi="Calibri" w:cs="Calibri"/>
          <w:sz w:val="20"/>
          <w:szCs w:val="20"/>
        </w:rPr>
        <w:t>&lt;</w:t>
      </w:r>
      <w:r w:rsidR="00DA2FC1" w:rsidRPr="00F71886">
        <w:rPr>
          <w:rFonts w:ascii="Calibri" w:hAnsi="Calibri" w:cs="Calibri"/>
          <w:sz w:val="20"/>
          <w:szCs w:val="20"/>
        </w:rPr>
        <w:t>https://journal.oraltradition.org/wp-content/uploads/files/articles/3i-ii/4_roberts.pdf</w:t>
      </w:r>
      <w:proofErr w:type="gramStart"/>
      <w:r w:rsidR="00F71886">
        <w:rPr>
          <w:rFonts w:ascii="Calibri" w:hAnsi="Calibri" w:cs="Calibri"/>
          <w:sz w:val="20"/>
          <w:szCs w:val="20"/>
        </w:rPr>
        <w:t>&gt;  [</w:t>
      </w:r>
      <w:proofErr w:type="gramEnd"/>
      <w:r w:rsidR="00F71886">
        <w:rPr>
          <w:rFonts w:ascii="Calibri" w:hAnsi="Calibri" w:cs="Calibri"/>
          <w:sz w:val="20"/>
          <w:szCs w:val="20"/>
        </w:rPr>
        <w:t>Accessed 4 Apr 2026]</w:t>
      </w:r>
    </w:p>
  </w:footnote>
  <w:footnote w:id="16">
    <w:p w14:paraId="37D9CE2D" w14:textId="00C822F8"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Valente, '</w:t>
      </w:r>
      <w:proofErr w:type="spellStart"/>
      <w:r w:rsidRPr="00F71886">
        <w:rPr>
          <w:rFonts w:ascii="Calibri" w:hAnsi="Calibri" w:cs="Calibri"/>
          <w:sz w:val="20"/>
          <w:szCs w:val="20"/>
        </w:rPr>
        <w:t>Merched</w:t>
      </w:r>
      <w:proofErr w:type="spellEnd"/>
      <w:r w:rsidRPr="00F71886">
        <w:rPr>
          <w:rFonts w:ascii="Calibri" w:hAnsi="Calibri" w:cs="Calibri"/>
          <w:sz w:val="20"/>
          <w:szCs w:val="20"/>
        </w:rPr>
        <w:t xml:space="preserve"> y Mabinogi', p. 283, quoted in Cartwright, 'Characterisation'</w:t>
      </w:r>
      <w:r w:rsidR="000749AC" w:rsidRPr="00F71886">
        <w:rPr>
          <w:rFonts w:ascii="Calibri" w:hAnsi="Calibri" w:cs="Calibri"/>
          <w:sz w:val="20"/>
          <w:szCs w:val="20"/>
        </w:rPr>
        <w:t xml:space="preserve">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17">
    <w:p w14:paraId="39C76AE4" w14:textId="2C9E44D3"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Davies (trans.), The Mabinogion, p. </w:t>
      </w:r>
      <w:r w:rsidR="008B3A47" w:rsidRPr="00F71886">
        <w:rPr>
          <w:rFonts w:ascii="Calibri" w:hAnsi="Calibri" w:cs="Calibri"/>
          <w:sz w:val="20"/>
          <w:szCs w:val="20"/>
        </w:rPr>
        <w:t>10</w:t>
      </w:r>
      <w:r w:rsidRPr="00F71886">
        <w:rPr>
          <w:rFonts w:ascii="Calibri" w:hAnsi="Calibri" w:cs="Calibri"/>
          <w:sz w:val="20"/>
          <w:szCs w:val="20"/>
        </w:rPr>
        <w:t>.</w:t>
      </w:r>
    </w:p>
  </w:footnote>
  <w:footnote w:id="18">
    <w:p w14:paraId="325C7ECD" w14:textId="1D1D1DCD"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Davies, The Four Branches of the Mabinogi (1993), </w:t>
      </w:r>
      <w:proofErr w:type="spellStart"/>
      <w:r w:rsidRPr="00F71886">
        <w:rPr>
          <w:rFonts w:ascii="Calibri" w:hAnsi="Calibri" w:cs="Calibri"/>
          <w:sz w:val="20"/>
          <w:szCs w:val="20"/>
        </w:rPr>
        <w:t>ch.</w:t>
      </w:r>
      <w:proofErr w:type="spellEnd"/>
      <w:r w:rsidRPr="00F71886">
        <w:rPr>
          <w:rFonts w:ascii="Calibri" w:hAnsi="Calibri" w:cs="Calibri"/>
          <w:sz w:val="20"/>
          <w:szCs w:val="20"/>
        </w:rPr>
        <w:t xml:space="preserve"> 5,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19">
    <w:p w14:paraId="21794D60" w14:textId="6108E0A0"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Davies (trans.), The Mabinogion, p. 41.</w:t>
      </w:r>
    </w:p>
  </w:footnote>
  <w:footnote w:id="20">
    <w:p w14:paraId="459A199E" w14:textId="4BC83EEA"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Fiona Winward, 'Some Aspects of the Women in The Four Branches', Cambrian Medieval Celtic Studies 34 (1997), pp. 77–106, and Kathy E. </w:t>
      </w:r>
      <w:proofErr w:type="spellStart"/>
      <w:r w:rsidRPr="00F71886">
        <w:rPr>
          <w:rFonts w:ascii="Calibri" w:hAnsi="Calibri" w:cs="Calibri"/>
          <w:sz w:val="20"/>
          <w:szCs w:val="20"/>
        </w:rPr>
        <w:t>Shimpock</w:t>
      </w:r>
      <w:proofErr w:type="spellEnd"/>
      <w:r w:rsidRPr="00F71886">
        <w:rPr>
          <w:rFonts w:ascii="Calibri" w:hAnsi="Calibri" w:cs="Calibri"/>
          <w:sz w:val="20"/>
          <w:szCs w:val="20"/>
        </w:rPr>
        <w:t>, 'The Unlikely Female Characters of the Mabinogi' (MA dissertation, University of Wales Trinity Saint David, 2017)</w:t>
      </w:r>
      <w:r w:rsidR="00F71886" w:rsidRPr="00F71886">
        <w:rPr>
          <w:rFonts w:ascii="Calibri" w:hAnsi="Calibri" w:cs="Calibri"/>
          <w:sz w:val="20"/>
          <w:szCs w:val="20"/>
        </w:rPr>
        <w:t xml:space="preserve">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21">
    <w:p w14:paraId="43D58FA6" w14:textId="5435C7CB"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Máire Ní Mhaonaigh, 'Tales of Three </w:t>
      </w:r>
      <w:proofErr w:type="spellStart"/>
      <w:r w:rsidRPr="00F71886">
        <w:rPr>
          <w:rFonts w:ascii="Calibri" w:hAnsi="Calibri" w:cs="Calibri"/>
          <w:sz w:val="20"/>
          <w:szCs w:val="20"/>
        </w:rPr>
        <w:t>Gormlaiths</w:t>
      </w:r>
      <w:proofErr w:type="spellEnd"/>
      <w:r w:rsidRPr="00F71886">
        <w:rPr>
          <w:rFonts w:ascii="Calibri" w:hAnsi="Calibri" w:cs="Calibri"/>
          <w:sz w:val="20"/>
          <w:szCs w:val="20"/>
        </w:rPr>
        <w:t xml:space="preserve"> in Medieval Irish Literature', </w:t>
      </w:r>
      <w:proofErr w:type="spellStart"/>
      <w:r w:rsidRPr="00F71886">
        <w:rPr>
          <w:rFonts w:ascii="Calibri" w:hAnsi="Calibri" w:cs="Calibri"/>
          <w:sz w:val="20"/>
          <w:szCs w:val="20"/>
        </w:rPr>
        <w:t>Ériu</w:t>
      </w:r>
      <w:proofErr w:type="spellEnd"/>
      <w:r w:rsidRPr="00F71886">
        <w:rPr>
          <w:rFonts w:ascii="Calibri" w:hAnsi="Calibri" w:cs="Calibri"/>
          <w:sz w:val="20"/>
          <w:szCs w:val="20"/>
        </w:rPr>
        <w:t xml:space="preserve"> 52 (2002)</w:t>
      </w:r>
      <w:r w:rsidR="00AA0D5E" w:rsidRPr="00F71886">
        <w:rPr>
          <w:rFonts w:ascii="Calibri" w:hAnsi="Calibri" w:cs="Calibri"/>
          <w:sz w:val="20"/>
          <w:szCs w:val="20"/>
        </w:rPr>
        <w:t>, pp. 1-24</w:t>
      </w:r>
    </w:p>
  </w:footnote>
  <w:footnote w:id="22">
    <w:p w14:paraId="72F4B78E" w14:textId="0929AAFE"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Thomas Charles-Edwards, Early Christian Ireland (Cambridge: Cambridge University Press, 2000</w:t>
      </w:r>
      <w:r w:rsidR="00F71886">
        <w:rPr>
          <w:rFonts w:ascii="Calibri" w:hAnsi="Calibri" w:cs="Calibri"/>
          <w:sz w:val="20"/>
          <w:szCs w:val="20"/>
        </w:rPr>
        <w:t>),</w:t>
      </w:r>
      <w:r w:rsidR="002B51CC" w:rsidRPr="00F71886">
        <w:rPr>
          <w:rFonts w:ascii="Calibri" w:hAnsi="Calibri" w:cs="Calibri"/>
          <w:sz w:val="20"/>
          <w:szCs w:val="20"/>
        </w:rPr>
        <w:t xml:space="preserve"> pp. 84-88</w:t>
      </w:r>
    </w:p>
  </w:footnote>
  <w:footnote w:id="23">
    <w:p w14:paraId="3132C423" w14:textId="77777777"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Joseph Falaky Nagy, The Wisdom of the Outlaw: The Boyhood Deeds of Finn in Gaelic Narrative Tradition (Berkeley: University of California Press, 1985), Introduction.</w:t>
      </w:r>
    </w:p>
  </w:footnote>
  <w:footnote w:id="24">
    <w:p w14:paraId="039B4ECE" w14:textId="110550C7"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Mary Douglas, Purity and Danger: An Analysis of Concepts of Pollution and Taboo (London: Routledge, 1966), p</w:t>
      </w:r>
      <w:r w:rsidR="002B51CC" w:rsidRPr="00F71886">
        <w:rPr>
          <w:rFonts w:ascii="Calibri" w:hAnsi="Calibri" w:cs="Calibri"/>
          <w:sz w:val="20"/>
          <w:szCs w:val="20"/>
        </w:rPr>
        <w:t>p</w:t>
      </w:r>
      <w:r w:rsidRPr="00F71886">
        <w:rPr>
          <w:rFonts w:ascii="Calibri" w:hAnsi="Calibri" w:cs="Calibri"/>
          <w:sz w:val="20"/>
          <w:szCs w:val="20"/>
        </w:rPr>
        <w:t>. 3</w:t>
      </w:r>
      <w:r w:rsidR="002B51CC" w:rsidRPr="00F71886">
        <w:rPr>
          <w:rFonts w:ascii="Calibri" w:hAnsi="Calibri" w:cs="Calibri"/>
          <w:sz w:val="20"/>
          <w:szCs w:val="20"/>
        </w:rPr>
        <w:t>-</w:t>
      </w:r>
      <w:r w:rsidRPr="00F71886">
        <w:rPr>
          <w:rFonts w:ascii="Calibri" w:hAnsi="Calibri" w:cs="Calibri"/>
          <w:sz w:val="20"/>
          <w:szCs w:val="20"/>
        </w:rPr>
        <w:t>6.</w:t>
      </w:r>
    </w:p>
  </w:footnote>
  <w:footnote w:id="25">
    <w:p w14:paraId="782AF160" w14:textId="02BE371F"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Julia Kristeva, Powers of Horror: An Essay on Abjection, trans. Leon S. </w:t>
      </w:r>
      <w:proofErr w:type="spellStart"/>
      <w:r w:rsidRPr="00F71886">
        <w:rPr>
          <w:rFonts w:ascii="Calibri" w:hAnsi="Calibri" w:cs="Calibri"/>
          <w:sz w:val="20"/>
          <w:szCs w:val="20"/>
        </w:rPr>
        <w:t>Roudiez</w:t>
      </w:r>
      <w:proofErr w:type="spellEnd"/>
      <w:r w:rsidRPr="00F71886">
        <w:rPr>
          <w:rFonts w:ascii="Calibri" w:hAnsi="Calibri" w:cs="Calibri"/>
          <w:sz w:val="20"/>
          <w:szCs w:val="20"/>
        </w:rPr>
        <w:t xml:space="preserve"> (New York: Columbia University Press, 1982), p. 4.</w:t>
      </w:r>
      <w:r w:rsidR="00AD1F91" w:rsidRPr="00F71886">
        <w:rPr>
          <w:rFonts w:ascii="Calibri" w:hAnsi="Calibri" w:cs="Calibri"/>
          <w:sz w:val="20"/>
          <w:szCs w:val="20"/>
        </w:rPr>
        <w:t xml:space="preserve"> </w:t>
      </w:r>
      <w:hyperlink r:id="rId1" w:history="1">
        <w:r w:rsidR="00F71886" w:rsidRPr="00392F08">
          <w:rPr>
            <w:rStyle w:val="Hyperlink"/>
            <w:rFonts w:ascii="Calibri" w:hAnsi="Calibri" w:cs="Calibri"/>
            <w:sz w:val="20"/>
            <w:szCs w:val="20"/>
          </w:rPr>
          <w:t>https://www.thing.net/~rdom/ucsd/Zombies/Powers%20of%20Horror.pdf</w:t>
        </w:r>
      </w:hyperlink>
      <w:r w:rsidR="00F71886">
        <w:rPr>
          <w:rFonts w:ascii="Calibri" w:hAnsi="Calibri" w:cs="Calibri"/>
          <w:sz w:val="20"/>
          <w:szCs w:val="20"/>
        </w:rPr>
        <w:t xml:space="preserve"> [Accessed 7 Apr 2026]</w:t>
      </w:r>
    </w:p>
  </w:footnote>
  <w:footnote w:id="26">
    <w:p w14:paraId="227AE717" w14:textId="1F77EDFF"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Catherine E. Byfield, 'Character and Conflict in the Four Branches of the Mabinogi', Bulletin of the Board of Celtic Studies 40 (1993), p. 51, cited in Cartwright, 'Characterisation'.</w:t>
      </w:r>
      <w:r w:rsidR="00AD1F91" w:rsidRPr="00F71886">
        <w:rPr>
          <w:rFonts w:ascii="Calibri" w:hAnsi="Calibri" w:cs="Calibri"/>
          <w:sz w:val="20"/>
          <w:szCs w:val="20"/>
        </w:rPr>
        <w:t xml:space="preserve">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 w:id="27">
    <w:p w14:paraId="60001088" w14:textId="1F990840" w:rsidR="00541CBF" w:rsidRPr="00F71886" w:rsidRDefault="00000000">
      <w:pPr>
        <w:rPr>
          <w:rFonts w:ascii="Calibri" w:hAnsi="Calibri" w:cs="Calibri"/>
        </w:rPr>
      </w:pPr>
      <w:r w:rsidRPr="00F71886">
        <w:rPr>
          <w:rStyle w:val="FootnoteReference"/>
          <w:rFonts w:ascii="Calibri" w:hAnsi="Calibri" w:cs="Calibri"/>
        </w:rPr>
        <w:footnoteRef/>
      </w:r>
      <w:r w:rsidRPr="00F71886">
        <w:rPr>
          <w:rFonts w:ascii="Calibri" w:hAnsi="Calibri" w:cs="Calibri"/>
          <w:sz w:val="20"/>
          <w:szCs w:val="20"/>
        </w:rPr>
        <w:t xml:space="preserve">Andrew Breeze, Medieval Welsh Literature (Dublin: Four Courts Press, 1997), proposing Gwenllian </w:t>
      </w:r>
      <w:proofErr w:type="spellStart"/>
      <w:r w:rsidRPr="00F71886">
        <w:rPr>
          <w:rFonts w:ascii="Calibri" w:hAnsi="Calibri" w:cs="Calibri"/>
          <w:sz w:val="20"/>
          <w:szCs w:val="20"/>
        </w:rPr>
        <w:t>ferch</w:t>
      </w:r>
      <w:proofErr w:type="spellEnd"/>
      <w:r w:rsidRPr="00F71886">
        <w:rPr>
          <w:rFonts w:ascii="Calibri" w:hAnsi="Calibri" w:cs="Calibri"/>
          <w:sz w:val="20"/>
          <w:szCs w:val="20"/>
        </w:rPr>
        <w:t xml:space="preserve"> Gruffudd ap Cynan as possible author of the Four Branches; summarised in Cartwright, 'Characterisation' </w:t>
      </w:r>
      <w:r w:rsidR="00F71886">
        <w:rPr>
          <w:rFonts w:ascii="Calibri" w:hAnsi="Calibri" w:cs="Calibri"/>
          <w:sz w:val="20"/>
          <w:szCs w:val="20"/>
        </w:rPr>
        <w:t>&lt;</w:t>
      </w:r>
      <w:r w:rsidR="00F71886" w:rsidRPr="00F71886">
        <w:rPr>
          <w:rFonts w:ascii="Calibri" w:hAnsi="Calibri" w:cs="Calibri"/>
          <w:sz w:val="20"/>
          <w:szCs w:val="20"/>
        </w:rPr>
        <w:t>https://moodle.uwtsd.ac.uk/course/view.php?id=8531</w:t>
      </w:r>
      <w:r w:rsidR="00F71886">
        <w:rPr>
          <w:rFonts w:ascii="Calibri" w:hAnsi="Calibri" w:cs="Calibri"/>
          <w:sz w:val="20"/>
          <w:szCs w:val="20"/>
        </w:rPr>
        <w:t>&gt; [Accessed 03 April 2026]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5F236" w14:textId="669DA5FB" w:rsidR="00541CBF" w:rsidRDefault="00541CBF">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CB2D6E"/>
    <w:multiLevelType w:val="hybridMultilevel"/>
    <w:tmpl w:val="39E69BBE"/>
    <w:lvl w:ilvl="0" w:tplc="36048AEA">
      <w:start w:val="1"/>
      <w:numFmt w:val="bullet"/>
      <w:lvlText w:val="●"/>
      <w:lvlJc w:val="left"/>
      <w:pPr>
        <w:ind w:left="720" w:hanging="360"/>
      </w:pPr>
    </w:lvl>
    <w:lvl w:ilvl="1" w:tplc="C3C6FEAC">
      <w:start w:val="1"/>
      <w:numFmt w:val="bullet"/>
      <w:lvlText w:val="○"/>
      <w:lvlJc w:val="left"/>
      <w:pPr>
        <w:ind w:left="1440" w:hanging="360"/>
      </w:pPr>
    </w:lvl>
    <w:lvl w:ilvl="2" w:tplc="BEE633B2">
      <w:start w:val="1"/>
      <w:numFmt w:val="bullet"/>
      <w:lvlText w:val="■"/>
      <w:lvlJc w:val="left"/>
      <w:pPr>
        <w:ind w:left="2160" w:hanging="360"/>
      </w:pPr>
    </w:lvl>
    <w:lvl w:ilvl="3" w:tplc="C576D302">
      <w:start w:val="1"/>
      <w:numFmt w:val="bullet"/>
      <w:lvlText w:val="●"/>
      <w:lvlJc w:val="left"/>
      <w:pPr>
        <w:ind w:left="2880" w:hanging="360"/>
      </w:pPr>
    </w:lvl>
    <w:lvl w:ilvl="4" w:tplc="811EB9F6">
      <w:start w:val="1"/>
      <w:numFmt w:val="bullet"/>
      <w:lvlText w:val="○"/>
      <w:lvlJc w:val="left"/>
      <w:pPr>
        <w:ind w:left="3600" w:hanging="360"/>
      </w:pPr>
    </w:lvl>
    <w:lvl w:ilvl="5" w:tplc="BEDA32C2">
      <w:start w:val="1"/>
      <w:numFmt w:val="bullet"/>
      <w:lvlText w:val="■"/>
      <w:lvlJc w:val="left"/>
      <w:pPr>
        <w:ind w:left="4320" w:hanging="360"/>
      </w:pPr>
    </w:lvl>
    <w:lvl w:ilvl="6" w:tplc="C1D6E692">
      <w:start w:val="1"/>
      <w:numFmt w:val="bullet"/>
      <w:lvlText w:val="●"/>
      <w:lvlJc w:val="left"/>
      <w:pPr>
        <w:ind w:left="5040" w:hanging="360"/>
      </w:pPr>
    </w:lvl>
    <w:lvl w:ilvl="7" w:tplc="0C7C3192">
      <w:start w:val="1"/>
      <w:numFmt w:val="bullet"/>
      <w:lvlText w:val="●"/>
      <w:lvlJc w:val="left"/>
      <w:pPr>
        <w:ind w:left="5760" w:hanging="360"/>
      </w:pPr>
    </w:lvl>
    <w:lvl w:ilvl="8" w:tplc="0D5C0200">
      <w:start w:val="1"/>
      <w:numFmt w:val="bullet"/>
      <w:lvlText w:val="●"/>
      <w:lvlJc w:val="left"/>
      <w:pPr>
        <w:ind w:left="6480" w:hanging="360"/>
      </w:pPr>
    </w:lvl>
  </w:abstractNum>
  <w:num w:numId="1" w16cid:durableId="1236861440">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1CBF"/>
    <w:rsid w:val="000749AC"/>
    <w:rsid w:val="000F382E"/>
    <w:rsid w:val="00212275"/>
    <w:rsid w:val="002B51CC"/>
    <w:rsid w:val="00357A64"/>
    <w:rsid w:val="00357C5F"/>
    <w:rsid w:val="004058BA"/>
    <w:rsid w:val="004A319C"/>
    <w:rsid w:val="00541CBF"/>
    <w:rsid w:val="00545029"/>
    <w:rsid w:val="005B7789"/>
    <w:rsid w:val="005E355C"/>
    <w:rsid w:val="007E3970"/>
    <w:rsid w:val="007F2A24"/>
    <w:rsid w:val="00820FAB"/>
    <w:rsid w:val="00842C11"/>
    <w:rsid w:val="008B3A47"/>
    <w:rsid w:val="009A3EC2"/>
    <w:rsid w:val="009C0EC8"/>
    <w:rsid w:val="00A46A68"/>
    <w:rsid w:val="00AA0D5E"/>
    <w:rsid w:val="00AD013C"/>
    <w:rsid w:val="00AD1F91"/>
    <w:rsid w:val="00D562AC"/>
    <w:rsid w:val="00DA2FC1"/>
    <w:rsid w:val="00E1653A"/>
    <w:rsid w:val="00F71886"/>
    <w:rsid w:val="00FE4BBD"/>
    <w:rsid w:val="00FF7F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3B5477"/>
  <w15:docId w15:val="{8CC31F92-DF9F-A143-A3FC-44365A915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Georgia" w:eastAsia="Georgia" w:hAnsi="Georgia" w:cs="Georgia"/>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Subtitle">
    <w:name w:val="Subtitle"/>
    <w:basedOn w:val="Normal"/>
    <w:next w:val="Normal"/>
    <w:link w:val="SubtitleChar"/>
    <w:uiPriority w:val="11"/>
    <w:qFormat/>
    <w:rsid w:val="00842C11"/>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842C11"/>
    <w:rPr>
      <w:rFonts w:asciiTheme="minorHAnsi" w:eastAsiaTheme="minorEastAsia" w:hAnsiTheme="minorHAnsi" w:cstheme="minorBidi"/>
      <w:color w:val="5A5A5A" w:themeColor="text1" w:themeTint="A5"/>
      <w:spacing w:val="15"/>
      <w:sz w:val="22"/>
      <w:szCs w:val="22"/>
    </w:rPr>
  </w:style>
  <w:style w:type="paragraph" w:styleId="Header">
    <w:name w:val="header"/>
    <w:basedOn w:val="Normal"/>
    <w:link w:val="HeaderChar"/>
    <w:uiPriority w:val="99"/>
    <w:unhideWhenUsed/>
    <w:rsid w:val="005E355C"/>
    <w:pPr>
      <w:tabs>
        <w:tab w:val="center" w:pos="4513"/>
        <w:tab w:val="right" w:pos="9026"/>
      </w:tabs>
    </w:pPr>
  </w:style>
  <w:style w:type="character" w:customStyle="1" w:styleId="HeaderChar">
    <w:name w:val="Header Char"/>
    <w:basedOn w:val="DefaultParagraphFont"/>
    <w:link w:val="Header"/>
    <w:uiPriority w:val="99"/>
    <w:rsid w:val="005E355C"/>
  </w:style>
  <w:style w:type="paragraph" w:styleId="Footer">
    <w:name w:val="footer"/>
    <w:basedOn w:val="Normal"/>
    <w:link w:val="FooterChar"/>
    <w:uiPriority w:val="99"/>
    <w:unhideWhenUsed/>
    <w:rsid w:val="005E355C"/>
    <w:pPr>
      <w:tabs>
        <w:tab w:val="center" w:pos="4513"/>
        <w:tab w:val="right" w:pos="9026"/>
      </w:tabs>
    </w:pPr>
  </w:style>
  <w:style w:type="character" w:customStyle="1" w:styleId="FooterChar">
    <w:name w:val="Footer Char"/>
    <w:basedOn w:val="DefaultParagraphFont"/>
    <w:link w:val="Footer"/>
    <w:uiPriority w:val="99"/>
    <w:rsid w:val="005E355C"/>
  </w:style>
  <w:style w:type="character" w:styleId="UnresolvedMention">
    <w:name w:val="Unresolved Mention"/>
    <w:basedOn w:val="DefaultParagraphFont"/>
    <w:uiPriority w:val="99"/>
    <w:semiHidden/>
    <w:unhideWhenUsed/>
    <w:rsid w:val="00A46A68"/>
    <w:rPr>
      <w:color w:val="605E5C"/>
      <w:shd w:val="clear" w:color="auto" w:fill="E1DFDD"/>
    </w:rPr>
  </w:style>
  <w:style w:type="paragraph" w:styleId="NormalWeb">
    <w:name w:val="Normal (Web)"/>
    <w:basedOn w:val="Normal"/>
    <w:uiPriority w:val="99"/>
    <w:semiHidden/>
    <w:unhideWhenUsed/>
    <w:rsid w:val="00FF7FCE"/>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FF7FCE"/>
    <w:rPr>
      <w:b/>
      <w:bCs/>
    </w:rPr>
  </w:style>
  <w:style w:type="character" w:styleId="Emphasis">
    <w:name w:val="Emphasis"/>
    <w:basedOn w:val="DefaultParagraphFont"/>
    <w:uiPriority w:val="20"/>
    <w:qFormat/>
    <w:rsid w:val="00FF7FC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thing.net/~rdom/ucsd/Zombies/Powers%20of%20Horro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D109F0-D780-0E44-815F-AD52B2532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4537</Words>
  <Characters>25726</Characters>
  <Application>Microsoft Office Word</Application>
  <DocSecurity>0</DocSecurity>
  <Lines>352</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Kate Love (2321358)</cp:lastModifiedBy>
  <cp:revision>2</cp:revision>
  <dcterms:created xsi:type="dcterms:W3CDTF">2026-04-10T14:29:00Z</dcterms:created>
  <dcterms:modified xsi:type="dcterms:W3CDTF">2026-04-10T14:29:00Z</dcterms:modified>
</cp:coreProperties>
</file>