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3F58" w:rsidRPr="002C3F58" w:rsidRDefault="002C3F58" w:rsidP="00751898">
      <w:pPr>
        <w:rPr>
          <w:u w:val="single"/>
        </w:rPr>
      </w:pPr>
      <w:r w:rsidRPr="002C3F58">
        <w:rPr>
          <w:u w:val="single"/>
        </w:rPr>
        <w:t>Object analysis</w:t>
      </w:r>
    </w:p>
    <w:p w:rsidR="002C3F58" w:rsidRDefault="002C3F58" w:rsidP="00751898"/>
    <w:p w:rsidR="00D85DCC" w:rsidRDefault="00D85DCC" w:rsidP="00751898">
      <w:r>
        <w:t xml:space="preserve">The object I’ve chosen to analyse is the Middle Kingdom statuette </w:t>
      </w:r>
      <w:proofErr w:type="spellStart"/>
      <w:r>
        <w:t>reinscribed</w:t>
      </w:r>
      <w:proofErr w:type="spellEnd"/>
      <w:r>
        <w:t xml:space="preserve"> for </w:t>
      </w:r>
      <w:proofErr w:type="spellStart"/>
      <w:r>
        <w:t>Harsiese</w:t>
      </w:r>
      <w:proofErr w:type="spellEnd"/>
      <w:r>
        <w:t xml:space="preserve">, Priest of Memphis, it is from the Third Intermediate Period, dated from 1981-1950 BC. The artefact is from the Met, with the accession number 68.101. It is 16 inches tall and 8 inches thick, meaning although moderately big it is no way a piece of large art. The material it is made out of is greywacke, this seems to be quite common for Egyptian statuettes and head casts as there are multiple examples of this material being used, like the seated statue of King </w:t>
      </w:r>
      <w:proofErr w:type="spellStart"/>
      <w:r>
        <w:t>Senworset</w:t>
      </w:r>
      <w:proofErr w:type="spellEnd"/>
      <w:r>
        <w:t xml:space="preserve"> I</w:t>
      </w:r>
      <w:r w:rsidR="00311155">
        <w:t xml:space="preserve"> (</w:t>
      </w:r>
      <w:r w:rsidR="00311155" w:rsidRPr="00311155">
        <w:rPr>
          <w:i/>
        </w:rPr>
        <w:t xml:space="preserve">Seated Statue of King </w:t>
      </w:r>
      <w:proofErr w:type="spellStart"/>
      <w:r w:rsidR="00311155" w:rsidRPr="00311155">
        <w:rPr>
          <w:i/>
        </w:rPr>
        <w:t>Senwosret</w:t>
      </w:r>
      <w:proofErr w:type="spellEnd"/>
      <w:r w:rsidR="00311155" w:rsidRPr="00311155">
        <w:rPr>
          <w:i/>
        </w:rPr>
        <w:t xml:space="preserve"> I</w:t>
      </w:r>
      <w:r w:rsidR="00311155">
        <w:t>. ca. 1961–1917 B.C.</w:t>
      </w:r>
      <w:r w:rsidR="00311155">
        <w:t>).</w:t>
      </w:r>
      <w:r>
        <w:t xml:space="preserve"> </w:t>
      </w:r>
      <w:r w:rsidR="00763395">
        <w:t xml:space="preserve">The statuette itself seems to have the upper half of a man and the lower half is almost turning into a pillar with hieroglyphs on. The bottom itself seems to have been broken off with a large textured bottom that is quite uneven. The subject of the statuette looks like man, with the left arm up and covering the pectoral muscle of the other side, and the right arm down flat and in front on the right thigh. The hair is very neat with a fringe, the ears are quite large and the facial features seem to be well proportioned to the face, there seem to be no abnormalities with the statuette closely following the average human male face. The artefact seems to have quite a light grey, almost green under the museum light colour, with lighter scratches over most of the body. </w:t>
      </w:r>
    </w:p>
    <w:p w:rsidR="00B2574C" w:rsidRDefault="00311155" w:rsidP="00751898">
      <w:r>
        <w:t>The website states that the object may have been found in</w:t>
      </w:r>
      <w:r w:rsidR="00D47C01">
        <w:t xml:space="preserve"> the Levant, possibly at Byblos, workers here were supposedly known for their “ingenuity” during the time of the middle kingdom </w:t>
      </w:r>
      <w:r w:rsidR="00455D36">
        <w:t xml:space="preserve">(Smith, 1969. P. 280). </w:t>
      </w:r>
      <w:r w:rsidR="008F6957">
        <w:t xml:space="preserve"> Byblos itself was a very famous port city known for exporting lumber, especially cedar, therefore, it wouldn’t be too outrageous to think that a lot of their art may have been made by wood carving</w:t>
      </w:r>
      <w:r w:rsidR="002A1081">
        <w:t>. Byblos seems to have changed</w:t>
      </w:r>
      <w:r w:rsidR="008F6957">
        <w:t xml:space="preserve"> around the 12</w:t>
      </w:r>
      <w:r w:rsidR="008F6957" w:rsidRPr="008F6957">
        <w:rPr>
          <w:vertAlign w:val="superscript"/>
        </w:rPr>
        <w:t>th</w:t>
      </w:r>
      <w:r w:rsidR="008F6957">
        <w:t xml:space="preserve"> dynasty,</w:t>
      </w:r>
      <w:r w:rsidR="002A1081">
        <w:t xml:space="preserve"> with the spelling of Byblos changing on coffins (Horn, 1963), this</w:t>
      </w:r>
      <w:r w:rsidR="008F6957">
        <w:t xml:space="preserve"> is whe</w:t>
      </w:r>
      <w:r w:rsidR="002A1081">
        <w:t xml:space="preserve">n the artefact is from roughly. </w:t>
      </w:r>
      <w:r w:rsidR="00F21BB4">
        <w:t>The 12</w:t>
      </w:r>
      <w:r w:rsidR="00F21BB4" w:rsidRPr="00F21BB4">
        <w:rPr>
          <w:vertAlign w:val="superscript"/>
        </w:rPr>
        <w:t>th</w:t>
      </w:r>
      <w:r w:rsidR="00F21BB4">
        <w:t xml:space="preserve"> dynasty is often mentioned, supposedly becoming a dependent of Egypt during this time, with their primary goddess </w:t>
      </w:r>
      <w:proofErr w:type="spellStart"/>
      <w:r w:rsidR="00F21BB4">
        <w:t>Balaat</w:t>
      </w:r>
      <w:proofErr w:type="spellEnd"/>
      <w:r w:rsidR="00F21BB4">
        <w:t xml:space="preserve"> being worshiped in Egypt </w:t>
      </w:r>
      <w:r w:rsidR="00BF66BE">
        <w:t>(</w:t>
      </w:r>
      <w:r w:rsidR="00BF66BE">
        <w:t>Editors of Encyclopaedia Brita</w:t>
      </w:r>
      <w:r w:rsidR="00BF66BE">
        <w:t xml:space="preserve">nnica, </w:t>
      </w:r>
      <w:proofErr w:type="spellStart"/>
      <w:r w:rsidR="00BF66BE">
        <w:t>n.d</w:t>
      </w:r>
      <w:proofErr w:type="spellEnd"/>
      <w:r w:rsidR="00BF66BE">
        <w:t>).</w:t>
      </w:r>
      <w:r w:rsidR="00BF66BE">
        <w:t xml:space="preserve"> Also known as “</w:t>
      </w:r>
      <w:proofErr w:type="spellStart"/>
      <w:r w:rsidR="00BF66BE">
        <w:t>Ba’lat-Gubl</w:t>
      </w:r>
      <w:proofErr w:type="spellEnd"/>
      <w:r w:rsidR="00BF66BE">
        <w:t>- the holy lady of Byblos” (</w:t>
      </w:r>
      <w:proofErr w:type="spellStart"/>
      <w:r w:rsidR="00BF66BE">
        <w:t>Doak</w:t>
      </w:r>
      <w:proofErr w:type="spellEnd"/>
      <w:r w:rsidR="00BF66BE">
        <w:t>, 2019. p. 395)</w:t>
      </w:r>
      <w:r w:rsidR="000E64D6">
        <w:t xml:space="preserve"> she was extremely prominent. The name closely relates to Baal the Egyptian god of thunder, showing the melding together o</w:t>
      </w:r>
      <w:r w:rsidR="00877479">
        <w:t xml:space="preserve">f religion </w:t>
      </w:r>
      <w:r w:rsidR="000E64D6">
        <w:t xml:space="preserve">between Ancient Egypt and Byblos. </w:t>
      </w:r>
      <w:r w:rsidR="00B2574C">
        <w:t>One of the main architectural builds of the Middle Ki</w:t>
      </w:r>
      <w:r w:rsidR="00877479">
        <w:t xml:space="preserve">ngdom was the Temple of Obelisks, this further shows the cultural relation between Egypt and Byblos as both used obelisks for major architectural undertakings. </w:t>
      </w:r>
    </w:p>
    <w:p w:rsidR="00FE31BA" w:rsidRDefault="00FB72E0" w:rsidP="00751898">
      <w:pPr>
        <w:rPr>
          <w:rFonts w:cstheme="minorHAnsi"/>
        </w:rPr>
      </w:pPr>
      <w:r>
        <w:t xml:space="preserve">There have been other types of these inscribed statuettes from the middle kingdom similar to the one I’m analysing here, with “hieroglyphic inscriptions” </w:t>
      </w:r>
      <w:r w:rsidR="00364846">
        <w:t xml:space="preserve">(Bull, 1936), both with human bodies and hieroglyphs. This shows that it is not something completely unique, with similarities to other works from the time. </w:t>
      </w:r>
      <w:r w:rsidR="009B7B1B">
        <w:t xml:space="preserve">When going by the look of the object it is very similar to a </w:t>
      </w:r>
      <w:proofErr w:type="spellStart"/>
      <w:r w:rsidR="009B7B1B">
        <w:t>shabti</w:t>
      </w:r>
      <w:proofErr w:type="spellEnd"/>
      <w:r w:rsidR="009B7B1B">
        <w:t xml:space="preserve"> doll, but a lot larger, there are large versions of these though. For </w:t>
      </w:r>
      <w:r w:rsidR="00971AED">
        <w:t>example,</w:t>
      </w:r>
      <w:r w:rsidR="009B7B1B">
        <w:t xml:space="preserve"> the </w:t>
      </w:r>
      <w:proofErr w:type="spellStart"/>
      <w:r w:rsidR="009B7B1B">
        <w:t>Ushabti</w:t>
      </w:r>
      <w:proofErr w:type="spellEnd"/>
      <w:r w:rsidR="009B7B1B">
        <w:t xml:space="preserve"> of Ken-</w:t>
      </w:r>
      <w:proofErr w:type="spellStart"/>
      <w:r w:rsidR="009B7B1B">
        <w:t>Amun</w:t>
      </w:r>
      <w:proofErr w:type="spellEnd"/>
      <w:r w:rsidR="009B7B1B">
        <w:t xml:space="preserve"> is 16 inches tall, w</w:t>
      </w:r>
      <w:r w:rsidR="00971AED">
        <w:t>hich is around the same height, but it is made of wood and is from the beginning of the New Kingdom (</w:t>
      </w:r>
      <w:proofErr w:type="spellStart"/>
      <w:r w:rsidR="00971AED">
        <w:rPr>
          <w:rFonts w:cstheme="minorHAnsi"/>
          <w:i/>
        </w:rPr>
        <w:t>Ushabti</w:t>
      </w:r>
      <w:proofErr w:type="spellEnd"/>
      <w:r w:rsidR="00971AED">
        <w:rPr>
          <w:rFonts w:cstheme="minorHAnsi"/>
          <w:i/>
        </w:rPr>
        <w:t xml:space="preserve"> of Ken-</w:t>
      </w:r>
      <w:proofErr w:type="spellStart"/>
      <w:r w:rsidR="00971AED">
        <w:rPr>
          <w:rFonts w:cstheme="minorHAnsi"/>
          <w:i/>
        </w:rPr>
        <w:t>A</w:t>
      </w:r>
      <w:r w:rsidR="00971AED">
        <w:rPr>
          <w:rFonts w:cstheme="minorHAnsi"/>
          <w:i/>
        </w:rPr>
        <w:t>mun</w:t>
      </w:r>
      <w:proofErr w:type="spellEnd"/>
      <w:r w:rsidR="00971AED">
        <w:rPr>
          <w:rFonts w:cstheme="minorHAnsi"/>
          <w:i/>
        </w:rPr>
        <w:t xml:space="preserve">, </w:t>
      </w:r>
      <w:r w:rsidR="00971AED">
        <w:rPr>
          <w:rFonts w:cstheme="minorHAnsi"/>
        </w:rPr>
        <w:t>ca. 1390 BC)</w:t>
      </w:r>
      <w:r w:rsidR="00971AED">
        <w:rPr>
          <w:rFonts w:cstheme="minorHAnsi"/>
        </w:rPr>
        <w:t xml:space="preserve">. </w:t>
      </w:r>
      <w:r w:rsidR="00CA460F">
        <w:rPr>
          <w:rFonts w:cstheme="minorHAnsi"/>
        </w:rPr>
        <w:t>Another example which look</w:t>
      </w:r>
      <w:r w:rsidR="00425A0E">
        <w:rPr>
          <w:rFonts w:cstheme="minorHAnsi"/>
        </w:rPr>
        <w:t>s</w:t>
      </w:r>
      <w:r w:rsidR="00CA460F">
        <w:rPr>
          <w:rFonts w:cstheme="minorHAnsi"/>
        </w:rPr>
        <w:t xml:space="preserve"> similar and is from the middle kingdom</w:t>
      </w:r>
      <w:r w:rsidR="00425A0E">
        <w:rPr>
          <w:rFonts w:cstheme="minorHAnsi"/>
        </w:rPr>
        <w:t>, dynasty 12-18</w:t>
      </w:r>
      <w:r w:rsidR="00CA460F">
        <w:rPr>
          <w:rFonts w:cstheme="minorHAnsi"/>
        </w:rPr>
        <w:t xml:space="preserve"> is the </w:t>
      </w:r>
      <w:proofErr w:type="spellStart"/>
      <w:r w:rsidR="00CA460F">
        <w:rPr>
          <w:rFonts w:cstheme="minorHAnsi"/>
        </w:rPr>
        <w:t>shabti</w:t>
      </w:r>
      <w:proofErr w:type="spellEnd"/>
      <w:r w:rsidR="00CA460F">
        <w:rPr>
          <w:rFonts w:cstheme="minorHAnsi"/>
        </w:rPr>
        <w:t xml:space="preserve"> of </w:t>
      </w:r>
      <w:proofErr w:type="spellStart"/>
      <w:r w:rsidR="00CA460F">
        <w:rPr>
          <w:rFonts w:cstheme="minorHAnsi"/>
        </w:rPr>
        <w:t>Ankhu</w:t>
      </w:r>
      <w:proofErr w:type="spellEnd"/>
      <w:r w:rsidR="00CA460F">
        <w:rPr>
          <w:rFonts w:cstheme="minorHAnsi"/>
        </w:rPr>
        <w:t xml:space="preserve">, </w:t>
      </w:r>
      <w:r w:rsidR="00425A0E">
        <w:rPr>
          <w:rFonts w:cstheme="minorHAnsi"/>
        </w:rPr>
        <w:t xml:space="preserve">this is also 16 inches, but is from </w:t>
      </w:r>
      <w:proofErr w:type="spellStart"/>
      <w:r w:rsidR="00425A0E">
        <w:rPr>
          <w:rFonts w:cstheme="minorHAnsi"/>
        </w:rPr>
        <w:t>Lisht</w:t>
      </w:r>
      <w:proofErr w:type="spellEnd"/>
      <w:r w:rsidR="00425A0E">
        <w:rPr>
          <w:rFonts w:cstheme="minorHAnsi"/>
        </w:rPr>
        <w:t xml:space="preserve">. The similarity with the inscription and upright humanistic body would suggest to me that the artefact I am looking at could be some form of </w:t>
      </w:r>
      <w:proofErr w:type="spellStart"/>
      <w:r w:rsidR="00425A0E">
        <w:rPr>
          <w:rFonts w:cstheme="minorHAnsi"/>
        </w:rPr>
        <w:t>shabti</w:t>
      </w:r>
      <w:proofErr w:type="spellEnd"/>
      <w:r w:rsidR="00425A0E">
        <w:rPr>
          <w:rFonts w:cstheme="minorHAnsi"/>
        </w:rPr>
        <w:t xml:space="preserve">. </w:t>
      </w:r>
      <w:proofErr w:type="spellStart"/>
      <w:r w:rsidR="003E6ADA">
        <w:rPr>
          <w:rFonts w:cstheme="minorHAnsi"/>
        </w:rPr>
        <w:t>Shabti’s</w:t>
      </w:r>
      <w:proofErr w:type="spellEnd"/>
      <w:r w:rsidR="003E6ADA">
        <w:rPr>
          <w:rFonts w:cstheme="minorHAnsi"/>
        </w:rPr>
        <w:t xml:space="preserve"> were meant to represent the deceased or be substitute for them, it was also focussed a lot on food as if there was a need to cultivate food the </w:t>
      </w:r>
      <w:proofErr w:type="spellStart"/>
      <w:r w:rsidR="003E6ADA">
        <w:rPr>
          <w:rFonts w:cstheme="minorHAnsi"/>
        </w:rPr>
        <w:t>shabti</w:t>
      </w:r>
      <w:proofErr w:type="spellEnd"/>
      <w:r w:rsidR="003E6ADA">
        <w:rPr>
          <w:rFonts w:cstheme="minorHAnsi"/>
        </w:rPr>
        <w:t xml:space="preserve"> would supposedly appear and offer to do the work (</w:t>
      </w:r>
      <w:proofErr w:type="spellStart"/>
      <w:r w:rsidR="003E6ADA">
        <w:rPr>
          <w:rFonts w:cstheme="minorHAnsi"/>
        </w:rPr>
        <w:t>Milde</w:t>
      </w:r>
      <w:proofErr w:type="spellEnd"/>
      <w:r w:rsidR="003E6ADA">
        <w:rPr>
          <w:rFonts w:cstheme="minorHAnsi"/>
        </w:rPr>
        <w:t xml:space="preserve">, 2012). </w:t>
      </w:r>
      <w:r w:rsidR="00425A0E">
        <w:rPr>
          <w:rFonts w:cstheme="minorHAnsi"/>
        </w:rPr>
        <w:t xml:space="preserve">This would mean that the artefact is ceremonial. As the Egyptians had such a strong belief in </w:t>
      </w:r>
      <w:r w:rsidR="003E6ADA">
        <w:rPr>
          <w:rFonts w:cstheme="minorHAnsi"/>
        </w:rPr>
        <w:t xml:space="preserve">life during </w:t>
      </w:r>
      <w:r w:rsidR="00425A0E">
        <w:rPr>
          <w:rFonts w:cstheme="minorHAnsi"/>
        </w:rPr>
        <w:t>death,</w:t>
      </w:r>
      <w:r w:rsidR="003E6ADA">
        <w:rPr>
          <w:rFonts w:cstheme="minorHAnsi"/>
        </w:rPr>
        <w:t xml:space="preserve"> as we have seen by the making of dolls to become a workforce during death,</w:t>
      </w:r>
      <w:r w:rsidR="00425A0E">
        <w:rPr>
          <w:rFonts w:cstheme="minorHAnsi"/>
        </w:rPr>
        <w:t xml:space="preserve"> </w:t>
      </w:r>
      <w:r w:rsidR="003E6ADA">
        <w:rPr>
          <w:rFonts w:cstheme="minorHAnsi"/>
        </w:rPr>
        <w:t xml:space="preserve">this shows that </w:t>
      </w:r>
      <w:r w:rsidR="00425A0E">
        <w:rPr>
          <w:rFonts w:cstheme="minorHAnsi"/>
        </w:rPr>
        <w:t xml:space="preserve">ceremonies around death involved a lot of goods and art for the deceased. </w:t>
      </w:r>
      <w:r w:rsidR="006F7B82">
        <w:rPr>
          <w:rFonts w:cstheme="minorHAnsi"/>
        </w:rPr>
        <w:t xml:space="preserve">The dolls were purchased from “temple workshops and the more dolls one could afford corresponded to one’s personal wealth” </w:t>
      </w:r>
      <w:r w:rsidR="00FE31BA">
        <w:rPr>
          <w:rFonts w:cstheme="minorHAnsi"/>
        </w:rPr>
        <w:t xml:space="preserve">(Mark, 2012). This shows that the item is quite common and could be bought from local temples, as they </w:t>
      </w:r>
      <w:r w:rsidR="00FE31BA">
        <w:rPr>
          <w:rFonts w:cstheme="minorHAnsi"/>
        </w:rPr>
        <w:lastRenderedPageBreak/>
        <w:t xml:space="preserve">are ascribed to individuals who bought them it is unlikely that they were traded, the objects were too personal. Moreover, there are inscriptions on </w:t>
      </w:r>
      <w:proofErr w:type="spellStart"/>
      <w:r w:rsidR="00FE31BA">
        <w:rPr>
          <w:rFonts w:cstheme="minorHAnsi"/>
        </w:rPr>
        <w:t>shabti</w:t>
      </w:r>
      <w:proofErr w:type="spellEnd"/>
      <w:r w:rsidR="00FE31BA">
        <w:rPr>
          <w:rFonts w:cstheme="minorHAnsi"/>
        </w:rPr>
        <w:t xml:space="preserve"> that can be personal to each person of an area. As these </w:t>
      </w:r>
      <w:proofErr w:type="spellStart"/>
      <w:r w:rsidR="00FE31BA">
        <w:rPr>
          <w:rFonts w:cstheme="minorHAnsi"/>
        </w:rPr>
        <w:t>shabtis</w:t>
      </w:r>
      <w:proofErr w:type="spellEnd"/>
      <w:r w:rsidR="00FE31BA">
        <w:rPr>
          <w:rFonts w:cstheme="minorHAnsi"/>
        </w:rPr>
        <w:t xml:space="preserve"> were for funerary rites this would mean that they were stored in the tomb with the person, possibly explain the preservation of so many, with a wide variety to find in many museums. </w:t>
      </w:r>
    </w:p>
    <w:p w:rsidR="0027533C" w:rsidRDefault="007D0BB3" w:rsidP="00751898">
      <w:pPr>
        <w:rPr>
          <w:rFonts w:cstheme="minorHAnsi"/>
        </w:rPr>
      </w:pPr>
      <w:r>
        <w:rPr>
          <w:rFonts w:cstheme="minorHAnsi"/>
        </w:rPr>
        <w:t xml:space="preserve">Compared to other artefacts from ancient Egypt, these </w:t>
      </w:r>
      <w:proofErr w:type="spellStart"/>
      <w:r>
        <w:rPr>
          <w:rFonts w:cstheme="minorHAnsi"/>
        </w:rPr>
        <w:t>shabti</w:t>
      </w:r>
      <w:proofErr w:type="spellEnd"/>
      <w:r>
        <w:rPr>
          <w:rFonts w:cstheme="minorHAnsi"/>
        </w:rPr>
        <w:t xml:space="preserve"> dolls look a lot different to pre dynastic humanistic figures. For example, the dancing</w:t>
      </w:r>
      <w:r w:rsidR="0027533C">
        <w:rPr>
          <w:rFonts w:cstheme="minorHAnsi"/>
        </w:rPr>
        <w:t xml:space="preserve"> Egyptian figurines, which were animalistic, a lot like the gods depicted in later ages like the Middle Kingdom. The dancing Egyptian figurines were believed not to represent gods as they material used was cheap (</w:t>
      </w:r>
      <w:proofErr w:type="spellStart"/>
      <w:r w:rsidR="0027533C">
        <w:rPr>
          <w:rFonts w:cstheme="minorHAnsi"/>
        </w:rPr>
        <w:t>Relke</w:t>
      </w:r>
      <w:proofErr w:type="spellEnd"/>
      <w:r w:rsidR="0027533C">
        <w:rPr>
          <w:rFonts w:cstheme="minorHAnsi"/>
        </w:rPr>
        <w:t xml:space="preserve">, 2011), a lot like the </w:t>
      </w:r>
      <w:proofErr w:type="spellStart"/>
      <w:r w:rsidR="0027533C">
        <w:rPr>
          <w:rFonts w:cstheme="minorHAnsi"/>
        </w:rPr>
        <w:t>reinscribed</w:t>
      </w:r>
      <w:proofErr w:type="spellEnd"/>
      <w:r w:rsidR="0027533C">
        <w:rPr>
          <w:rFonts w:cstheme="minorHAnsi"/>
        </w:rPr>
        <w:t xml:space="preserve"> statuette for </w:t>
      </w:r>
      <w:proofErr w:type="spellStart"/>
      <w:r w:rsidR="0027533C">
        <w:rPr>
          <w:rFonts w:cstheme="minorHAnsi"/>
        </w:rPr>
        <w:t>Harsiese</w:t>
      </w:r>
      <w:proofErr w:type="spellEnd"/>
      <w:r w:rsidR="0027533C">
        <w:rPr>
          <w:rFonts w:cstheme="minorHAnsi"/>
        </w:rPr>
        <w:t xml:space="preserve">. This would point to the fact that the material used represents the people themselves, not anything else. </w:t>
      </w:r>
    </w:p>
    <w:p w:rsidR="0027533C" w:rsidRDefault="0027533C" w:rsidP="00751898">
      <w:pPr>
        <w:rPr>
          <w:rFonts w:cstheme="minorHAnsi"/>
        </w:rPr>
      </w:pPr>
      <w:r>
        <w:rPr>
          <w:rFonts w:cstheme="minorHAnsi"/>
        </w:rPr>
        <w:t xml:space="preserve">Although the museum did not specify the doll as a </w:t>
      </w:r>
      <w:proofErr w:type="spellStart"/>
      <w:r>
        <w:rPr>
          <w:rFonts w:cstheme="minorHAnsi"/>
        </w:rPr>
        <w:t>shabti</w:t>
      </w:r>
      <w:proofErr w:type="spellEnd"/>
      <w:r>
        <w:rPr>
          <w:rFonts w:cstheme="minorHAnsi"/>
        </w:rPr>
        <w:t xml:space="preserve">, the similar artefacts from the same time to me make the artefact seem like one, or if it was decorative both can be seen as a ceremonial objective. The object seemed to be of quite a lot of importance due to the size, when compared to the common very small ones. However as there are quite a few examples of these, they may have been for quite wealthy, middle class Egyptians. </w:t>
      </w:r>
    </w:p>
    <w:p w:rsidR="0027533C" w:rsidRDefault="0027533C" w:rsidP="0027533C">
      <w:pPr>
        <w:rPr>
          <w:noProof/>
          <w:u w:val="single"/>
          <w:lang w:eastAsia="en-GB"/>
        </w:rPr>
      </w:pPr>
      <w:r w:rsidRPr="002C3F58">
        <w:rPr>
          <w:noProof/>
          <w:u w:val="single"/>
          <w:lang w:eastAsia="en-GB"/>
        </w:rPr>
        <w:t>Bibliography</w:t>
      </w:r>
    </w:p>
    <w:p w:rsidR="0027533C" w:rsidRDefault="0027533C" w:rsidP="0027533C">
      <w:pPr>
        <w:pStyle w:val="ListParagraph"/>
        <w:numPr>
          <w:ilvl w:val="0"/>
          <w:numId w:val="1"/>
        </w:numPr>
      </w:pPr>
      <w:r w:rsidRPr="00763395">
        <w:rPr>
          <w:i/>
        </w:rPr>
        <w:t xml:space="preserve">Middle Kingdom statuette, </w:t>
      </w:r>
      <w:proofErr w:type="spellStart"/>
      <w:r w:rsidRPr="00763395">
        <w:rPr>
          <w:i/>
        </w:rPr>
        <w:t>reinscribed</w:t>
      </w:r>
      <w:proofErr w:type="spellEnd"/>
      <w:r w:rsidRPr="00763395">
        <w:rPr>
          <w:i/>
        </w:rPr>
        <w:t xml:space="preserve"> for </w:t>
      </w:r>
      <w:proofErr w:type="spellStart"/>
      <w:r w:rsidRPr="00763395">
        <w:rPr>
          <w:i/>
        </w:rPr>
        <w:t>Harsiese</w:t>
      </w:r>
      <w:proofErr w:type="spellEnd"/>
      <w:r w:rsidRPr="00763395">
        <w:rPr>
          <w:i/>
        </w:rPr>
        <w:t xml:space="preserve"> High Priest of Memphis in the Third Intermediate Period.</w:t>
      </w:r>
      <w:r>
        <w:rPr>
          <w:i/>
        </w:rPr>
        <w:t xml:space="preserve"> </w:t>
      </w:r>
      <w:r>
        <w:t>(</w:t>
      </w:r>
      <w:r w:rsidRPr="002C3F58">
        <w:t>ca. 1981–1550 B.C</w:t>
      </w:r>
      <w:r>
        <w:t>)</w:t>
      </w:r>
      <w:r w:rsidRPr="002C3F58">
        <w:t>.</w:t>
      </w:r>
      <w:r>
        <w:t xml:space="preserve"> [Greywacke]. Metropolitan Museum of Art, Gallery 106. 69.101.</w:t>
      </w:r>
      <w:r w:rsidRPr="002C3F58">
        <w:t xml:space="preserve"> </w:t>
      </w:r>
      <w:r>
        <w:t xml:space="preserve">Accessed: 01/04/2020. </w:t>
      </w:r>
      <w:hyperlink r:id="rId5" w:history="1">
        <w:r>
          <w:rPr>
            <w:rStyle w:val="Hyperlink"/>
          </w:rPr>
          <w:t>https://www.metmuseum.org/art/collection/search/552927</w:t>
        </w:r>
      </w:hyperlink>
      <w:r>
        <w:t xml:space="preserve"> </w:t>
      </w:r>
    </w:p>
    <w:p w:rsidR="0027533C" w:rsidRDefault="0027533C" w:rsidP="0027533C">
      <w:pPr>
        <w:pStyle w:val="ListParagraph"/>
        <w:numPr>
          <w:ilvl w:val="0"/>
          <w:numId w:val="1"/>
        </w:numPr>
      </w:pPr>
      <w:r w:rsidRPr="00311155">
        <w:rPr>
          <w:i/>
        </w:rPr>
        <w:t xml:space="preserve">Seated Statue of King </w:t>
      </w:r>
      <w:proofErr w:type="spellStart"/>
      <w:r w:rsidRPr="00311155">
        <w:rPr>
          <w:i/>
        </w:rPr>
        <w:t>Senwosret</w:t>
      </w:r>
      <w:proofErr w:type="spellEnd"/>
      <w:r w:rsidRPr="00311155">
        <w:rPr>
          <w:i/>
        </w:rPr>
        <w:t xml:space="preserve"> I</w:t>
      </w:r>
      <w:r>
        <w:t xml:space="preserve">. ca. 1961–1917 B.C. [Greywacke]. Metropolitan Museum of Art, Gallery 110. 25.6. </w:t>
      </w:r>
    </w:p>
    <w:p w:rsidR="0027533C" w:rsidRPr="008F6957" w:rsidRDefault="0027533C" w:rsidP="0027533C">
      <w:pPr>
        <w:pStyle w:val="ListParagraph"/>
        <w:numPr>
          <w:ilvl w:val="0"/>
          <w:numId w:val="1"/>
        </w:numPr>
        <w:rPr>
          <w:i/>
        </w:rPr>
      </w:pPr>
      <w:r>
        <w:t xml:space="preserve">Smith, W. (1969). </w:t>
      </w:r>
      <w:r w:rsidRPr="00455D36">
        <w:rPr>
          <w:i/>
        </w:rPr>
        <w:t>Influence of the Middle Kingdom of Egypt in Western Asia, especially in Byblos</w:t>
      </w:r>
      <w:r>
        <w:rPr>
          <w:i/>
        </w:rPr>
        <w:t xml:space="preserve">. </w:t>
      </w:r>
      <w:r>
        <w:t xml:space="preserve">Boston: Archaeological Institution of America. </w:t>
      </w:r>
    </w:p>
    <w:p w:rsidR="0027533C" w:rsidRPr="002F253B" w:rsidRDefault="0027533C" w:rsidP="0027533C">
      <w:pPr>
        <w:pStyle w:val="ListParagraph"/>
        <w:numPr>
          <w:ilvl w:val="0"/>
          <w:numId w:val="1"/>
        </w:numPr>
        <w:rPr>
          <w:i/>
        </w:rPr>
      </w:pPr>
      <w:r>
        <w:t xml:space="preserve">Horn, S. (1963). </w:t>
      </w:r>
      <w:r>
        <w:rPr>
          <w:i/>
        </w:rPr>
        <w:t xml:space="preserve">Byblos in Ancient Record. </w:t>
      </w:r>
      <w:r>
        <w:t xml:space="preserve">Michigan: Andrews University. Accessed 01/04/2020. </w:t>
      </w:r>
      <w:hyperlink r:id="rId6" w:history="1">
        <w:r>
          <w:rPr>
            <w:rStyle w:val="Hyperlink"/>
          </w:rPr>
          <w:t>https://www.andrews.edu/library/car/cardigital/Periodicals/AUSS/1963-1/1963-1-06.pdf</w:t>
        </w:r>
      </w:hyperlink>
    </w:p>
    <w:p w:rsidR="0027533C" w:rsidRPr="008E7563" w:rsidRDefault="0027533C" w:rsidP="0027533C">
      <w:pPr>
        <w:pStyle w:val="ListParagraph"/>
        <w:numPr>
          <w:ilvl w:val="0"/>
          <w:numId w:val="1"/>
        </w:numPr>
        <w:rPr>
          <w:i/>
        </w:rPr>
      </w:pPr>
      <w:r>
        <w:t>Editors of Encyclopaedia Britannica. (</w:t>
      </w:r>
      <w:proofErr w:type="spellStart"/>
      <w:r>
        <w:t>n.d</w:t>
      </w:r>
      <w:proofErr w:type="spellEnd"/>
      <w:r>
        <w:t xml:space="preserve">). </w:t>
      </w:r>
      <w:r>
        <w:rPr>
          <w:i/>
        </w:rPr>
        <w:t xml:space="preserve">Byblos. </w:t>
      </w:r>
      <w:r>
        <w:t xml:space="preserve">Encyclopaedia Britannica. Accessed 01/04/2020. </w:t>
      </w:r>
      <w:hyperlink r:id="rId7" w:history="1">
        <w:r>
          <w:rPr>
            <w:rStyle w:val="Hyperlink"/>
          </w:rPr>
          <w:t>https://www.britannica.com/place/Byblos</w:t>
        </w:r>
      </w:hyperlink>
      <w:r>
        <w:t xml:space="preserve"> </w:t>
      </w:r>
    </w:p>
    <w:p w:rsidR="0027533C" w:rsidRPr="0078329B" w:rsidRDefault="0027533C" w:rsidP="0027533C">
      <w:pPr>
        <w:pStyle w:val="ListParagraph"/>
        <w:numPr>
          <w:ilvl w:val="0"/>
          <w:numId w:val="1"/>
        </w:numPr>
        <w:rPr>
          <w:rFonts w:cstheme="minorHAnsi"/>
          <w:i/>
        </w:rPr>
      </w:pPr>
      <w:proofErr w:type="spellStart"/>
      <w:r>
        <w:rPr>
          <w:rFonts w:cstheme="minorHAnsi"/>
        </w:rPr>
        <w:t>Doak</w:t>
      </w:r>
      <w:proofErr w:type="spellEnd"/>
      <w:r>
        <w:rPr>
          <w:rFonts w:cstheme="minorHAnsi"/>
        </w:rPr>
        <w:t xml:space="preserve">, B. (2019). </w:t>
      </w:r>
      <w:r w:rsidRPr="008E7563">
        <w:rPr>
          <w:rFonts w:cstheme="minorHAnsi"/>
          <w:i/>
        </w:rPr>
        <w:t>T</w:t>
      </w:r>
      <w:r w:rsidRPr="008E7563">
        <w:rPr>
          <w:rFonts w:eastAsia="Times New Roman" w:cstheme="minorHAnsi"/>
          <w:bCs/>
          <w:i/>
          <w:color w:val="333333"/>
          <w:kern w:val="36"/>
          <w:lang w:eastAsia="en-GB"/>
        </w:rPr>
        <w:t>he Oxford Handbook of the Phoenician and Punic Mediterranean.</w:t>
      </w:r>
      <w:r>
        <w:rPr>
          <w:rFonts w:eastAsia="Times New Roman" w:cstheme="minorHAnsi"/>
          <w:bCs/>
          <w:i/>
          <w:color w:val="333333"/>
          <w:kern w:val="36"/>
          <w:lang w:eastAsia="en-GB"/>
        </w:rPr>
        <w:t xml:space="preserve"> </w:t>
      </w:r>
      <w:r>
        <w:rPr>
          <w:rFonts w:eastAsia="Times New Roman" w:cstheme="minorHAnsi"/>
          <w:bCs/>
          <w:color w:val="333333"/>
          <w:kern w:val="36"/>
          <w:lang w:eastAsia="en-GB"/>
        </w:rPr>
        <w:t xml:space="preserve">Oxford: Oxford University Press. </w:t>
      </w:r>
    </w:p>
    <w:p w:rsidR="0027533C" w:rsidRPr="00B867E1" w:rsidRDefault="0027533C" w:rsidP="0027533C">
      <w:pPr>
        <w:pStyle w:val="ListParagraph"/>
        <w:numPr>
          <w:ilvl w:val="0"/>
          <w:numId w:val="1"/>
        </w:numPr>
        <w:rPr>
          <w:rFonts w:cstheme="minorHAnsi"/>
          <w:i/>
        </w:rPr>
      </w:pPr>
      <w:r>
        <w:rPr>
          <w:rFonts w:cstheme="minorHAnsi"/>
        </w:rPr>
        <w:t xml:space="preserve">Bull, L. (1936). </w:t>
      </w:r>
      <w:r w:rsidRPr="0078329B">
        <w:rPr>
          <w:rFonts w:cstheme="minorHAnsi"/>
          <w:i/>
        </w:rPr>
        <w:t>Four Egyptian Inscribed Statuettes of the Middle Kingdom</w:t>
      </w:r>
      <w:r>
        <w:rPr>
          <w:rFonts w:cstheme="minorHAnsi"/>
          <w:i/>
        </w:rPr>
        <w:t xml:space="preserve">. </w:t>
      </w:r>
      <w:r>
        <w:rPr>
          <w:rFonts w:cstheme="minorHAnsi"/>
        </w:rPr>
        <w:t xml:space="preserve">Connecticut: Journal of the American Oriental Society. </w:t>
      </w:r>
    </w:p>
    <w:p w:rsidR="0027533C" w:rsidRPr="00EB4D4E" w:rsidRDefault="0027533C" w:rsidP="0027533C">
      <w:pPr>
        <w:pStyle w:val="ListParagraph"/>
        <w:numPr>
          <w:ilvl w:val="0"/>
          <w:numId w:val="1"/>
        </w:numPr>
        <w:rPr>
          <w:rFonts w:cstheme="minorHAnsi"/>
          <w:i/>
        </w:rPr>
      </w:pPr>
      <w:proofErr w:type="spellStart"/>
      <w:r>
        <w:rPr>
          <w:rFonts w:cstheme="minorHAnsi"/>
          <w:i/>
        </w:rPr>
        <w:t>Ushabti</w:t>
      </w:r>
      <w:proofErr w:type="spellEnd"/>
      <w:r>
        <w:rPr>
          <w:rFonts w:cstheme="minorHAnsi"/>
          <w:i/>
        </w:rPr>
        <w:t xml:space="preserve"> of Ken-</w:t>
      </w:r>
      <w:proofErr w:type="spellStart"/>
      <w:r>
        <w:rPr>
          <w:rFonts w:cstheme="minorHAnsi"/>
          <w:i/>
        </w:rPr>
        <w:t>Amun</w:t>
      </w:r>
      <w:proofErr w:type="spellEnd"/>
      <w:r>
        <w:rPr>
          <w:rFonts w:cstheme="minorHAnsi"/>
          <w:i/>
        </w:rPr>
        <w:t xml:space="preserve">. </w:t>
      </w:r>
      <w:r>
        <w:rPr>
          <w:rFonts w:cstheme="minorHAnsi"/>
        </w:rPr>
        <w:t xml:space="preserve">(ca. 1390 BC). [wood]. The Walters Art Museum. 29. 194. Accessed 01/04/2020. </w:t>
      </w:r>
      <w:hyperlink r:id="rId8" w:history="1">
        <w:r>
          <w:rPr>
            <w:rStyle w:val="Hyperlink"/>
          </w:rPr>
          <w:t>https://art.thewalters.org/detail/13845/ushabti-of-ken-amun/</w:t>
        </w:r>
      </w:hyperlink>
      <w:r>
        <w:t xml:space="preserve"> </w:t>
      </w:r>
    </w:p>
    <w:p w:rsidR="0027533C" w:rsidRPr="002143C1" w:rsidRDefault="0027533C" w:rsidP="0027533C">
      <w:pPr>
        <w:pStyle w:val="ListParagraph"/>
        <w:numPr>
          <w:ilvl w:val="0"/>
          <w:numId w:val="1"/>
        </w:numPr>
        <w:rPr>
          <w:rFonts w:cstheme="minorHAnsi"/>
          <w:i/>
        </w:rPr>
      </w:pPr>
      <w:proofErr w:type="spellStart"/>
      <w:r>
        <w:rPr>
          <w:rFonts w:cstheme="minorHAnsi"/>
          <w:i/>
        </w:rPr>
        <w:t>Shabti</w:t>
      </w:r>
      <w:proofErr w:type="spellEnd"/>
      <w:r>
        <w:rPr>
          <w:rFonts w:cstheme="minorHAnsi"/>
          <w:i/>
        </w:rPr>
        <w:t xml:space="preserve"> of </w:t>
      </w:r>
      <w:proofErr w:type="spellStart"/>
      <w:r>
        <w:rPr>
          <w:rFonts w:cstheme="minorHAnsi"/>
          <w:i/>
        </w:rPr>
        <w:t>Ankhu</w:t>
      </w:r>
      <w:proofErr w:type="spellEnd"/>
      <w:r>
        <w:rPr>
          <w:rFonts w:cstheme="minorHAnsi"/>
          <w:i/>
        </w:rPr>
        <w:t xml:space="preserve">. </w:t>
      </w:r>
      <w:r>
        <w:rPr>
          <w:rFonts w:cstheme="minorHAnsi"/>
        </w:rPr>
        <w:t xml:space="preserve">(Ca. 1900-1802 B.C.). [Granodiorite]. </w:t>
      </w:r>
      <w:r>
        <w:t xml:space="preserve">Metropolitan Museum of Art, Gallery 109. 08.200.17. Accessed 01/04/2020. </w:t>
      </w:r>
      <w:hyperlink r:id="rId9" w:history="1">
        <w:r>
          <w:rPr>
            <w:rStyle w:val="Hyperlink"/>
          </w:rPr>
          <w:t>https://www.metmuseum.org/art/collection/search/544341</w:t>
        </w:r>
      </w:hyperlink>
    </w:p>
    <w:p w:rsidR="0027533C" w:rsidRDefault="0027533C" w:rsidP="0027533C">
      <w:pPr>
        <w:pStyle w:val="ListParagraph"/>
        <w:numPr>
          <w:ilvl w:val="0"/>
          <w:numId w:val="1"/>
        </w:numPr>
        <w:rPr>
          <w:rFonts w:cstheme="minorHAnsi"/>
        </w:rPr>
      </w:pPr>
      <w:proofErr w:type="spellStart"/>
      <w:r w:rsidRPr="002143C1">
        <w:rPr>
          <w:rFonts w:cstheme="minorHAnsi"/>
        </w:rPr>
        <w:t>Milde</w:t>
      </w:r>
      <w:proofErr w:type="spellEnd"/>
      <w:r w:rsidRPr="002143C1">
        <w:rPr>
          <w:rFonts w:cstheme="minorHAnsi"/>
        </w:rPr>
        <w:t xml:space="preserve">, H. (2012). </w:t>
      </w:r>
      <w:proofErr w:type="spellStart"/>
      <w:r w:rsidRPr="002143C1">
        <w:rPr>
          <w:rFonts w:cstheme="minorHAnsi"/>
          <w:i/>
        </w:rPr>
        <w:t>Shabtis</w:t>
      </w:r>
      <w:proofErr w:type="spellEnd"/>
      <w:r w:rsidRPr="002143C1">
        <w:rPr>
          <w:rFonts w:cstheme="minorHAnsi"/>
        </w:rPr>
        <w:t xml:space="preserve">. </w:t>
      </w:r>
      <w:r>
        <w:rPr>
          <w:rFonts w:cstheme="minorHAnsi"/>
        </w:rPr>
        <w:t xml:space="preserve">California: </w:t>
      </w:r>
      <w:r w:rsidRPr="002143C1">
        <w:rPr>
          <w:rFonts w:cstheme="minorHAnsi"/>
        </w:rPr>
        <w:t xml:space="preserve">UCLA Encyclopedia of Egyptology, 1(1). Accessed 01/04/2020. </w:t>
      </w:r>
      <w:hyperlink r:id="rId10" w:history="1">
        <w:r w:rsidRPr="002143C1">
          <w:rPr>
            <w:rStyle w:val="Hyperlink"/>
            <w:rFonts w:cstheme="minorHAnsi"/>
          </w:rPr>
          <w:t>https://escholarship.org/uc/item/6cx744kk</w:t>
        </w:r>
      </w:hyperlink>
      <w:r w:rsidRPr="002143C1">
        <w:rPr>
          <w:rFonts w:cstheme="minorHAnsi"/>
        </w:rPr>
        <w:t xml:space="preserve"> </w:t>
      </w:r>
    </w:p>
    <w:p w:rsidR="0027533C" w:rsidRDefault="0027533C" w:rsidP="0027533C">
      <w:pPr>
        <w:pStyle w:val="ListParagraph"/>
        <w:numPr>
          <w:ilvl w:val="0"/>
          <w:numId w:val="1"/>
        </w:numPr>
        <w:rPr>
          <w:rFonts w:cstheme="minorHAnsi"/>
        </w:rPr>
      </w:pPr>
      <w:r>
        <w:rPr>
          <w:rFonts w:cstheme="minorHAnsi"/>
        </w:rPr>
        <w:t xml:space="preserve">Mark, J. (2012). </w:t>
      </w:r>
      <w:proofErr w:type="spellStart"/>
      <w:r>
        <w:rPr>
          <w:rFonts w:cstheme="minorHAnsi"/>
          <w:i/>
        </w:rPr>
        <w:t>Shabti</w:t>
      </w:r>
      <w:proofErr w:type="spellEnd"/>
      <w:r>
        <w:rPr>
          <w:rFonts w:cstheme="minorHAnsi"/>
          <w:i/>
        </w:rPr>
        <w:t xml:space="preserve"> Dolls: The Workforce in the Afterlife. </w:t>
      </w:r>
      <w:r>
        <w:rPr>
          <w:rFonts w:cstheme="minorHAnsi"/>
        </w:rPr>
        <w:t xml:space="preserve">Ancient History Encyclopedia. Accessed 01/04/2020. </w:t>
      </w:r>
      <w:hyperlink r:id="rId11" w:history="1">
        <w:r>
          <w:rPr>
            <w:rStyle w:val="Hyperlink"/>
          </w:rPr>
          <w:t>https://www.ancient.eu/article/119/shabti-dolls-the-workforce-in-the-afterlife/</w:t>
        </w:r>
      </w:hyperlink>
      <w:r>
        <w:t xml:space="preserve"> </w:t>
      </w:r>
      <w:r>
        <w:rPr>
          <w:rFonts w:cstheme="minorHAnsi"/>
        </w:rPr>
        <w:t xml:space="preserve"> </w:t>
      </w:r>
    </w:p>
    <w:p w:rsidR="0027533C" w:rsidRPr="006426FA" w:rsidRDefault="0027533C" w:rsidP="0027533C">
      <w:pPr>
        <w:pStyle w:val="ListParagraph"/>
        <w:numPr>
          <w:ilvl w:val="0"/>
          <w:numId w:val="1"/>
        </w:numPr>
        <w:rPr>
          <w:rFonts w:cstheme="minorHAnsi"/>
          <w:i/>
        </w:rPr>
      </w:pPr>
      <w:proofErr w:type="spellStart"/>
      <w:r>
        <w:rPr>
          <w:rFonts w:cstheme="minorHAnsi"/>
        </w:rPr>
        <w:lastRenderedPageBreak/>
        <w:t>Relk</w:t>
      </w:r>
      <w:proofErr w:type="spellEnd"/>
      <w:r>
        <w:rPr>
          <w:rFonts w:cstheme="minorHAnsi"/>
        </w:rPr>
        <w:t xml:space="preserve">, J. (2011). </w:t>
      </w:r>
      <w:r w:rsidRPr="00940BDA">
        <w:rPr>
          <w:rFonts w:cstheme="minorHAnsi"/>
          <w:i/>
        </w:rPr>
        <w:t xml:space="preserve">The </w:t>
      </w:r>
      <w:proofErr w:type="spellStart"/>
      <w:r w:rsidRPr="00940BDA">
        <w:rPr>
          <w:rFonts w:cstheme="minorHAnsi"/>
          <w:i/>
        </w:rPr>
        <w:t>Predynastic</w:t>
      </w:r>
      <w:proofErr w:type="spellEnd"/>
      <w:r w:rsidRPr="00940BDA">
        <w:rPr>
          <w:rFonts w:cstheme="minorHAnsi"/>
          <w:i/>
        </w:rPr>
        <w:t xml:space="preserve"> Dancing Egyptian Figurine</w:t>
      </w:r>
      <w:r>
        <w:rPr>
          <w:rFonts w:cstheme="minorHAnsi"/>
          <w:i/>
        </w:rPr>
        <w:t xml:space="preserve">. </w:t>
      </w:r>
      <w:r w:rsidRPr="006426FA">
        <w:rPr>
          <w:rFonts w:cstheme="minorHAnsi"/>
        </w:rPr>
        <w:t>Journal of Religion in Africa, Vol. 41, Fasc. 4 (2011), pp. 396-426</w:t>
      </w:r>
      <w:r>
        <w:rPr>
          <w:rFonts w:cstheme="minorHAnsi"/>
        </w:rPr>
        <w:t xml:space="preserve">. </w:t>
      </w:r>
      <w:r w:rsidRPr="006426FA">
        <w:rPr>
          <w:rFonts w:cstheme="minorHAnsi"/>
        </w:rPr>
        <w:t xml:space="preserve">Netherlands: Brill. </w:t>
      </w:r>
    </w:p>
    <w:p w:rsidR="00FE31BA" w:rsidRPr="00FE31BA" w:rsidRDefault="007D0BB3" w:rsidP="00751898">
      <w:pPr>
        <w:rPr>
          <w:rFonts w:cstheme="minorHAnsi"/>
        </w:rPr>
      </w:pPr>
      <w:bookmarkStart w:id="0" w:name="_GoBack"/>
      <w:bookmarkEnd w:id="0"/>
      <w:r>
        <w:rPr>
          <w:rFonts w:cstheme="minorHAnsi"/>
        </w:rPr>
        <w:t xml:space="preserve"> </w:t>
      </w:r>
    </w:p>
    <w:p w:rsidR="00877479" w:rsidRDefault="00877479" w:rsidP="00751898"/>
    <w:p w:rsidR="00763395" w:rsidRPr="00D85DCC" w:rsidRDefault="00763395" w:rsidP="00751898"/>
    <w:p w:rsidR="002C3F58" w:rsidRDefault="00D85DCC">
      <w:r>
        <w:t xml:space="preserve"> </w:t>
      </w:r>
    </w:p>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2C3F58" w:rsidRDefault="002C3F58"/>
    <w:p w:rsidR="008F6957" w:rsidRPr="00F21BB4" w:rsidRDefault="008F6957" w:rsidP="00F21BB4">
      <w:pPr>
        <w:pStyle w:val="ListParagraph"/>
      </w:pPr>
    </w:p>
    <w:sectPr w:rsidR="008F6957" w:rsidRPr="00F21B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920BAD"/>
    <w:multiLevelType w:val="hybridMultilevel"/>
    <w:tmpl w:val="504A8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1898"/>
    <w:rsid w:val="00033A5C"/>
    <w:rsid w:val="000E64D6"/>
    <w:rsid w:val="0027533C"/>
    <w:rsid w:val="002A1081"/>
    <w:rsid w:val="002C3F58"/>
    <w:rsid w:val="00311155"/>
    <w:rsid w:val="00364846"/>
    <w:rsid w:val="003E6ADA"/>
    <w:rsid w:val="00425A0E"/>
    <w:rsid w:val="00432EAB"/>
    <w:rsid w:val="00455D36"/>
    <w:rsid w:val="006F7B82"/>
    <w:rsid w:val="00751898"/>
    <w:rsid w:val="00763395"/>
    <w:rsid w:val="007D0BB3"/>
    <w:rsid w:val="00877479"/>
    <w:rsid w:val="008F6957"/>
    <w:rsid w:val="00971AED"/>
    <w:rsid w:val="009B3664"/>
    <w:rsid w:val="009B7B1B"/>
    <w:rsid w:val="00B2574C"/>
    <w:rsid w:val="00BB44A5"/>
    <w:rsid w:val="00BF66BE"/>
    <w:rsid w:val="00CA460F"/>
    <w:rsid w:val="00D47C01"/>
    <w:rsid w:val="00D85DCC"/>
    <w:rsid w:val="00F21BB4"/>
    <w:rsid w:val="00FB72E0"/>
    <w:rsid w:val="00FE3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57C96"/>
  <w15:chartTrackingRefBased/>
  <w15:docId w15:val="{4CD27126-2AC9-4F0C-A95E-6E7CDB0F3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18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63395"/>
    <w:rPr>
      <w:color w:val="0000FF"/>
      <w:u w:val="single"/>
    </w:rPr>
  </w:style>
  <w:style w:type="paragraph" w:styleId="ListParagraph">
    <w:name w:val="List Paragraph"/>
    <w:basedOn w:val="Normal"/>
    <w:uiPriority w:val="34"/>
    <w:qFormat/>
    <w:rsid w:val="007633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9611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t.thewalters.org/detail/13845/ushabti-of-ken-amu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annica.com/place/Byblo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ndrews.edu/library/car/cardigital/Periodicals/AUSS/1963-1/1963-1-06.pdf" TargetMode="External"/><Relationship Id="rId11" Type="http://schemas.openxmlformats.org/officeDocument/2006/relationships/hyperlink" Target="https://www.ancient.eu/article/119/shabti-dolls-the-workforce-in-the-afterlife/" TargetMode="External"/><Relationship Id="rId5" Type="http://schemas.openxmlformats.org/officeDocument/2006/relationships/hyperlink" Target="https://www.metmuseum.org/art/collection/search/552927" TargetMode="External"/><Relationship Id="rId10" Type="http://schemas.openxmlformats.org/officeDocument/2006/relationships/hyperlink" Target="https://escholarship.org/uc/item/6cx744kk" TargetMode="External"/><Relationship Id="rId4" Type="http://schemas.openxmlformats.org/officeDocument/2006/relationships/webSettings" Target="webSettings.xml"/><Relationship Id="rId9" Type="http://schemas.openxmlformats.org/officeDocument/2006/relationships/hyperlink" Target="https://www.metmuseum.org/art/collection/search/5443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353</TotalTime>
  <Pages>3</Pages>
  <Words>1218</Words>
  <Characters>6945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10</cp:revision>
  <dcterms:created xsi:type="dcterms:W3CDTF">2020-04-01T15:46:00Z</dcterms:created>
  <dcterms:modified xsi:type="dcterms:W3CDTF">2020-04-01T22:35:00Z</dcterms:modified>
</cp:coreProperties>
</file>