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D45942D" w14:textId="5451B4FF" w:rsidR="00232D6E" w:rsidRDefault="00232D6E" w:rsidP="006524E7">
      <w:pPr>
        <w:pStyle w:val="Title"/>
        <w:rPr>
          <w:lang w:val="en-GB"/>
        </w:rPr>
      </w:pPr>
      <w:bookmarkStart w:id="0" w:name="_5n0v9v7umx2b" w:colFirst="0" w:colLast="0"/>
      <w:bookmarkStart w:id="1" w:name="_wrbp9qludxa0" w:colFirst="0" w:colLast="0"/>
      <w:bookmarkStart w:id="2" w:name="_Hlk216147737"/>
      <w:bookmarkEnd w:id="0"/>
      <w:bookmarkEnd w:id="1"/>
      <w:bookmarkEnd w:id="2"/>
      <w:r w:rsidRPr="00EB412B">
        <w:rPr>
          <w:noProof/>
          <w:lang w:val="en-GB"/>
        </w:rPr>
        <w:drawing>
          <wp:inline distT="0" distB="0" distL="0" distR="0" wp14:anchorId="72884654" wp14:editId="70FEFCB3">
            <wp:extent cx="2787487" cy="1033200"/>
            <wp:effectExtent l="0" t="0" r="0" b="0"/>
            <wp:docPr id="1776022836" name="Picture 1776022836"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22836" name="Picture 1776022836" descr="A close up of a logo&#10;&#10;AI-generated content may be incorrect."/>
                    <pic:cNvPicPr/>
                  </pic:nvPicPr>
                  <pic:blipFill>
                    <a:blip r:embed="rId7"/>
                    <a:stretch>
                      <a:fillRect/>
                    </a:stretch>
                  </pic:blipFill>
                  <pic:spPr>
                    <a:xfrm>
                      <a:off x="0" y="0"/>
                      <a:ext cx="2787487" cy="1033200"/>
                    </a:xfrm>
                    <a:prstGeom prst="rect">
                      <a:avLst/>
                    </a:prstGeom>
                  </pic:spPr>
                </pic:pic>
              </a:graphicData>
            </a:graphic>
          </wp:inline>
        </w:drawing>
      </w:r>
    </w:p>
    <w:p w14:paraId="333C763A" w14:textId="77777777" w:rsidR="00A173FD" w:rsidRDefault="00A173FD" w:rsidP="00A173FD">
      <w:pPr>
        <w:rPr>
          <w:lang w:val="en-GB"/>
        </w:rPr>
      </w:pPr>
    </w:p>
    <w:p w14:paraId="0A0A5BDB" w14:textId="77777777" w:rsidR="00A173FD" w:rsidRPr="00A173FD" w:rsidRDefault="00A173FD" w:rsidP="00A173FD">
      <w:pPr>
        <w:rPr>
          <w:lang w:val="en-GB"/>
        </w:rPr>
      </w:pPr>
    </w:p>
    <w:p w14:paraId="74983647" w14:textId="6C569AB6" w:rsidR="00232D6E" w:rsidRPr="00A91409" w:rsidRDefault="00B306C7" w:rsidP="00A173FD">
      <w:pPr>
        <w:pStyle w:val="Title"/>
        <w:rPr>
          <w:sz w:val="36"/>
          <w:szCs w:val="36"/>
          <w:lang w:val="en-GB"/>
        </w:rPr>
      </w:pPr>
      <w:r w:rsidRPr="00B306C7">
        <w:t>PROGRAMME:</w:t>
      </w:r>
      <w:r w:rsidRPr="00B306C7">
        <w:t xml:space="preserve"> </w:t>
      </w:r>
      <w:r w:rsidR="00232D6E" w:rsidRPr="00EB412B">
        <w:rPr>
          <w:lang w:val="en-GB"/>
        </w:rPr>
        <w:t>MASTER OF BUSINESS ADMINISTRAT</w:t>
      </w:r>
      <w:r w:rsidR="00232D6E" w:rsidRPr="00A91409">
        <w:rPr>
          <w:sz w:val="36"/>
          <w:szCs w:val="36"/>
          <w:lang w:val="en-GB"/>
        </w:rPr>
        <w:t>ION</w:t>
      </w:r>
    </w:p>
    <w:p w14:paraId="29CECBCC" w14:textId="0E14F9BC" w:rsidR="00232D6E" w:rsidRPr="00EB412B" w:rsidRDefault="00A91409" w:rsidP="00A173FD">
      <w:pPr>
        <w:pStyle w:val="Title"/>
        <w:rPr>
          <w:lang w:val="en-GB"/>
        </w:rPr>
      </w:pPr>
      <w:r w:rsidRPr="00A91409">
        <w:t>MODULE:</w:t>
      </w:r>
      <w:r w:rsidR="00C1685F">
        <w:t xml:space="preserve"> </w:t>
      </w:r>
      <w:r w:rsidR="00232D6E" w:rsidRPr="00EB412B">
        <w:rPr>
          <w:lang w:val="en-GB"/>
        </w:rPr>
        <w:t>FINANCIAL MANAGEMENT</w:t>
      </w:r>
    </w:p>
    <w:p w14:paraId="2DA10EAA" w14:textId="0C463FCE" w:rsidR="00762AFF" w:rsidRPr="00EB412B" w:rsidRDefault="003238EB" w:rsidP="00EB412B">
      <w:pPr>
        <w:pStyle w:val="Title"/>
        <w:rPr>
          <w:lang w:val="en-GB"/>
        </w:rPr>
      </w:pPr>
      <w:r w:rsidRPr="003238EB">
        <w:t xml:space="preserve">MODULE CODE: </w:t>
      </w:r>
      <w:r w:rsidR="00232D6E" w:rsidRPr="00EB412B">
        <w:rPr>
          <w:lang w:val="en-GB"/>
        </w:rPr>
        <w:t>LCMB7002</w:t>
      </w:r>
      <w:r w:rsidR="00762AFF" w:rsidRPr="00EB412B">
        <w:rPr>
          <w:lang w:val="en-GB"/>
        </w:rPr>
        <w:t xml:space="preserve"> </w:t>
      </w:r>
    </w:p>
    <w:p w14:paraId="55AA5E90" w14:textId="77777777" w:rsidR="00762AFF" w:rsidRPr="00EB412B" w:rsidRDefault="00762AFF" w:rsidP="00EB412B">
      <w:pPr>
        <w:pStyle w:val="Title"/>
        <w:rPr>
          <w:lang w:val="en-GB"/>
        </w:rPr>
      </w:pPr>
    </w:p>
    <w:p w14:paraId="7D6D1C2F" w14:textId="57E79388" w:rsidR="00232D6E" w:rsidRPr="00EB412B" w:rsidRDefault="00762AFF" w:rsidP="00EB412B">
      <w:pPr>
        <w:pStyle w:val="Title"/>
        <w:rPr>
          <w:lang w:val="en-GB"/>
        </w:rPr>
      </w:pPr>
      <w:r w:rsidRPr="00EB412B">
        <w:rPr>
          <w:lang w:val="en-GB"/>
        </w:rPr>
        <w:t>Assessment component: Financial performance and management</w:t>
      </w:r>
    </w:p>
    <w:p w14:paraId="536F1245" w14:textId="77777777" w:rsidR="00232D6E" w:rsidRPr="00EB412B" w:rsidRDefault="00232D6E" w:rsidP="00EB412B">
      <w:pPr>
        <w:pStyle w:val="Title"/>
        <w:jc w:val="both"/>
        <w:rPr>
          <w:lang w:val="en-GB"/>
        </w:rPr>
      </w:pPr>
    </w:p>
    <w:p w14:paraId="671CD248" w14:textId="77777777" w:rsidR="00232D6E" w:rsidRPr="00EB412B" w:rsidRDefault="00232D6E" w:rsidP="00EB412B">
      <w:pPr>
        <w:pStyle w:val="Title"/>
        <w:rPr>
          <w:lang w:val="en-GB"/>
        </w:rPr>
      </w:pPr>
    </w:p>
    <w:p w14:paraId="57BBFF9A" w14:textId="01652A32" w:rsidR="00232D6E" w:rsidRPr="00EB412B" w:rsidRDefault="00762AFF" w:rsidP="00EB412B">
      <w:pPr>
        <w:pStyle w:val="Title"/>
        <w:rPr>
          <w:lang w:val="en-GB"/>
        </w:rPr>
      </w:pPr>
      <w:bookmarkStart w:id="3" w:name="_3add55h2h3e6" w:colFirst="0" w:colLast="0"/>
      <w:bookmarkEnd w:id="3"/>
      <w:r w:rsidRPr="00EB412B">
        <w:rPr>
          <w:lang w:val="en-GB"/>
        </w:rPr>
        <w:t xml:space="preserve">STRATEGIC CFO CHALLENGE: SAVING A FAILING GLOBAL FIRM </w:t>
      </w:r>
    </w:p>
    <w:p w14:paraId="0FACC6B2" w14:textId="77777777" w:rsidR="00762AFF" w:rsidRPr="00EB412B" w:rsidRDefault="00762AFF" w:rsidP="00EB412B">
      <w:pPr>
        <w:rPr>
          <w:lang w:val="en-GB"/>
        </w:rPr>
      </w:pPr>
    </w:p>
    <w:p w14:paraId="658E52AB" w14:textId="77777777" w:rsidR="00762AFF" w:rsidRPr="00EB412B" w:rsidRDefault="00762AFF" w:rsidP="00EB412B">
      <w:pPr>
        <w:rPr>
          <w:lang w:val="en-GB"/>
        </w:rPr>
      </w:pPr>
    </w:p>
    <w:p w14:paraId="20ADF374" w14:textId="77777777" w:rsidR="00A40222" w:rsidRPr="00EB412B" w:rsidRDefault="00A40222" w:rsidP="00EB412B">
      <w:pPr>
        <w:rPr>
          <w:lang w:val="en-GB"/>
        </w:rPr>
      </w:pPr>
    </w:p>
    <w:p w14:paraId="6249A2EA" w14:textId="6A64C32A" w:rsidR="00232D6E" w:rsidRPr="00EB412B" w:rsidRDefault="00232D6E" w:rsidP="00EB412B">
      <w:pPr>
        <w:pStyle w:val="Title"/>
        <w:rPr>
          <w:sz w:val="24"/>
          <w:szCs w:val="24"/>
          <w:lang w:val="en-GB"/>
        </w:rPr>
      </w:pPr>
      <w:r w:rsidRPr="00EB412B">
        <w:rPr>
          <w:sz w:val="24"/>
          <w:szCs w:val="24"/>
          <w:lang w:val="en-GB"/>
        </w:rPr>
        <w:t xml:space="preserve">Lecturer name: </w:t>
      </w:r>
      <w:r w:rsidR="00907BD4" w:rsidRPr="00907BD4">
        <w:rPr>
          <w:sz w:val="24"/>
          <w:szCs w:val="24"/>
        </w:rPr>
        <w:t>Shengfeng Mei (London)</w:t>
      </w:r>
    </w:p>
    <w:p w14:paraId="3DFBE165" w14:textId="77777777" w:rsidR="00232D6E" w:rsidRPr="00EB412B" w:rsidRDefault="00232D6E" w:rsidP="00EB412B">
      <w:pPr>
        <w:pStyle w:val="Title"/>
        <w:rPr>
          <w:sz w:val="24"/>
          <w:szCs w:val="24"/>
          <w:lang w:val="en-GB"/>
        </w:rPr>
      </w:pPr>
    </w:p>
    <w:p w14:paraId="0302B93C" w14:textId="31C4BFBD" w:rsidR="00232D6E" w:rsidRDefault="00232D6E" w:rsidP="00EB412B">
      <w:pPr>
        <w:pStyle w:val="Title"/>
        <w:rPr>
          <w:sz w:val="24"/>
          <w:szCs w:val="24"/>
          <w:lang w:val="en-GB"/>
        </w:rPr>
      </w:pPr>
      <w:r w:rsidRPr="00EB412B">
        <w:rPr>
          <w:sz w:val="24"/>
          <w:szCs w:val="24"/>
          <w:lang w:val="en-GB"/>
        </w:rPr>
        <w:t>Student name:</w:t>
      </w:r>
      <w:r w:rsidR="00907BD4">
        <w:rPr>
          <w:sz w:val="24"/>
          <w:szCs w:val="24"/>
          <w:lang w:val="en-GB"/>
        </w:rPr>
        <w:t xml:space="preserve"> Dipen</w:t>
      </w:r>
      <w:r w:rsidR="00FA5A73">
        <w:rPr>
          <w:sz w:val="24"/>
          <w:szCs w:val="24"/>
          <w:lang w:val="en-GB"/>
        </w:rPr>
        <w:t xml:space="preserve">kumar Kamleshbhai </w:t>
      </w:r>
      <w:r w:rsidR="007B4109">
        <w:rPr>
          <w:sz w:val="24"/>
          <w:szCs w:val="24"/>
          <w:lang w:val="en-GB"/>
        </w:rPr>
        <w:t>Patel</w:t>
      </w:r>
    </w:p>
    <w:p w14:paraId="7825D66B" w14:textId="77777777" w:rsidR="007B4109" w:rsidRPr="007B4109" w:rsidRDefault="007B4109" w:rsidP="007B4109">
      <w:pPr>
        <w:rPr>
          <w:lang w:val="en-GB"/>
        </w:rPr>
      </w:pPr>
    </w:p>
    <w:p w14:paraId="1A88E899" w14:textId="4C502FEF" w:rsidR="00232D6E" w:rsidRPr="00EB412B" w:rsidRDefault="00232D6E" w:rsidP="00EB412B">
      <w:pPr>
        <w:pStyle w:val="Title"/>
        <w:rPr>
          <w:sz w:val="24"/>
          <w:szCs w:val="24"/>
          <w:lang w:val="en-GB"/>
        </w:rPr>
      </w:pPr>
      <w:r w:rsidRPr="00EB412B">
        <w:rPr>
          <w:sz w:val="24"/>
          <w:szCs w:val="24"/>
          <w:lang w:val="en-GB"/>
        </w:rPr>
        <w:t>Student ID:</w:t>
      </w:r>
      <w:r w:rsidR="00A173FD">
        <w:rPr>
          <w:sz w:val="24"/>
          <w:szCs w:val="24"/>
          <w:lang w:val="en-GB"/>
        </w:rPr>
        <w:t xml:space="preserve"> 2503885</w:t>
      </w:r>
    </w:p>
    <w:p w14:paraId="114FF919" w14:textId="77777777" w:rsidR="00232D6E" w:rsidRPr="00EB412B" w:rsidRDefault="00232D6E" w:rsidP="00EB412B">
      <w:pPr>
        <w:pStyle w:val="Title"/>
        <w:rPr>
          <w:sz w:val="24"/>
          <w:szCs w:val="24"/>
          <w:lang w:val="en-GB"/>
        </w:rPr>
      </w:pPr>
    </w:p>
    <w:p w14:paraId="4413F173" w14:textId="6B484BD7" w:rsidR="00232D6E" w:rsidRPr="00EB412B" w:rsidRDefault="00232D6E" w:rsidP="00EB412B">
      <w:pPr>
        <w:pStyle w:val="Title"/>
        <w:rPr>
          <w:b w:val="0"/>
          <w:bCs w:val="0"/>
          <w:sz w:val="24"/>
          <w:szCs w:val="24"/>
          <w:lang w:val="en-GB"/>
        </w:rPr>
      </w:pPr>
      <w:r w:rsidRPr="00EB412B">
        <w:rPr>
          <w:sz w:val="24"/>
          <w:szCs w:val="24"/>
          <w:lang w:val="en-GB"/>
        </w:rPr>
        <w:t xml:space="preserve">Word count: </w:t>
      </w:r>
      <w:r w:rsidRPr="00EB412B">
        <w:rPr>
          <w:b w:val="0"/>
          <w:bCs w:val="0"/>
          <w:sz w:val="24"/>
          <w:szCs w:val="24"/>
          <w:lang w:val="en-GB"/>
        </w:rPr>
        <w:t>5</w:t>
      </w:r>
      <w:r w:rsidR="0021282B" w:rsidRPr="00EB412B">
        <w:rPr>
          <w:b w:val="0"/>
          <w:bCs w:val="0"/>
          <w:sz w:val="24"/>
          <w:szCs w:val="24"/>
          <w:lang w:val="en-GB"/>
        </w:rPr>
        <w:t>13</w:t>
      </w:r>
      <w:r w:rsidR="00D878D4">
        <w:rPr>
          <w:b w:val="0"/>
          <w:bCs w:val="0"/>
          <w:sz w:val="24"/>
          <w:szCs w:val="24"/>
          <w:lang w:val="en-GB"/>
        </w:rPr>
        <w:t>0</w:t>
      </w:r>
    </w:p>
    <w:p w14:paraId="666988B7" w14:textId="77777777" w:rsidR="00232D6E" w:rsidRPr="00EB412B" w:rsidRDefault="00232D6E" w:rsidP="00EB412B">
      <w:pPr>
        <w:rPr>
          <w:lang w:val="en-GB"/>
        </w:rPr>
      </w:pPr>
    </w:p>
    <w:p w14:paraId="430DF027" w14:textId="6B5D5DDA" w:rsidR="00232D6E" w:rsidRPr="00EB412B" w:rsidRDefault="00A40222" w:rsidP="00EB412B">
      <w:pPr>
        <w:pStyle w:val="Title"/>
        <w:rPr>
          <w:sz w:val="24"/>
          <w:szCs w:val="24"/>
          <w:lang w:val="en-GB"/>
        </w:rPr>
      </w:pPr>
      <w:r w:rsidRPr="00EB412B">
        <w:rPr>
          <w:sz w:val="24"/>
          <w:szCs w:val="24"/>
          <w:lang w:val="en-GB"/>
        </w:rPr>
        <w:t>D</w:t>
      </w:r>
      <w:r w:rsidR="00232D6E" w:rsidRPr="00EB412B">
        <w:rPr>
          <w:sz w:val="24"/>
          <w:szCs w:val="24"/>
          <w:lang w:val="en-GB"/>
        </w:rPr>
        <w:t>ate</w:t>
      </w:r>
      <w:r w:rsidRPr="00EB412B">
        <w:rPr>
          <w:sz w:val="24"/>
          <w:szCs w:val="24"/>
          <w:lang w:val="en-GB"/>
        </w:rPr>
        <w:t xml:space="preserve"> of Submission</w:t>
      </w:r>
      <w:r w:rsidR="00232D6E" w:rsidRPr="00EB412B">
        <w:rPr>
          <w:sz w:val="24"/>
          <w:szCs w:val="24"/>
          <w:lang w:val="en-GB"/>
        </w:rPr>
        <w:t xml:space="preserve">: </w:t>
      </w:r>
      <w:r w:rsidRPr="00EB412B">
        <w:rPr>
          <w:b w:val="0"/>
          <w:bCs w:val="0"/>
          <w:sz w:val="24"/>
          <w:szCs w:val="24"/>
          <w:lang w:val="en-GB"/>
        </w:rPr>
        <w:t>22.12.2025</w:t>
      </w:r>
      <w:r w:rsidR="00232D6E" w:rsidRPr="00EB412B">
        <w:rPr>
          <w:lang w:val="en-GB"/>
        </w:rPr>
        <w:br w:type="page"/>
      </w:r>
    </w:p>
    <w:sdt>
      <w:sdtPr>
        <w:rPr>
          <w:rFonts w:ascii="Arial" w:eastAsia="Arial" w:hAnsi="Arial" w:cs="Arial"/>
          <w:b w:val="0"/>
          <w:bCs w:val="0"/>
          <w:color w:val="auto"/>
          <w:sz w:val="24"/>
          <w:szCs w:val="24"/>
          <w:lang w:val="en" w:eastAsia="en-GB"/>
        </w:rPr>
        <w:id w:val="1762798265"/>
        <w:docPartObj>
          <w:docPartGallery w:val="Table of Contents"/>
          <w:docPartUnique/>
        </w:docPartObj>
      </w:sdtPr>
      <w:sdtEndPr>
        <w:rPr>
          <w:noProof/>
        </w:rPr>
      </w:sdtEndPr>
      <w:sdtContent>
        <w:p w14:paraId="08C2D81F" w14:textId="77777777" w:rsidR="00232D6E" w:rsidRPr="00EB412B" w:rsidRDefault="00232D6E" w:rsidP="00EB412B">
          <w:pPr>
            <w:pStyle w:val="TOCHeading"/>
            <w:spacing w:line="360" w:lineRule="auto"/>
            <w:jc w:val="center"/>
            <w:rPr>
              <w:rFonts w:ascii="Arial" w:hAnsi="Arial" w:cs="Arial"/>
              <w:color w:val="000000" w:themeColor="text1"/>
              <w:sz w:val="24"/>
              <w:szCs w:val="24"/>
            </w:rPr>
          </w:pPr>
          <w:r w:rsidRPr="00EB412B">
            <w:rPr>
              <w:rFonts w:ascii="Arial" w:hAnsi="Arial" w:cs="Arial"/>
              <w:color w:val="000000" w:themeColor="text1"/>
              <w:sz w:val="24"/>
              <w:szCs w:val="24"/>
            </w:rPr>
            <w:t>Table of Contents</w:t>
          </w:r>
        </w:p>
        <w:p w14:paraId="7C972C68" w14:textId="54C9D686" w:rsidR="00EB412B" w:rsidRPr="00EB412B" w:rsidRDefault="00232D6E"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r w:rsidRPr="00EB412B">
            <w:rPr>
              <w:rFonts w:ascii="Arial" w:hAnsi="Arial"/>
              <w:b w:val="0"/>
              <w:bCs w:val="0"/>
              <w:i w:val="0"/>
              <w:iCs w:val="0"/>
              <w:color w:val="000000" w:themeColor="text1"/>
            </w:rPr>
            <w:fldChar w:fldCharType="begin"/>
          </w:r>
          <w:r w:rsidRPr="00EB412B">
            <w:rPr>
              <w:rFonts w:ascii="Arial" w:hAnsi="Arial"/>
              <w:b w:val="0"/>
              <w:bCs w:val="0"/>
              <w:i w:val="0"/>
              <w:iCs w:val="0"/>
              <w:color w:val="000000" w:themeColor="text1"/>
            </w:rPr>
            <w:instrText xml:space="preserve"> TOC \o "1-3" \h \z \u </w:instrText>
          </w:r>
          <w:r w:rsidRPr="00EB412B">
            <w:rPr>
              <w:rFonts w:ascii="Arial" w:hAnsi="Arial"/>
              <w:b w:val="0"/>
              <w:bCs w:val="0"/>
              <w:i w:val="0"/>
              <w:iCs w:val="0"/>
              <w:color w:val="000000" w:themeColor="text1"/>
            </w:rPr>
            <w:fldChar w:fldCharType="separate"/>
          </w:r>
          <w:hyperlink w:anchor="_Toc217295763" w:history="1">
            <w:r w:rsidR="00EB412B" w:rsidRPr="00EB412B">
              <w:rPr>
                <w:rStyle w:val="Hyperlink"/>
                <w:rFonts w:ascii="Arial" w:hAnsi="Arial"/>
                <w:b w:val="0"/>
                <w:bCs w:val="0"/>
                <w:i w:val="0"/>
                <w:iCs w:val="0"/>
                <w:noProof/>
                <w:lang w:val="en-GB"/>
              </w:rPr>
              <w:t>1. Introduction</w:t>
            </w:r>
            <w:r w:rsidR="00EB412B" w:rsidRPr="00EB412B">
              <w:rPr>
                <w:rFonts w:ascii="Arial" w:hAnsi="Arial"/>
                <w:b w:val="0"/>
                <w:bCs w:val="0"/>
                <w:i w:val="0"/>
                <w:iCs w:val="0"/>
                <w:noProof/>
                <w:webHidden/>
              </w:rPr>
              <w:tab/>
            </w:r>
            <w:r w:rsidR="00EB412B" w:rsidRPr="00EB412B">
              <w:rPr>
                <w:rFonts w:ascii="Arial" w:hAnsi="Arial"/>
                <w:b w:val="0"/>
                <w:bCs w:val="0"/>
                <w:i w:val="0"/>
                <w:iCs w:val="0"/>
                <w:noProof/>
                <w:webHidden/>
              </w:rPr>
              <w:fldChar w:fldCharType="begin"/>
            </w:r>
            <w:r w:rsidR="00EB412B" w:rsidRPr="00EB412B">
              <w:rPr>
                <w:rFonts w:ascii="Arial" w:hAnsi="Arial"/>
                <w:b w:val="0"/>
                <w:bCs w:val="0"/>
                <w:i w:val="0"/>
                <w:iCs w:val="0"/>
                <w:noProof/>
                <w:webHidden/>
              </w:rPr>
              <w:instrText xml:space="preserve"> PAGEREF _Toc217295763 \h </w:instrText>
            </w:r>
            <w:r w:rsidR="00EB412B" w:rsidRPr="00EB412B">
              <w:rPr>
                <w:rFonts w:ascii="Arial" w:hAnsi="Arial"/>
                <w:b w:val="0"/>
                <w:bCs w:val="0"/>
                <w:i w:val="0"/>
                <w:iCs w:val="0"/>
                <w:noProof/>
                <w:webHidden/>
              </w:rPr>
            </w:r>
            <w:r w:rsidR="00EB412B" w:rsidRPr="00EB412B">
              <w:rPr>
                <w:rFonts w:ascii="Arial" w:hAnsi="Arial"/>
                <w:b w:val="0"/>
                <w:bCs w:val="0"/>
                <w:i w:val="0"/>
                <w:iCs w:val="0"/>
                <w:noProof/>
                <w:webHidden/>
              </w:rPr>
              <w:fldChar w:fldCharType="separate"/>
            </w:r>
            <w:r w:rsidR="00EB412B" w:rsidRPr="00EB412B">
              <w:rPr>
                <w:rFonts w:ascii="Arial" w:hAnsi="Arial"/>
                <w:b w:val="0"/>
                <w:bCs w:val="0"/>
                <w:i w:val="0"/>
                <w:iCs w:val="0"/>
                <w:noProof/>
                <w:webHidden/>
              </w:rPr>
              <w:t>4</w:t>
            </w:r>
            <w:r w:rsidR="00EB412B" w:rsidRPr="00EB412B">
              <w:rPr>
                <w:rFonts w:ascii="Arial" w:hAnsi="Arial"/>
                <w:b w:val="0"/>
                <w:bCs w:val="0"/>
                <w:i w:val="0"/>
                <w:iCs w:val="0"/>
                <w:noProof/>
                <w:webHidden/>
              </w:rPr>
              <w:fldChar w:fldCharType="end"/>
            </w:r>
          </w:hyperlink>
        </w:p>
        <w:p w14:paraId="4E8F985A" w14:textId="1B5216EE"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64" w:history="1">
            <w:r w:rsidRPr="00EB412B">
              <w:rPr>
                <w:rStyle w:val="Hyperlink"/>
                <w:rFonts w:ascii="Arial" w:hAnsi="Arial"/>
                <w:b w:val="0"/>
                <w:bCs w:val="0"/>
                <w:noProof/>
                <w:sz w:val="24"/>
                <w:szCs w:val="24"/>
                <w:lang w:val="en-GB"/>
              </w:rPr>
              <w:t>1.1 Background of General Electronics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_Toc217295764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4</w:t>
            </w:r>
            <w:r w:rsidRPr="00EB412B">
              <w:rPr>
                <w:rFonts w:ascii="Arial" w:hAnsi="Arial"/>
                <w:b w:val="0"/>
                <w:bCs w:val="0"/>
                <w:noProof/>
                <w:webHidden/>
                <w:sz w:val="24"/>
                <w:szCs w:val="24"/>
              </w:rPr>
              <w:fldChar w:fldCharType="end"/>
            </w:r>
          </w:hyperlink>
        </w:p>
        <w:p w14:paraId="75D49739" w14:textId="23CB7AA2"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65" w:history="1">
            <w:r w:rsidRPr="00EB412B">
              <w:rPr>
                <w:rStyle w:val="Hyperlink"/>
                <w:rFonts w:ascii="Arial" w:hAnsi="Arial"/>
                <w:b w:val="0"/>
                <w:bCs w:val="0"/>
                <w:noProof/>
                <w:sz w:val="24"/>
                <w:szCs w:val="24"/>
                <w:lang w:val="en-GB"/>
              </w:rPr>
              <w:t>1.2 Role of the CFO in Corporate Turnarounds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_Toc217295765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4</w:t>
            </w:r>
            <w:r w:rsidRPr="00EB412B">
              <w:rPr>
                <w:rFonts w:ascii="Arial" w:hAnsi="Arial"/>
                <w:b w:val="0"/>
                <w:bCs w:val="0"/>
                <w:noProof/>
                <w:webHidden/>
                <w:sz w:val="24"/>
                <w:szCs w:val="24"/>
              </w:rPr>
              <w:fldChar w:fldCharType="end"/>
            </w:r>
          </w:hyperlink>
        </w:p>
        <w:p w14:paraId="77BA6070" w14:textId="528F551D"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66" w:history="1">
            <w:r w:rsidRPr="00EB412B">
              <w:rPr>
                <w:rStyle w:val="Hyperlink"/>
                <w:rFonts w:ascii="Arial" w:hAnsi="Arial"/>
                <w:b w:val="0"/>
                <w:bCs w:val="0"/>
                <w:noProof/>
                <w:sz w:val="24"/>
                <w:szCs w:val="24"/>
                <w:lang w:val="en-GB"/>
              </w:rPr>
              <w:t>1.3 Objectives and Scope of the Report</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_Toc217295766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4</w:t>
            </w:r>
            <w:r w:rsidRPr="00EB412B">
              <w:rPr>
                <w:rFonts w:ascii="Arial" w:hAnsi="Arial"/>
                <w:b w:val="0"/>
                <w:bCs w:val="0"/>
                <w:noProof/>
                <w:webHidden/>
                <w:sz w:val="24"/>
                <w:szCs w:val="24"/>
              </w:rPr>
              <w:fldChar w:fldCharType="end"/>
            </w:r>
          </w:hyperlink>
        </w:p>
        <w:p w14:paraId="441296E8" w14:textId="0C6A630D"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67" w:history="1">
            <w:r w:rsidRPr="00EB412B">
              <w:rPr>
                <w:rStyle w:val="Hyperlink"/>
                <w:rFonts w:ascii="Arial" w:hAnsi="Arial"/>
                <w:b w:val="0"/>
                <w:bCs w:val="0"/>
                <w:i w:val="0"/>
                <w:iCs w:val="0"/>
                <w:noProof/>
                <w:lang w:val="en-GB"/>
              </w:rPr>
              <w:t>2. Financial Health Check</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_Toc217295767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5</w:t>
            </w:r>
            <w:r w:rsidRPr="00EB412B">
              <w:rPr>
                <w:rFonts w:ascii="Arial" w:hAnsi="Arial"/>
                <w:b w:val="0"/>
                <w:bCs w:val="0"/>
                <w:i w:val="0"/>
                <w:iCs w:val="0"/>
                <w:noProof/>
                <w:webHidden/>
              </w:rPr>
              <w:fldChar w:fldCharType="end"/>
            </w:r>
          </w:hyperlink>
        </w:p>
        <w:p w14:paraId="1834239E" w14:textId="44EB70B7"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68" w:history="1">
            <w:r w:rsidRPr="00EB412B">
              <w:rPr>
                <w:rStyle w:val="Hyperlink"/>
                <w:rFonts w:ascii="Arial" w:hAnsi="Arial"/>
                <w:b w:val="0"/>
                <w:bCs w:val="0"/>
                <w:noProof/>
                <w:sz w:val="24"/>
                <w:szCs w:val="24"/>
                <w:lang w:val="en-GB"/>
              </w:rPr>
              <w:t>2.1 Revenue and Profitability Analysis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_Toc217295768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5</w:t>
            </w:r>
            <w:r w:rsidRPr="00EB412B">
              <w:rPr>
                <w:rFonts w:ascii="Arial" w:hAnsi="Arial"/>
                <w:b w:val="0"/>
                <w:bCs w:val="0"/>
                <w:noProof/>
                <w:webHidden/>
                <w:sz w:val="24"/>
                <w:szCs w:val="24"/>
              </w:rPr>
              <w:fldChar w:fldCharType="end"/>
            </w:r>
          </w:hyperlink>
        </w:p>
        <w:p w14:paraId="23471601" w14:textId="716A3C4E"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69" w:history="1">
            <w:r w:rsidRPr="00EB412B">
              <w:rPr>
                <w:rStyle w:val="Hyperlink"/>
                <w:rFonts w:ascii="Arial" w:hAnsi="Arial"/>
                <w:b w:val="0"/>
                <w:bCs w:val="0"/>
                <w:noProof/>
                <w:sz w:val="24"/>
                <w:szCs w:val="24"/>
                <w:lang w:val="en-GB"/>
              </w:rPr>
              <w:t>2.2 Cost Structure and Operating Efficiency</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_Toc217295769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9</w:t>
            </w:r>
            <w:r w:rsidRPr="00EB412B">
              <w:rPr>
                <w:rFonts w:ascii="Arial" w:hAnsi="Arial"/>
                <w:b w:val="0"/>
                <w:bCs w:val="0"/>
                <w:noProof/>
                <w:webHidden/>
                <w:sz w:val="24"/>
                <w:szCs w:val="24"/>
              </w:rPr>
              <w:fldChar w:fldCharType="end"/>
            </w:r>
          </w:hyperlink>
        </w:p>
        <w:p w14:paraId="7923E147" w14:textId="583436D1"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0" w:history="1">
            <w:r w:rsidRPr="00EB412B">
              <w:rPr>
                <w:rStyle w:val="Hyperlink"/>
                <w:rFonts w:ascii="Arial" w:hAnsi="Arial"/>
                <w:b w:val="0"/>
                <w:bCs w:val="0"/>
                <w:noProof/>
                <w:sz w:val="24"/>
                <w:szCs w:val="24"/>
                <w:lang w:val="en-GB"/>
              </w:rPr>
              <w:t>2.3 Liquidity Position and Short-Term Solvency</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_Toc217295770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10</w:t>
            </w:r>
            <w:r w:rsidRPr="00EB412B">
              <w:rPr>
                <w:rFonts w:ascii="Arial" w:hAnsi="Arial"/>
                <w:b w:val="0"/>
                <w:bCs w:val="0"/>
                <w:noProof/>
                <w:webHidden/>
                <w:sz w:val="24"/>
                <w:szCs w:val="24"/>
              </w:rPr>
              <w:fldChar w:fldCharType="end"/>
            </w:r>
          </w:hyperlink>
        </w:p>
        <w:p w14:paraId="7086547B" w14:textId="1E7FE0DF"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1" w:history="1">
            <w:r w:rsidRPr="00EB412B">
              <w:rPr>
                <w:rStyle w:val="Hyperlink"/>
                <w:rFonts w:ascii="Arial" w:hAnsi="Arial"/>
                <w:b w:val="0"/>
                <w:bCs w:val="0"/>
                <w:noProof/>
                <w:sz w:val="24"/>
                <w:szCs w:val="24"/>
                <w:lang w:val="en-GB"/>
              </w:rPr>
              <w:t>2.4 Capital Structure and Gearing Analysis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_Toc217295771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13</w:t>
            </w:r>
            <w:r w:rsidRPr="00EB412B">
              <w:rPr>
                <w:rFonts w:ascii="Arial" w:hAnsi="Arial"/>
                <w:b w:val="0"/>
                <w:bCs w:val="0"/>
                <w:noProof/>
                <w:webHidden/>
                <w:sz w:val="24"/>
                <w:szCs w:val="24"/>
              </w:rPr>
              <w:fldChar w:fldCharType="end"/>
            </w:r>
          </w:hyperlink>
        </w:p>
        <w:p w14:paraId="6C63DDE7" w14:textId="4ECAAB31"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2" w:history="1">
            <w:r w:rsidRPr="00EB412B">
              <w:rPr>
                <w:rStyle w:val="Hyperlink"/>
                <w:rFonts w:ascii="Arial" w:hAnsi="Arial"/>
                <w:b w:val="0"/>
                <w:bCs w:val="0"/>
                <w:noProof/>
                <w:sz w:val="24"/>
                <w:szCs w:val="24"/>
                <w:lang w:val="en-GB"/>
              </w:rPr>
              <w:t>2.5 Cash Flow Sustainability Analysis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_Toc217295772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14</w:t>
            </w:r>
            <w:r w:rsidRPr="00EB412B">
              <w:rPr>
                <w:rFonts w:ascii="Arial" w:hAnsi="Arial"/>
                <w:b w:val="0"/>
                <w:bCs w:val="0"/>
                <w:noProof/>
                <w:webHidden/>
                <w:sz w:val="24"/>
                <w:szCs w:val="24"/>
              </w:rPr>
              <w:fldChar w:fldCharType="end"/>
            </w:r>
          </w:hyperlink>
        </w:p>
        <w:p w14:paraId="4E44E46C" w14:textId="05A1786A"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3" w:history="1">
            <w:r w:rsidRPr="00EB412B">
              <w:rPr>
                <w:rStyle w:val="Hyperlink"/>
                <w:rFonts w:ascii="Arial" w:hAnsi="Arial"/>
                <w:b w:val="0"/>
                <w:bCs w:val="0"/>
                <w:noProof/>
                <w:sz w:val="24"/>
                <w:szCs w:val="24"/>
                <w:lang w:val="en-GB"/>
              </w:rPr>
              <w:t>2.6 Corporate Failure Risk Assessment – Altman Z-Score</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_Toc217295773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14</w:t>
            </w:r>
            <w:r w:rsidRPr="00EB412B">
              <w:rPr>
                <w:rFonts w:ascii="Arial" w:hAnsi="Arial"/>
                <w:b w:val="0"/>
                <w:bCs w:val="0"/>
                <w:noProof/>
                <w:webHidden/>
                <w:sz w:val="24"/>
                <w:szCs w:val="24"/>
              </w:rPr>
              <w:fldChar w:fldCharType="end"/>
            </w:r>
          </w:hyperlink>
        </w:p>
        <w:p w14:paraId="43FBE6AA" w14:textId="5C42CC05"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4" w:history="1">
            <w:r w:rsidRPr="00EB412B">
              <w:rPr>
                <w:rStyle w:val="Hyperlink"/>
                <w:rFonts w:ascii="Arial" w:hAnsi="Arial"/>
                <w:b w:val="0"/>
                <w:bCs w:val="0"/>
                <w:noProof/>
                <w:sz w:val="24"/>
                <w:szCs w:val="24"/>
                <w:lang w:val="en-GB"/>
              </w:rPr>
              <w:t>2.7 Summary of Financial Strengths and Threats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_Toc217295774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14</w:t>
            </w:r>
            <w:r w:rsidRPr="00EB412B">
              <w:rPr>
                <w:rFonts w:ascii="Arial" w:hAnsi="Arial"/>
                <w:b w:val="0"/>
                <w:bCs w:val="0"/>
                <w:noProof/>
                <w:webHidden/>
                <w:sz w:val="24"/>
                <w:szCs w:val="24"/>
              </w:rPr>
              <w:fldChar w:fldCharType="end"/>
            </w:r>
          </w:hyperlink>
        </w:p>
        <w:p w14:paraId="31CCE306" w14:textId="69C954F8"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75" w:history="1">
            <w:r w:rsidRPr="00EB412B">
              <w:rPr>
                <w:rStyle w:val="Hyperlink"/>
                <w:rFonts w:ascii="Arial" w:hAnsi="Arial"/>
                <w:b w:val="0"/>
                <w:bCs w:val="0"/>
                <w:i w:val="0"/>
                <w:iCs w:val="0"/>
                <w:noProof/>
                <w:lang w:val="en-GB"/>
              </w:rPr>
              <w:t>3. Working Capital Management Analysis</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_Toc217295775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16</w:t>
            </w:r>
            <w:r w:rsidRPr="00EB412B">
              <w:rPr>
                <w:rFonts w:ascii="Arial" w:hAnsi="Arial"/>
                <w:b w:val="0"/>
                <w:bCs w:val="0"/>
                <w:i w:val="0"/>
                <w:iCs w:val="0"/>
                <w:noProof/>
                <w:webHidden/>
              </w:rPr>
              <w:fldChar w:fldCharType="end"/>
            </w:r>
          </w:hyperlink>
        </w:p>
        <w:p w14:paraId="1C2E19CD" w14:textId="474F08B6"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6" w:history="1">
            <w:r w:rsidRPr="00EB412B">
              <w:rPr>
                <w:rStyle w:val="Hyperlink"/>
                <w:rFonts w:ascii="Arial" w:hAnsi="Arial"/>
                <w:b w:val="0"/>
                <w:bCs w:val="0"/>
                <w:noProof/>
                <w:sz w:val="24"/>
                <w:szCs w:val="24"/>
                <w:lang w:val="en-GB"/>
              </w:rPr>
              <w:t>3.1 Cash Operating Cycle Analysis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_Toc217295776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16</w:t>
            </w:r>
            <w:r w:rsidRPr="00EB412B">
              <w:rPr>
                <w:rFonts w:ascii="Arial" w:hAnsi="Arial"/>
                <w:b w:val="0"/>
                <w:bCs w:val="0"/>
                <w:noProof/>
                <w:webHidden/>
                <w:sz w:val="24"/>
                <w:szCs w:val="24"/>
              </w:rPr>
              <w:fldChar w:fldCharType="end"/>
            </w:r>
          </w:hyperlink>
        </w:p>
        <w:p w14:paraId="2FA07EED" w14:textId="3B6B12A4"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7" w:history="1">
            <w:r w:rsidRPr="00EB412B">
              <w:rPr>
                <w:rStyle w:val="Hyperlink"/>
                <w:rFonts w:ascii="Arial" w:hAnsi="Arial"/>
                <w:b w:val="0"/>
                <w:bCs w:val="0"/>
                <w:noProof/>
                <w:sz w:val="24"/>
                <w:szCs w:val="24"/>
                <w:lang w:val="en-GB"/>
              </w:rPr>
              <w:t>3.2 Liquidity Constraints and Root Causes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_Toc217295777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16</w:t>
            </w:r>
            <w:r w:rsidRPr="00EB412B">
              <w:rPr>
                <w:rFonts w:ascii="Arial" w:hAnsi="Arial"/>
                <w:b w:val="0"/>
                <w:bCs w:val="0"/>
                <w:noProof/>
                <w:webHidden/>
                <w:sz w:val="24"/>
                <w:szCs w:val="24"/>
              </w:rPr>
              <w:fldChar w:fldCharType="end"/>
            </w:r>
          </w:hyperlink>
        </w:p>
        <w:p w14:paraId="3B321F71" w14:textId="27FC4D02"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8" w:history="1">
            <w:r w:rsidRPr="00EB412B">
              <w:rPr>
                <w:rStyle w:val="Hyperlink"/>
                <w:rFonts w:ascii="Arial" w:hAnsi="Arial"/>
                <w:b w:val="0"/>
                <w:bCs w:val="0"/>
                <w:noProof/>
                <w:sz w:val="24"/>
                <w:szCs w:val="24"/>
                <w:lang w:val="en-GB"/>
              </w:rPr>
              <w:t>3.3 Working Capital Improvement Strategies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_Toc217295778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17</w:t>
            </w:r>
            <w:r w:rsidRPr="00EB412B">
              <w:rPr>
                <w:rFonts w:ascii="Arial" w:hAnsi="Arial"/>
                <w:b w:val="0"/>
                <w:bCs w:val="0"/>
                <w:noProof/>
                <w:webHidden/>
                <w:sz w:val="24"/>
                <w:szCs w:val="24"/>
              </w:rPr>
              <w:fldChar w:fldCharType="end"/>
            </w:r>
          </w:hyperlink>
        </w:p>
        <w:p w14:paraId="0CED079F" w14:textId="7EE95612"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79" w:history="1">
            <w:r w:rsidRPr="00EB412B">
              <w:rPr>
                <w:rStyle w:val="Hyperlink"/>
                <w:rFonts w:ascii="Arial" w:hAnsi="Arial"/>
                <w:b w:val="0"/>
                <w:bCs w:val="0"/>
                <w:noProof/>
                <w:sz w:val="24"/>
                <w:szCs w:val="24"/>
                <w:lang w:val="en-GB"/>
              </w:rPr>
              <w:t>3.4 Short-Term vs Long-Term Financing Choices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_Toc217295779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17</w:t>
            </w:r>
            <w:r w:rsidRPr="00EB412B">
              <w:rPr>
                <w:rFonts w:ascii="Arial" w:hAnsi="Arial"/>
                <w:b w:val="0"/>
                <w:bCs w:val="0"/>
                <w:noProof/>
                <w:webHidden/>
                <w:sz w:val="24"/>
                <w:szCs w:val="24"/>
              </w:rPr>
              <w:fldChar w:fldCharType="end"/>
            </w:r>
          </w:hyperlink>
        </w:p>
        <w:p w14:paraId="7C4A22DE" w14:textId="5588D6F6"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80" w:history="1">
            <w:r w:rsidRPr="00EB412B">
              <w:rPr>
                <w:rStyle w:val="Hyperlink"/>
                <w:rFonts w:ascii="Arial" w:hAnsi="Arial"/>
                <w:b w:val="0"/>
                <w:bCs w:val="0"/>
                <w:i w:val="0"/>
                <w:iCs w:val="0"/>
                <w:noProof/>
                <w:lang w:val="en-GB"/>
              </w:rPr>
              <w:t>4. Strategic Financial Restructuring Plan</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_Toc217295780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19</w:t>
            </w:r>
            <w:r w:rsidRPr="00EB412B">
              <w:rPr>
                <w:rFonts w:ascii="Arial" w:hAnsi="Arial"/>
                <w:b w:val="0"/>
                <w:bCs w:val="0"/>
                <w:i w:val="0"/>
                <w:iCs w:val="0"/>
                <w:noProof/>
                <w:webHidden/>
              </w:rPr>
              <w:fldChar w:fldCharType="end"/>
            </w:r>
          </w:hyperlink>
        </w:p>
        <w:p w14:paraId="4328A31F" w14:textId="391D7D00"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81" w:history="1">
            <w:r w:rsidRPr="00EB412B">
              <w:rPr>
                <w:rStyle w:val="Hyperlink"/>
                <w:rFonts w:ascii="Arial" w:hAnsi="Arial"/>
                <w:b w:val="0"/>
                <w:bCs w:val="0"/>
                <w:noProof/>
                <w:sz w:val="24"/>
                <w:szCs w:val="24"/>
                <w:lang w:val="en-GB"/>
              </w:rPr>
              <w:t>4.1 Need for Financial Restructuring</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_Toc217295781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19</w:t>
            </w:r>
            <w:r w:rsidRPr="00EB412B">
              <w:rPr>
                <w:rFonts w:ascii="Arial" w:hAnsi="Arial"/>
                <w:b w:val="0"/>
                <w:bCs w:val="0"/>
                <w:noProof/>
                <w:webHidden/>
                <w:sz w:val="24"/>
                <w:szCs w:val="24"/>
              </w:rPr>
              <w:fldChar w:fldCharType="end"/>
            </w:r>
          </w:hyperlink>
        </w:p>
        <w:p w14:paraId="0906BB80" w14:textId="35841A8A"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82" w:history="1">
            <w:r w:rsidRPr="00EB412B">
              <w:rPr>
                <w:rStyle w:val="Hyperlink"/>
                <w:rFonts w:ascii="Arial" w:hAnsi="Arial"/>
                <w:b w:val="0"/>
                <w:bCs w:val="0"/>
                <w:noProof/>
                <w:sz w:val="24"/>
                <w:szCs w:val="24"/>
                <w:lang w:val="en-GB"/>
              </w:rPr>
              <w:t>4.2 Proposed Restructuring Options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_Toc217295782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19</w:t>
            </w:r>
            <w:r w:rsidRPr="00EB412B">
              <w:rPr>
                <w:rFonts w:ascii="Arial" w:hAnsi="Arial"/>
                <w:b w:val="0"/>
                <w:bCs w:val="0"/>
                <w:noProof/>
                <w:webHidden/>
                <w:sz w:val="24"/>
                <w:szCs w:val="24"/>
              </w:rPr>
              <w:fldChar w:fldCharType="end"/>
            </w:r>
          </w:hyperlink>
        </w:p>
        <w:p w14:paraId="6253CBCE" w14:textId="61B95E1C" w:rsidR="00EB412B" w:rsidRPr="00EB412B" w:rsidRDefault="00EB412B" w:rsidP="00EB412B">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5783" w:history="1">
            <w:r w:rsidRPr="00EB412B">
              <w:rPr>
                <w:rStyle w:val="Hyperlink"/>
                <w:rFonts w:ascii="Arial" w:hAnsi="Arial"/>
                <w:noProof/>
                <w:sz w:val="24"/>
                <w:szCs w:val="24"/>
                <w:lang w:val="en-GB"/>
              </w:rPr>
              <w:t>4.2.1 Asset Divestiture</w:t>
            </w:r>
            <w:r w:rsidRPr="00EB412B">
              <w:rPr>
                <w:rFonts w:ascii="Arial" w:hAnsi="Arial"/>
                <w:noProof/>
                <w:webHidden/>
                <w:sz w:val="24"/>
                <w:szCs w:val="24"/>
              </w:rPr>
              <w:tab/>
            </w:r>
            <w:r w:rsidRPr="00EB412B">
              <w:rPr>
                <w:rFonts w:ascii="Arial" w:hAnsi="Arial"/>
                <w:noProof/>
                <w:webHidden/>
                <w:sz w:val="24"/>
                <w:szCs w:val="24"/>
              </w:rPr>
              <w:fldChar w:fldCharType="begin"/>
            </w:r>
            <w:r w:rsidRPr="00EB412B">
              <w:rPr>
                <w:rFonts w:ascii="Arial" w:hAnsi="Arial"/>
                <w:noProof/>
                <w:webHidden/>
                <w:sz w:val="24"/>
                <w:szCs w:val="24"/>
              </w:rPr>
              <w:instrText xml:space="preserve"> PAGEREF _Toc217295783 \h </w:instrText>
            </w:r>
            <w:r w:rsidRPr="00EB412B">
              <w:rPr>
                <w:rFonts w:ascii="Arial" w:hAnsi="Arial"/>
                <w:noProof/>
                <w:webHidden/>
                <w:sz w:val="24"/>
                <w:szCs w:val="24"/>
              </w:rPr>
            </w:r>
            <w:r w:rsidRPr="00EB412B">
              <w:rPr>
                <w:rFonts w:ascii="Arial" w:hAnsi="Arial"/>
                <w:noProof/>
                <w:webHidden/>
                <w:sz w:val="24"/>
                <w:szCs w:val="24"/>
              </w:rPr>
              <w:fldChar w:fldCharType="separate"/>
            </w:r>
            <w:r w:rsidRPr="00EB412B">
              <w:rPr>
                <w:rFonts w:ascii="Arial" w:hAnsi="Arial"/>
                <w:noProof/>
                <w:webHidden/>
                <w:sz w:val="24"/>
                <w:szCs w:val="24"/>
              </w:rPr>
              <w:t>19</w:t>
            </w:r>
            <w:r w:rsidRPr="00EB412B">
              <w:rPr>
                <w:rFonts w:ascii="Arial" w:hAnsi="Arial"/>
                <w:noProof/>
                <w:webHidden/>
                <w:sz w:val="24"/>
                <w:szCs w:val="24"/>
              </w:rPr>
              <w:fldChar w:fldCharType="end"/>
            </w:r>
          </w:hyperlink>
        </w:p>
        <w:p w14:paraId="43BE816A" w14:textId="3380BA84" w:rsidR="00EB412B" w:rsidRPr="00EB412B" w:rsidRDefault="00EB412B" w:rsidP="00EB412B">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5784" w:history="1">
            <w:r w:rsidRPr="00EB412B">
              <w:rPr>
                <w:rStyle w:val="Hyperlink"/>
                <w:rFonts w:ascii="Arial" w:hAnsi="Arial"/>
                <w:noProof/>
                <w:sz w:val="24"/>
                <w:szCs w:val="24"/>
                <w:lang w:val="en-GB"/>
              </w:rPr>
              <w:t>4.2.2 Capital Structure Repair</w:t>
            </w:r>
            <w:r w:rsidRPr="00EB412B">
              <w:rPr>
                <w:rFonts w:ascii="Arial" w:hAnsi="Arial"/>
                <w:noProof/>
                <w:webHidden/>
                <w:sz w:val="24"/>
                <w:szCs w:val="24"/>
              </w:rPr>
              <w:tab/>
            </w:r>
            <w:r w:rsidRPr="00EB412B">
              <w:rPr>
                <w:rFonts w:ascii="Arial" w:hAnsi="Arial"/>
                <w:noProof/>
                <w:webHidden/>
                <w:sz w:val="24"/>
                <w:szCs w:val="24"/>
              </w:rPr>
              <w:fldChar w:fldCharType="begin"/>
            </w:r>
            <w:r w:rsidRPr="00EB412B">
              <w:rPr>
                <w:rFonts w:ascii="Arial" w:hAnsi="Arial"/>
                <w:noProof/>
                <w:webHidden/>
                <w:sz w:val="24"/>
                <w:szCs w:val="24"/>
              </w:rPr>
              <w:instrText xml:space="preserve"> PAGEREF _Toc217295784 \h </w:instrText>
            </w:r>
            <w:r w:rsidRPr="00EB412B">
              <w:rPr>
                <w:rFonts w:ascii="Arial" w:hAnsi="Arial"/>
                <w:noProof/>
                <w:webHidden/>
                <w:sz w:val="24"/>
                <w:szCs w:val="24"/>
              </w:rPr>
            </w:r>
            <w:r w:rsidRPr="00EB412B">
              <w:rPr>
                <w:rFonts w:ascii="Arial" w:hAnsi="Arial"/>
                <w:noProof/>
                <w:webHidden/>
                <w:sz w:val="24"/>
                <w:szCs w:val="24"/>
              </w:rPr>
              <w:fldChar w:fldCharType="separate"/>
            </w:r>
            <w:r w:rsidRPr="00EB412B">
              <w:rPr>
                <w:rFonts w:ascii="Arial" w:hAnsi="Arial"/>
                <w:noProof/>
                <w:webHidden/>
                <w:sz w:val="24"/>
                <w:szCs w:val="24"/>
              </w:rPr>
              <w:t>20</w:t>
            </w:r>
            <w:r w:rsidRPr="00EB412B">
              <w:rPr>
                <w:rFonts w:ascii="Arial" w:hAnsi="Arial"/>
                <w:noProof/>
                <w:webHidden/>
                <w:sz w:val="24"/>
                <w:szCs w:val="24"/>
              </w:rPr>
              <w:fldChar w:fldCharType="end"/>
            </w:r>
          </w:hyperlink>
        </w:p>
        <w:p w14:paraId="7E77A8B4" w14:textId="0AF41F94" w:rsidR="00EB412B" w:rsidRPr="00EB412B" w:rsidRDefault="00EB412B" w:rsidP="00EB412B">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5785" w:history="1">
            <w:r w:rsidRPr="00EB412B">
              <w:rPr>
                <w:rStyle w:val="Hyperlink"/>
                <w:rFonts w:ascii="Arial" w:hAnsi="Arial"/>
                <w:noProof/>
                <w:sz w:val="24"/>
                <w:szCs w:val="24"/>
                <w:lang w:val="en-GB"/>
              </w:rPr>
              <w:t>4.2.3 Operational Financial Discipline</w:t>
            </w:r>
            <w:r w:rsidRPr="00EB412B">
              <w:rPr>
                <w:rFonts w:ascii="Arial" w:hAnsi="Arial"/>
                <w:noProof/>
                <w:webHidden/>
                <w:sz w:val="24"/>
                <w:szCs w:val="24"/>
              </w:rPr>
              <w:tab/>
            </w:r>
            <w:r w:rsidRPr="00EB412B">
              <w:rPr>
                <w:rFonts w:ascii="Arial" w:hAnsi="Arial"/>
                <w:noProof/>
                <w:webHidden/>
                <w:sz w:val="24"/>
                <w:szCs w:val="24"/>
              </w:rPr>
              <w:fldChar w:fldCharType="begin"/>
            </w:r>
            <w:r w:rsidRPr="00EB412B">
              <w:rPr>
                <w:rFonts w:ascii="Arial" w:hAnsi="Arial"/>
                <w:noProof/>
                <w:webHidden/>
                <w:sz w:val="24"/>
                <w:szCs w:val="24"/>
              </w:rPr>
              <w:instrText xml:space="preserve"> PAGEREF _Toc217295785 \h </w:instrText>
            </w:r>
            <w:r w:rsidRPr="00EB412B">
              <w:rPr>
                <w:rFonts w:ascii="Arial" w:hAnsi="Arial"/>
                <w:noProof/>
                <w:webHidden/>
                <w:sz w:val="24"/>
                <w:szCs w:val="24"/>
              </w:rPr>
            </w:r>
            <w:r w:rsidRPr="00EB412B">
              <w:rPr>
                <w:rFonts w:ascii="Arial" w:hAnsi="Arial"/>
                <w:noProof/>
                <w:webHidden/>
                <w:sz w:val="24"/>
                <w:szCs w:val="24"/>
              </w:rPr>
              <w:fldChar w:fldCharType="separate"/>
            </w:r>
            <w:r w:rsidRPr="00EB412B">
              <w:rPr>
                <w:rFonts w:ascii="Arial" w:hAnsi="Arial"/>
                <w:noProof/>
                <w:webHidden/>
                <w:sz w:val="24"/>
                <w:szCs w:val="24"/>
              </w:rPr>
              <w:t>20</w:t>
            </w:r>
            <w:r w:rsidRPr="00EB412B">
              <w:rPr>
                <w:rFonts w:ascii="Arial" w:hAnsi="Arial"/>
                <w:noProof/>
                <w:webHidden/>
                <w:sz w:val="24"/>
                <w:szCs w:val="24"/>
              </w:rPr>
              <w:fldChar w:fldCharType="end"/>
            </w:r>
          </w:hyperlink>
        </w:p>
        <w:p w14:paraId="4F90027E" w14:textId="1CDC0BFD"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86" w:history="1">
            <w:r w:rsidRPr="00EB412B">
              <w:rPr>
                <w:rStyle w:val="Hyperlink"/>
                <w:rFonts w:ascii="Arial" w:hAnsi="Arial"/>
                <w:b w:val="0"/>
                <w:bCs w:val="0"/>
                <w:noProof/>
                <w:sz w:val="24"/>
                <w:szCs w:val="24"/>
                <w:lang w:val="en-GB"/>
              </w:rPr>
              <w:t>4.3 Impact on Shareholder Value and Financial Risk</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_Toc217295786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20</w:t>
            </w:r>
            <w:r w:rsidRPr="00EB412B">
              <w:rPr>
                <w:rFonts w:ascii="Arial" w:hAnsi="Arial"/>
                <w:b w:val="0"/>
                <w:bCs w:val="0"/>
                <w:noProof/>
                <w:webHidden/>
                <w:sz w:val="24"/>
                <w:szCs w:val="24"/>
              </w:rPr>
              <w:fldChar w:fldCharType="end"/>
            </w:r>
          </w:hyperlink>
        </w:p>
        <w:p w14:paraId="62BC7469" w14:textId="512C1996"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87" w:history="1">
            <w:r w:rsidRPr="00EB412B">
              <w:rPr>
                <w:rStyle w:val="Hyperlink"/>
                <w:rFonts w:ascii="Arial" w:hAnsi="Arial"/>
                <w:b w:val="0"/>
                <w:bCs w:val="0"/>
                <w:noProof/>
                <w:sz w:val="24"/>
                <w:szCs w:val="24"/>
                <w:lang w:val="en-GB"/>
              </w:rPr>
              <w:t>4.4 International and Ethical Considerations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_Toc217295787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21</w:t>
            </w:r>
            <w:r w:rsidRPr="00EB412B">
              <w:rPr>
                <w:rFonts w:ascii="Arial" w:hAnsi="Arial"/>
                <w:b w:val="0"/>
                <w:bCs w:val="0"/>
                <w:noProof/>
                <w:webHidden/>
                <w:sz w:val="24"/>
                <w:szCs w:val="24"/>
              </w:rPr>
              <w:fldChar w:fldCharType="end"/>
            </w:r>
          </w:hyperlink>
        </w:p>
        <w:p w14:paraId="72CADBC6" w14:textId="26143835"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88" w:history="1">
            <w:r w:rsidRPr="00EB412B">
              <w:rPr>
                <w:rStyle w:val="Hyperlink"/>
                <w:rFonts w:ascii="Arial" w:hAnsi="Arial"/>
                <w:b w:val="0"/>
                <w:bCs w:val="0"/>
                <w:i w:val="0"/>
                <w:iCs w:val="0"/>
                <w:noProof/>
                <w:lang w:val="en-GB"/>
              </w:rPr>
              <w:t>5. Investment Appraisal and Capital Budgeting</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_Toc217295788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22</w:t>
            </w:r>
            <w:r w:rsidRPr="00EB412B">
              <w:rPr>
                <w:rFonts w:ascii="Arial" w:hAnsi="Arial"/>
                <w:b w:val="0"/>
                <w:bCs w:val="0"/>
                <w:i w:val="0"/>
                <w:iCs w:val="0"/>
                <w:noProof/>
                <w:webHidden/>
              </w:rPr>
              <w:fldChar w:fldCharType="end"/>
            </w:r>
          </w:hyperlink>
        </w:p>
        <w:p w14:paraId="6B5E2FE4" w14:textId="22236AF6"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89" w:history="1">
            <w:r w:rsidRPr="00EB412B">
              <w:rPr>
                <w:rStyle w:val="Hyperlink"/>
                <w:rFonts w:ascii="Arial" w:hAnsi="Arial"/>
                <w:b w:val="0"/>
                <w:bCs w:val="0"/>
                <w:noProof/>
                <w:sz w:val="24"/>
                <w:szCs w:val="24"/>
                <w:lang w:val="en-GB"/>
              </w:rPr>
              <w:t>5.1 Rationale for Capital Rationing</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_Toc217295789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22</w:t>
            </w:r>
            <w:r w:rsidRPr="00EB412B">
              <w:rPr>
                <w:rFonts w:ascii="Arial" w:hAnsi="Arial"/>
                <w:b w:val="0"/>
                <w:bCs w:val="0"/>
                <w:noProof/>
                <w:webHidden/>
                <w:sz w:val="24"/>
                <w:szCs w:val="24"/>
              </w:rPr>
              <w:fldChar w:fldCharType="end"/>
            </w:r>
          </w:hyperlink>
        </w:p>
        <w:p w14:paraId="17602C80" w14:textId="66027C10"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0" w:history="1">
            <w:r w:rsidRPr="00EB412B">
              <w:rPr>
                <w:rStyle w:val="Hyperlink"/>
                <w:rFonts w:ascii="Arial" w:hAnsi="Arial"/>
                <w:b w:val="0"/>
                <w:bCs w:val="0"/>
                <w:noProof/>
                <w:sz w:val="24"/>
                <w:szCs w:val="24"/>
                <w:lang w:val="en-GB"/>
              </w:rPr>
              <w:t>5.2 Investment Appraisal Methods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_Toc217295790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22</w:t>
            </w:r>
            <w:r w:rsidRPr="00EB412B">
              <w:rPr>
                <w:rFonts w:ascii="Arial" w:hAnsi="Arial"/>
                <w:b w:val="0"/>
                <w:bCs w:val="0"/>
                <w:noProof/>
                <w:webHidden/>
                <w:sz w:val="24"/>
                <w:szCs w:val="24"/>
              </w:rPr>
              <w:fldChar w:fldCharType="end"/>
            </w:r>
          </w:hyperlink>
        </w:p>
        <w:p w14:paraId="5F97E8EA" w14:textId="26FBBB26"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1" w:history="1">
            <w:r w:rsidRPr="00EB412B">
              <w:rPr>
                <w:rStyle w:val="Hyperlink"/>
                <w:rFonts w:ascii="Arial" w:hAnsi="Arial"/>
                <w:b w:val="0"/>
                <w:bCs w:val="0"/>
                <w:noProof/>
                <w:sz w:val="24"/>
                <w:szCs w:val="24"/>
                <w:lang w:val="en-GB"/>
              </w:rPr>
              <w:t>5.3 Project A Evaluation</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_Toc217295791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22</w:t>
            </w:r>
            <w:r w:rsidRPr="00EB412B">
              <w:rPr>
                <w:rFonts w:ascii="Arial" w:hAnsi="Arial"/>
                <w:b w:val="0"/>
                <w:bCs w:val="0"/>
                <w:noProof/>
                <w:webHidden/>
                <w:sz w:val="24"/>
                <w:szCs w:val="24"/>
              </w:rPr>
              <w:fldChar w:fldCharType="end"/>
            </w:r>
          </w:hyperlink>
        </w:p>
        <w:p w14:paraId="61CF3E9C" w14:textId="28C07A11"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2" w:history="1">
            <w:r w:rsidRPr="00EB412B">
              <w:rPr>
                <w:rStyle w:val="Hyperlink"/>
                <w:rFonts w:ascii="Arial" w:hAnsi="Arial"/>
                <w:b w:val="0"/>
                <w:bCs w:val="0"/>
                <w:noProof/>
                <w:sz w:val="24"/>
                <w:szCs w:val="24"/>
                <w:lang w:val="en-GB"/>
              </w:rPr>
              <w:t>5.4 Project B Evaluation</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_Toc217295792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23</w:t>
            </w:r>
            <w:r w:rsidRPr="00EB412B">
              <w:rPr>
                <w:rFonts w:ascii="Arial" w:hAnsi="Arial"/>
                <w:b w:val="0"/>
                <w:bCs w:val="0"/>
                <w:noProof/>
                <w:webHidden/>
                <w:sz w:val="24"/>
                <w:szCs w:val="24"/>
              </w:rPr>
              <w:fldChar w:fldCharType="end"/>
            </w:r>
          </w:hyperlink>
        </w:p>
        <w:p w14:paraId="66A1CC33" w14:textId="55CD9C37"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3" w:history="1">
            <w:r w:rsidRPr="00EB412B">
              <w:rPr>
                <w:rStyle w:val="Hyperlink"/>
                <w:rFonts w:ascii="Arial" w:hAnsi="Arial"/>
                <w:b w:val="0"/>
                <w:bCs w:val="0"/>
                <w:noProof/>
                <w:sz w:val="24"/>
                <w:szCs w:val="24"/>
                <w:lang w:val="en-GB"/>
              </w:rPr>
              <w:t>5.5 Project C Evaluation</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_Toc217295793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23</w:t>
            </w:r>
            <w:r w:rsidRPr="00EB412B">
              <w:rPr>
                <w:rFonts w:ascii="Arial" w:hAnsi="Arial"/>
                <w:b w:val="0"/>
                <w:bCs w:val="0"/>
                <w:noProof/>
                <w:webHidden/>
                <w:sz w:val="24"/>
                <w:szCs w:val="24"/>
              </w:rPr>
              <w:fldChar w:fldCharType="end"/>
            </w:r>
          </w:hyperlink>
        </w:p>
        <w:p w14:paraId="68239F16" w14:textId="20DE2C58"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4" w:history="1">
            <w:r w:rsidRPr="00EB412B">
              <w:rPr>
                <w:rStyle w:val="Hyperlink"/>
                <w:rFonts w:ascii="Arial" w:hAnsi="Arial"/>
                <w:b w:val="0"/>
                <w:bCs w:val="0"/>
                <w:noProof/>
                <w:sz w:val="24"/>
                <w:szCs w:val="24"/>
                <w:lang w:val="en-GB"/>
              </w:rPr>
              <w:t>5.6 Final Investment Recommendation</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_Toc217295794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24</w:t>
            </w:r>
            <w:r w:rsidRPr="00EB412B">
              <w:rPr>
                <w:rFonts w:ascii="Arial" w:hAnsi="Arial"/>
                <w:b w:val="0"/>
                <w:bCs w:val="0"/>
                <w:noProof/>
                <w:webHidden/>
                <w:sz w:val="24"/>
                <w:szCs w:val="24"/>
              </w:rPr>
              <w:fldChar w:fldCharType="end"/>
            </w:r>
          </w:hyperlink>
        </w:p>
        <w:p w14:paraId="399AF1AC" w14:textId="76AD8CDB"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95" w:history="1">
            <w:r w:rsidRPr="00EB412B">
              <w:rPr>
                <w:rStyle w:val="Hyperlink"/>
                <w:rFonts w:ascii="Arial" w:hAnsi="Arial"/>
                <w:b w:val="0"/>
                <w:bCs w:val="0"/>
                <w:i w:val="0"/>
                <w:iCs w:val="0"/>
                <w:noProof/>
                <w:lang w:val="en-GB"/>
              </w:rPr>
              <w:t>6. Conclusion</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_Toc217295795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24</w:t>
            </w:r>
            <w:r w:rsidRPr="00EB412B">
              <w:rPr>
                <w:rFonts w:ascii="Arial" w:hAnsi="Arial"/>
                <w:b w:val="0"/>
                <w:bCs w:val="0"/>
                <w:i w:val="0"/>
                <w:iCs w:val="0"/>
                <w:noProof/>
                <w:webHidden/>
              </w:rPr>
              <w:fldChar w:fldCharType="end"/>
            </w:r>
          </w:hyperlink>
        </w:p>
        <w:p w14:paraId="083635CB" w14:textId="08CA76BB"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96" w:history="1">
            <w:r w:rsidRPr="00EB412B">
              <w:rPr>
                <w:rStyle w:val="Hyperlink"/>
                <w:rFonts w:ascii="Arial" w:hAnsi="Arial"/>
                <w:b w:val="0"/>
                <w:bCs w:val="0"/>
                <w:i w:val="0"/>
                <w:iCs w:val="0"/>
                <w:noProof/>
                <w:lang w:val="en-GB"/>
              </w:rPr>
              <w:t>References</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_Toc217295796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25</w:t>
            </w:r>
            <w:r w:rsidRPr="00EB412B">
              <w:rPr>
                <w:rFonts w:ascii="Arial" w:hAnsi="Arial"/>
                <w:b w:val="0"/>
                <w:bCs w:val="0"/>
                <w:i w:val="0"/>
                <w:iCs w:val="0"/>
                <w:noProof/>
                <w:webHidden/>
              </w:rPr>
              <w:fldChar w:fldCharType="end"/>
            </w:r>
          </w:hyperlink>
        </w:p>
        <w:p w14:paraId="22BA6C36" w14:textId="6ED9E428" w:rsidR="00EB412B" w:rsidRPr="00EB412B" w:rsidRDefault="00EB412B" w:rsidP="00EB412B">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5797" w:history="1">
            <w:r w:rsidRPr="00EB412B">
              <w:rPr>
                <w:rStyle w:val="Hyperlink"/>
                <w:rFonts w:ascii="Arial" w:hAnsi="Arial"/>
                <w:b w:val="0"/>
                <w:bCs w:val="0"/>
                <w:i w:val="0"/>
                <w:iCs w:val="0"/>
                <w:noProof/>
                <w:lang w:val="en-GB"/>
              </w:rPr>
              <w:t>Appendices</w:t>
            </w:r>
            <w:r w:rsidRPr="00EB412B">
              <w:rPr>
                <w:rFonts w:ascii="Arial" w:hAnsi="Arial"/>
                <w:b w:val="0"/>
                <w:bCs w:val="0"/>
                <w:i w:val="0"/>
                <w:iCs w:val="0"/>
                <w:noProof/>
                <w:webHidden/>
              </w:rPr>
              <w:tab/>
            </w:r>
            <w:r w:rsidRPr="00EB412B">
              <w:rPr>
                <w:rFonts w:ascii="Arial" w:hAnsi="Arial"/>
                <w:b w:val="0"/>
                <w:bCs w:val="0"/>
                <w:i w:val="0"/>
                <w:iCs w:val="0"/>
                <w:noProof/>
                <w:webHidden/>
              </w:rPr>
              <w:fldChar w:fldCharType="begin"/>
            </w:r>
            <w:r w:rsidRPr="00EB412B">
              <w:rPr>
                <w:rFonts w:ascii="Arial" w:hAnsi="Arial"/>
                <w:b w:val="0"/>
                <w:bCs w:val="0"/>
                <w:i w:val="0"/>
                <w:iCs w:val="0"/>
                <w:noProof/>
                <w:webHidden/>
              </w:rPr>
              <w:instrText xml:space="preserve"> PAGEREF _Toc217295797 \h </w:instrText>
            </w:r>
            <w:r w:rsidRPr="00EB412B">
              <w:rPr>
                <w:rFonts w:ascii="Arial" w:hAnsi="Arial"/>
                <w:b w:val="0"/>
                <w:bCs w:val="0"/>
                <w:i w:val="0"/>
                <w:iCs w:val="0"/>
                <w:noProof/>
                <w:webHidden/>
              </w:rPr>
            </w:r>
            <w:r w:rsidRPr="00EB412B">
              <w:rPr>
                <w:rFonts w:ascii="Arial" w:hAnsi="Arial"/>
                <w:b w:val="0"/>
                <w:bCs w:val="0"/>
                <w:i w:val="0"/>
                <w:iCs w:val="0"/>
                <w:noProof/>
                <w:webHidden/>
              </w:rPr>
              <w:fldChar w:fldCharType="separate"/>
            </w:r>
            <w:r w:rsidRPr="00EB412B">
              <w:rPr>
                <w:rFonts w:ascii="Arial" w:hAnsi="Arial"/>
                <w:b w:val="0"/>
                <w:bCs w:val="0"/>
                <w:i w:val="0"/>
                <w:iCs w:val="0"/>
                <w:noProof/>
                <w:webHidden/>
              </w:rPr>
              <w:t>30</w:t>
            </w:r>
            <w:r w:rsidRPr="00EB412B">
              <w:rPr>
                <w:rFonts w:ascii="Arial" w:hAnsi="Arial"/>
                <w:b w:val="0"/>
                <w:bCs w:val="0"/>
                <w:i w:val="0"/>
                <w:iCs w:val="0"/>
                <w:noProof/>
                <w:webHidden/>
              </w:rPr>
              <w:fldChar w:fldCharType="end"/>
            </w:r>
          </w:hyperlink>
        </w:p>
        <w:p w14:paraId="64D627AF" w14:textId="45DD8007"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8" w:history="1">
            <w:r w:rsidRPr="00EB412B">
              <w:rPr>
                <w:rStyle w:val="Hyperlink"/>
                <w:rFonts w:ascii="Arial" w:hAnsi="Arial"/>
                <w:b w:val="0"/>
                <w:bCs w:val="0"/>
                <w:noProof/>
                <w:sz w:val="24"/>
                <w:szCs w:val="24"/>
                <w:lang w:val="en-GB"/>
              </w:rPr>
              <w:t>Appendix A: Full ratio tables (5 years)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_Toc217295798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30</w:t>
            </w:r>
            <w:r w:rsidRPr="00EB412B">
              <w:rPr>
                <w:rFonts w:ascii="Arial" w:hAnsi="Arial"/>
                <w:b w:val="0"/>
                <w:bCs w:val="0"/>
                <w:noProof/>
                <w:webHidden/>
                <w:sz w:val="24"/>
                <w:szCs w:val="24"/>
              </w:rPr>
              <w:fldChar w:fldCharType="end"/>
            </w:r>
          </w:hyperlink>
        </w:p>
        <w:p w14:paraId="06BD5D23" w14:textId="5EE40FBC"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799" w:history="1">
            <w:r w:rsidRPr="00EB412B">
              <w:rPr>
                <w:rStyle w:val="Hyperlink"/>
                <w:rFonts w:ascii="Arial" w:hAnsi="Arial"/>
                <w:b w:val="0"/>
                <w:bCs w:val="0"/>
                <w:noProof/>
                <w:sz w:val="24"/>
                <w:szCs w:val="24"/>
                <w:lang w:val="en-GB"/>
              </w:rPr>
              <w:t>Appendix B: Calculation of Altman Z-Score</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_Toc217295799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31</w:t>
            </w:r>
            <w:r w:rsidRPr="00EB412B">
              <w:rPr>
                <w:rFonts w:ascii="Arial" w:hAnsi="Arial"/>
                <w:b w:val="0"/>
                <w:bCs w:val="0"/>
                <w:noProof/>
                <w:webHidden/>
                <w:sz w:val="24"/>
                <w:szCs w:val="24"/>
              </w:rPr>
              <w:fldChar w:fldCharType="end"/>
            </w:r>
          </w:hyperlink>
        </w:p>
        <w:p w14:paraId="29AAC528" w14:textId="20B8289F" w:rsidR="00EB412B" w:rsidRPr="00EB412B" w:rsidRDefault="00EB412B" w:rsidP="00EB412B">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5800" w:history="1">
            <w:r w:rsidRPr="00EB412B">
              <w:rPr>
                <w:rStyle w:val="Hyperlink"/>
                <w:rFonts w:ascii="Arial" w:hAnsi="Arial"/>
                <w:b w:val="0"/>
                <w:bCs w:val="0"/>
                <w:noProof/>
                <w:sz w:val="24"/>
                <w:szCs w:val="24"/>
                <w:lang w:val="en-GB"/>
              </w:rPr>
              <w:t>Appendix C: Investment appraisal calculations</w:t>
            </w:r>
            <w:r w:rsidRPr="00EB412B">
              <w:rPr>
                <w:rFonts w:ascii="Arial" w:hAnsi="Arial"/>
                <w:b w:val="0"/>
                <w:bCs w:val="0"/>
                <w:noProof/>
                <w:webHidden/>
                <w:sz w:val="24"/>
                <w:szCs w:val="24"/>
              </w:rPr>
              <w:tab/>
            </w:r>
            <w:r w:rsidRPr="00EB412B">
              <w:rPr>
                <w:rFonts w:ascii="Arial" w:hAnsi="Arial"/>
                <w:b w:val="0"/>
                <w:bCs w:val="0"/>
                <w:noProof/>
                <w:webHidden/>
                <w:sz w:val="24"/>
                <w:szCs w:val="24"/>
              </w:rPr>
              <w:fldChar w:fldCharType="begin"/>
            </w:r>
            <w:r w:rsidRPr="00EB412B">
              <w:rPr>
                <w:rFonts w:ascii="Arial" w:hAnsi="Arial"/>
                <w:b w:val="0"/>
                <w:bCs w:val="0"/>
                <w:noProof/>
                <w:webHidden/>
                <w:sz w:val="24"/>
                <w:szCs w:val="24"/>
              </w:rPr>
              <w:instrText xml:space="preserve"> PAGEREF _Toc217295800 \h </w:instrText>
            </w:r>
            <w:r w:rsidRPr="00EB412B">
              <w:rPr>
                <w:rFonts w:ascii="Arial" w:hAnsi="Arial"/>
                <w:b w:val="0"/>
                <w:bCs w:val="0"/>
                <w:noProof/>
                <w:webHidden/>
                <w:sz w:val="24"/>
                <w:szCs w:val="24"/>
              </w:rPr>
            </w:r>
            <w:r w:rsidRPr="00EB412B">
              <w:rPr>
                <w:rFonts w:ascii="Arial" w:hAnsi="Arial"/>
                <w:b w:val="0"/>
                <w:bCs w:val="0"/>
                <w:noProof/>
                <w:webHidden/>
                <w:sz w:val="24"/>
                <w:szCs w:val="24"/>
              </w:rPr>
              <w:fldChar w:fldCharType="separate"/>
            </w:r>
            <w:r w:rsidRPr="00EB412B">
              <w:rPr>
                <w:rFonts w:ascii="Arial" w:hAnsi="Arial"/>
                <w:b w:val="0"/>
                <w:bCs w:val="0"/>
                <w:noProof/>
                <w:webHidden/>
                <w:sz w:val="24"/>
                <w:szCs w:val="24"/>
              </w:rPr>
              <w:t>35</w:t>
            </w:r>
            <w:r w:rsidRPr="00EB412B">
              <w:rPr>
                <w:rFonts w:ascii="Arial" w:hAnsi="Arial"/>
                <w:b w:val="0"/>
                <w:bCs w:val="0"/>
                <w:noProof/>
                <w:webHidden/>
                <w:sz w:val="24"/>
                <w:szCs w:val="24"/>
              </w:rPr>
              <w:fldChar w:fldCharType="end"/>
            </w:r>
          </w:hyperlink>
        </w:p>
        <w:p w14:paraId="0471154B" w14:textId="175A6746" w:rsidR="00232D6E" w:rsidRPr="00EB412B" w:rsidRDefault="00232D6E" w:rsidP="00EB412B">
          <w:pPr>
            <w:spacing w:before="120"/>
          </w:pPr>
          <w:r w:rsidRPr="00EB412B">
            <w:rPr>
              <w:noProof/>
              <w:color w:val="000000" w:themeColor="text1"/>
            </w:rPr>
            <w:fldChar w:fldCharType="end"/>
          </w:r>
        </w:p>
      </w:sdtContent>
    </w:sdt>
    <w:p w14:paraId="014A7DF2" w14:textId="77777777" w:rsidR="00714BE2" w:rsidRPr="00EB412B" w:rsidRDefault="00000000" w:rsidP="00EB412B">
      <w:pPr>
        <w:pStyle w:val="Title"/>
        <w:rPr>
          <w:sz w:val="24"/>
          <w:szCs w:val="24"/>
          <w:lang w:val="en-GB"/>
        </w:rPr>
      </w:pPr>
      <w:r w:rsidRPr="00EB412B">
        <w:rPr>
          <w:lang w:val="en-GB"/>
        </w:rPr>
        <w:br w:type="page"/>
      </w:r>
    </w:p>
    <w:p w14:paraId="21CE5A06" w14:textId="77777777" w:rsidR="00714BE2" w:rsidRPr="00EB412B" w:rsidRDefault="00000000" w:rsidP="00EB412B">
      <w:pPr>
        <w:pStyle w:val="Heading1"/>
        <w:rPr>
          <w:lang w:val="en-GB"/>
        </w:rPr>
      </w:pPr>
      <w:bookmarkStart w:id="4" w:name="_a796t7c6a6lg" w:colFirst="0" w:colLast="0"/>
      <w:bookmarkStart w:id="5" w:name="_Toc217295763"/>
      <w:bookmarkEnd w:id="4"/>
      <w:r w:rsidRPr="00EB412B">
        <w:rPr>
          <w:lang w:val="en-GB"/>
        </w:rPr>
        <w:lastRenderedPageBreak/>
        <w:t>1. Introduction</w:t>
      </w:r>
      <w:bookmarkEnd w:id="5"/>
    </w:p>
    <w:p w14:paraId="046058FF" w14:textId="77777777" w:rsidR="00714BE2" w:rsidRPr="00EB412B" w:rsidRDefault="00000000" w:rsidP="00EB412B">
      <w:pPr>
        <w:pStyle w:val="Heading2"/>
        <w:rPr>
          <w:lang w:val="en-GB"/>
        </w:rPr>
      </w:pPr>
      <w:bookmarkStart w:id="6" w:name="_vlf80z4xi552" w:colFirst="0" w:colLast="0"/>
      <w:bookmarkStart w:id="7" w:name="_Toc217295764"/>
      <w:bookmarkEnd w:id="6"/>
      <w:r w:rsidRPr="00EB412B">
        <w:rPr>
          <w:lang w:val="en-GB"/>
        </w:rPr>
        <w:t>1.1 Background of General Electronics</w:t>
      </w:r>
      <w:bookmarkEnd w:id="7"/>
    </w:p>
    <w:p w14:paraId="7F42F22E" w14:textId="77777777" w:rsidR="00714BE2" w:rsidRPr="00EB412B" w:rsidRDefault="00000000" w:rsidP="00EB412B">
      <w:pPr>
        <w:rPr>
          <w:lang w:val="en-GB"/>
        </w:rPr>
      </w:pPr>
      <w:r w:rsidRPr="00EB412B">
        <w:rPr>
          <w:lang w:val="en-GB"/>
        </w:rPr>
        <w:t>General Electronics is a company in the consumer electronics segment of the global market, a competitive arena where technology is rapidly evolving, and margins are under constant pressure. The high level of short product life cycles and continuous innovation necessities compel companies to make huge investments in research and development and supply chain efficiency, and at the same time, compete based on price. As the markets grow more mature, the demand is less active, and the competition becomes more active, which raises the risk of overcapacity and reduced profitability. In this context, multinational companies like General Electronics should be financially resilient enough to absorb market shocks, dealership of currency risks, inflation risks and long-term competitive operations in geographically diverse operations.</w:t>
      </w:r>
    </w:p>
    <w:p w14:paraId="4651D877" w14:textId="77777777" w:rsidR="00714BE2" w:rsidRPr="00EB412B" w:rsidRDefault="00000000" w:rsidP="00EB412B">
      <w:pPr>
        <w:pStyle w:val="Heading2"/>
        <w:rPr>
          <w:lang w:val="en-GB"/>
        </w:rPr>
      </w:pPr>
      <w:bookmarkStart w:id="8" w:name="_qp0sij2ei8uj" w:colFirst="0" w:colLast="0"/>
      <w:bookmarkStart w:id="9" w:name="_Toc217295765"/>
      <w:bookmarkEnd w:id="8"/>
      <w:r w:rsidRPr="00EB412B">
        <w:rPr>
          <w:lang w:val="en-GB"/>
        </w:rPr>
        <w:t>1.2 Role of the CFO in Corporate Turnarounds</w:t>
      </w:r>
      <w:bookmarkEnd w:id="9"/>
    </w:p>
    <w:p w14:paraId="4CEA384D" w14:textId="2B35BEF7" w:rsidR="00714BE2" w:rsidRPr="00EB412B" w:rsidRDefault="00000000" w:rsidP="00EB412B">
      <w:pPr>
        <w:rPr>
          <w:lang w:val="en-GB"/>
        </w:rPr>
      </w:pPr>
      <w:r w:rsidRPr="00EB412B">
        <w:rPr>
          <w:lang w:val="en-GB"/>
        </w:rPr>
        <w:t xml:space="preserve">The Chief Financial Officer is a key strategic figure in the case of corporate turnaround. </w:t>
      </w:r>
      <w:r w:rsidR="00241BBA" w:rsidRPr="00EB412B">
        <w:rPr>
          <w:lang w:val="en-GB"/>
        </w:rPr>
        <w:t xml:space="preserve">As per </w:t>
      </w:r>
      <w:r w:rsidR="00241BBA" w:rsidRPr="00EB412B">
        <w:t>Tangpong</w:t>
      </w:r>
      <w:r w:rsidR="00241BBA" w:rsidRPr="00EB412B">
        <w:rPr>
          <w:lang w:val="en-GB"/>
        </w:rPr>
        <w:t xml:space="preserve"> et al. (2025), t</w:t>
      </w:r>
      <w:r w:rsidRPr="00EB412B">
        <w:rPr>
          <w:lang w:val="en-GB"/>
        </w:rPr>
        <w:t xml:space="preserve">he CFO will have the responsibility to run a serious financial diagnosis to find the real causes of the decline and determine the actual financial situation of the firm. Maintaining liquidity becomes a priority as the stability in the cash flows is a necessary factor to sustain the operations and confidence of the stakeholders. Further, the CFO is at the forefront of making capital allocation and restructuring decisions so that limited financial resources are </w:t>
      </w:r>
      <w:r w:rsidR="00C703B9" w:rsidRPr="00EB412B">
        <w:rPr>
          <w:lang w:val="en-GB"/>
        </w:rPr>
        <w:t>channelled</w:t>
      </w:r>
      <w:r w:rsidRPr="00EB412B">
        <w:rPr>
          <w:lang w:val="en-GB"/>
        </w:rPr>
        <w:t xml:space="preserve"> towards value-preserving activities as well as restoring balance-sheet strength and alleviating financial risk.</w:t>
      </w:r>
    </w:p>
    <w:p w14:paraId="507ED177" w14:textId="77777777" w:rsidR="00714BE2" w:rsidRPr="00EB412B" w:rsidRDefault="00000000" w:rsidP="00EB412B">
      <w:pPr>
        <w:pStyle w:val="Heading2"/>
        <w:rPr>
          <w:lang w:val="en-GB"/>
        </w:rPr>
      </w:pPr>
      <w:bookmarkStart w:id="10" w:name="_ueayq94mzvwy" w:colFirst="0" w:colLast="0"/>
      <w:bookmarkStart w:id="11" w:name="_Toc217295766"/>
      <w:bookmarkEnd w:id="10"/>
      <w:r w:rsidRPr="00EB412B">
        <w:rPr>
          <w:lang w:val="en-GB"/>
        </w:rPr>
        <w:t>1.3 Objectives and Scope of the Report</w:t>
      </w:r>
      <w:bookmarkEnd w:id="11"/>
    </w:p>
    <w:p w14:paraId="2C36A6DC" w14:textId="77777777" w:rsidR="00714BE2" w:rsidRPr="00EB412B" w:rsidRDefault="00000000" w:rsidP="00EB412B">
      <w:pPr>
        <w:rPr>
          <w:lang w:val="en-GB"/>
        </w:rPr>
      </w:pPr>
      <w:r w:rsidRPr="00EB412B">
        <w:rPr>
          <w:lang w:val="en-GB"/>
        </w:rPr>
        <w:t>This report aims to evaluate the year's financial performance of General Electronics based on its income statements, balance sheets and cash flow statements. The report also provides the fundamental financial and strategic issues facing the firm and a turnaround plan that is cost-effective, ethical, and capable of operating at a global level. It also analyses competing capital investment, where there is capital rationing, and this is meant to help in long-term recovery.</w:t>
      </w:r>
    </w:p>
    <w:p w14:paraId="5E96416E" w14:textId="77777777" w:rsidR="00C703B9" w:rsidRPr="00EB412B" w:rsidRDefault="00C703B9" w:rsidP="00EB412B">
      <w:pPr>
        <w:rPr>
          <w:b/>
          <w:bCs/>
          <w:lang w:val="en-GB"/>
        </w:rPr>
      </w:pPr>
      <w:bookmarkStart w:id="12" w:name="_75mrg6x04jx9" w:colFirst="0" w:colLast="0"/>
      <w:bookmarkEnd w:id="12"/>
      <w:r w:rsidRPr="00EB412B">
        <w:rPr>
          <w:lang w:val="en-GB"/>
        </w:rPr>
        <w:br w:type="page"/>
      </w:r>
    </w:p>
    <w:p w14:paraId="47AC1D96" w14:textId="15865C79" w:rsidR="00714BE2" w:rsidRPr="00EB412B" w:rsidRDefault="00000000" w:rsidP="00EB412B">
      <w:pPr>
        <w:pStyle w:val="Heading1"/>
        <w:rPr>
          <w:lang w:val="en-GB"/>
        </w:rPr>
      </w:pPr>
      <w:bookmarkStart w:id="13" w:name="_Toc217295767"/>
      <w:r w:rsidRPr="00EB412B">
        <w:rPr>
          <w:lang w:val="en-GB"/>
        </w:rPr>
        <w:lastRenderedPageBreak/>
        <w:t>2. Financial Health Check</w:t>
      </w:r>
      <w:bookmarkEnd w:id="13"/>
    </w:p>
    <w:p w14:paraId="30F7F143" w14:textId="77777777" w:rsidR="00714BE2" w:rsidRPr="00EB412B" w:rsidRDefault="00000000" w:rsidP="00EB412B">
      <w:pPr>
        <w:pStyle w:val="Heading2"/>
        <w:rPr>
          <w:lang w:val="en-GB"/>
        </w:rPr>
      </w:pPr>
      <w:bookmarkStart w:id="14" w:name="_pukfmjn92qo5" w:colFirst="0" w:colLast="0"/>
      <w:bookmarkStart w:id="15" w:name="_Toc217295768"/>
      <w:bookmarkEnd w:id="14"/>
      <w:r w:rsidRPr="00EB412B">
        <w:rPr>
          <w:lang w:val="en-GB"/>
        </w:rPr>
        <w:t>2.1 Revenue and Profitability Analysis</w:t>
      </w:r>
      <w:bookmarkEnd w:id="15"/>
    </w:p>
    <w:p w14:paraId="6E18C993" w14:textId="35066851" w:rsidR="003C7FB3" w:rsidRPr="00EB412B" w:rsidRDefault="003C7FB3" w:rsidP="00EB412B">
      <w:pPr>
        <w:rPr>
          <w:b/>
          <w:bCs/>
          <w:i/>
          <w:iCs/>
          <w:lang w:val="en-GB"/>
        </w:rPr>
      </w:pPr>
      <w:r w:rsidRPr="00EB412B">
        <w:rPr>
          <w:b/>
          <w:bCs/>
          <w:i/>
          <w:iCs/>
          <w:lang w:val="en-GB"/>
        </w:rPr>
        <w:t>[Refer to Appendix A for ratio calculations]</w:t>
      </w:r>
    </w:p>
    <w:p w14:paraId="1B9469E1" w14:textId="77777777" w:rsidR="003C7FB3" w:rsidRPr="00EB412B" w:rsidRDefault="003C7FB3" w:rsidP="00EB412B">
      <w:pPr>
        <w:rPr>
          <w:b/>
          <w:bCs/>
          <w:i/>
          <w:iCs/>
          <w:lang w:val="en-GB"/>
        </w:rPr>
      </w:pPr>
    </w:p>
    <w:p w14:paraId="32EF7527" w14:textId="77777777" w:rsidR="00714BE2" w:rsidRPr="00EB412B" w:rsidRDefault="00000000" w:rsidP="00EB412B">
      <w:pPr>
        <w:rPr>
          <w:b/>
          <w:bCs/>
          <w:i/>
          <w:iCs/>
          <w:lang w:val="en-GB"/>
        </w:rPr>
      </w:pPr>
      <w:r w:rsidRPr="00EB412B">
        <w:rPr>
          <w:b/>
          <w:bCs/>
          <w:i/>
          <w:iCs/>
          <w:lang w:val="en-GB"/>
        </w:rPr>
        <w:t>Gross Margin</w:t>
      </w:r>
    </w:p>
    <w:p w14:paraId="276E1C88" w14:textId="6633A229" w:rsidR="00714BE2" w:rsidRPr="00EB412B" w:rsidRDefault="00407EEC" w:rsidP="00EB412B">
      <w:pPr>
        <w:jc w:val="center"/>
        <w:rPr>
          <w:lang w:val="en-GB"/>
        </w:rPr>
      </w:pPr>
      <w:r w:rsidRPr="00EB412B">
        <w:rPr>
          <w:noProof/>
        </w:rPr>
        <w:drawing>
          <wp:inline distT="0" distB="0" distL="0" distR="0" wp14:anchorId="65E0DA3B" wp14:editId="3D479845">
            <wp:extent cx="5586413" cy="3490913"/>
            <wp:effectExtent l="0" t="0" r="14605" b="14605"/>
            <wp:docPr id="723167842" name="Chart 1">
              <a:extLst xmlns:a="http://schemas.openxmlformats.org/drawingml/2006/main">
                <a:ext uri="{FF2B5EF4-FFF2-40B4-BE49-F238E27FC236}">
                  <a16:creationId xmlns:a16="http://schemas.microsoft.com/office/drawing/2014/main" id="{7A9E1CEA-7128-9986-4266-2AA8C77B79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494C32" w14:textId="77777777" w:rsidR="00714BE2" w:rsidRPr="00EB412B" w:rsidRDefault="00000000" w:rsidP="00EB412B">
      <w:pPr>
        <w:jc w:val="center"/>
        <w:rPr>
          <w:b/>
          <w:bCs/>
          <w:lang w:val="en-GB"/>
        </w:rPr>
      </w:pPr>
      <w:r w:rsidRPr="00EB412B">
        <w:rPr>
          <w:b/>
          <w:bCs/>
          <w:lang w:val="en-GB"/>
        </w:rPr>
        <w:t>Figure 1: Gross Profit Margin Trend Line</w:t>
      </w:r>
    </w:p>
    <w:p w14:paraId="04FCFC40" w14:textId="77777777" w:rsidR="00714BE2" w:rsidRPr="00EB412B" w:rsidRDefault="00000000" w:rsidP="00EB412B">
      <w:pPr>
        <w:jc w:val="center"/>
        <w:rPr>
          <w:lang w:val="en-GB"/>
        </w:rPr>
      </w:pPr>
      <w:r w:rsidRPr="00EB412B">
        <w:rPr>
          <w:lang w:val="en-GB"/>
        </w:rPr>
        <w:t>(Source: Self-Created)</w:t>
      </w:r>
    </w:p>
    <w:p w14:paraId="7865CDCE" w14:textId="41A9FB14" w:rsidR="00714BE2" w:rsidRPr="00EB412B" w:rsidRDefault="00000000" w:rsidP="00EB412B">
      <w:pPr>
        <w:rPr>
          <w:lang w:val="en-GB"/>
        </w:rPr>
      </w:pPr>
      <w:r w:rsidRPr="00EB412B">
        <w:rPr>
          <w:lang w:val="en-GB"/>
        </w:rPr>
        <w:t>The gross margin of General Electronics shows a high level of volatility in five years, which is a sign of uncertainty in the cost control and price efficiency. This margin decreased to 23.20% in 2023</w:t>
      </w:r>
      <w:r w:rsidR="00407EEC" w:rsidRPr="00EB412B">
        <w:rPr>
          <w:lang w:val="en-GB"/>
        </w:rPr>
        <w:t>, as</w:t>
      </w:r>
      <w:r w:rsidRPr="00EB412B">
        <w:rPr>
          <w:lang w:val="en-GB"/>
        </w:rPr>
        <w:t xml:space="preserve"> compared to 28.67% in 2020</w:t>
      </w:r>
      <w:r w:rsidR="00407EEC" w:rsidRPr="00EB412B">
        <w:rPr>
          <w:lang w:val="en-GB"/>
        </w:rPr>
        <w:t xml:space="preserve">. This </w:t>
      </w:r>
      <w:r w:rsidRPr="00EB412B">
        <w:rPr>
          <w:lang w:val="en-GB"/>
        </w:rPr>
        <w:t xml:space="preserve">is due to increasing production costs and diminishing pricing power in a very competitive consumer electronics industry. Even though there is a partial recovery of 28.87% in 2024, this seems a shaky improvement as opposed to a structural one. The recovery is probably due to the short-term cost-cutting and inventory optimisation instead of long-term operational productivity. </w:t>
      </w:r>
      <w:r w:rsidR="00241BBA" w:rsidRPr="00EB412B">
        <w:rPr>
          <w:lang w:val="en-GB"/>
        </w:rPr>
        <w:t>According to Forstner et al., (2025), t</w:t>
      </w:r>
      <w:r w:rsidRPr="00EB412B">
        <w:rPr>
          <w:lang w:val="en-GB"/>
        </w:rPr>
        <w:t>his instability of the margin is an indication that the company does not enjoy consistent economies of scale and is subjected to price competition</w:t>
      </w:r>
      <w:r w:rsidR="00241BBA" w:rsidRPr="00EB412B">
        <w:rPr>
          <w:lang w:val="en-GB"/>
        </w:rPr>
        <w:t xml:space="preserve">. This </w:t>
      </w:r>
      <w:r w:rsidRPr="00EB412B">
        <w:rPr>
          <w:lang w:val="en-GB"/>
        </w:rPr>
        <w:t>is</w:t>
      </w:r>
      <w:r w:rsidR="00241BBA" w:rsidRPr="00EB412B">
        <w:rPr>
          <w:lang w:val="en-GB"/>
        </w:rPr>
        <w:t>, therefore,</w:t>
      </w:r>
      <w:r w:rsidRPr="00EB412B">
        <w:rPr>
          <w:lang w:val="en-GB"/>
        </w:rPr>
        <w:t xml:space="preserve"> characteristic of companies that work in low-growth and mature markets.</w:t>
      </w:r>
    </w:p>
    <w:p w14:paraId="215C3E00" w14:textId="458FC145" w:rsidR="00714BE2" w:rsidRPr="00EB412B" w:rsidRDefault="00000000" w:rsidP="00EB412B">
      <w:pPr>
        <w:rPr>
          <w:b/>
          <w:bCs/>
          <w:i/>
          <w:iCs/>
          <w:lang w:val="en-GB"/>
        </w:rPr>
      </w:pPr>
      <w:r w:rsidRPr="00EB412B">
        <w:rPr>
          <w:b/>
          <w:bCs/>
          <w:i/>
          <w:iCs/>
          <w:lang w:val="en-GB"/>
        </w:rPr>
        <w:t>Operating Margin</w:t>
      </w:r>
    </w:p>
    <w:p w14:paraId="4FD1A56D" w14:textId="480FF364" w:rsidR="00147693" w:rsidRPr="00EB412B" w:rsidRDefault="00147693" w:rsidP="00EB412B">
      <w:pPr>
        <w:jc w:val="center"/>
        <w:rPr>
          <w:lang w:val="en-GB"/>
        </w:rPr>
      </w:pPr>
      <w:r w:rsidRPr="00EB412B">
        <w:rPr>
          <w:noProof/>
        </w:rPr>
        <w:lastRenderedPageBreak/>
        <w:drawing>
          <wp:inline distT="0" distB="0" distL="0" distR="0" wp14:anchorId="26F92E7A" wp14:editId="65C2FE5B">
            <wp:extent cx="5653088" cy="3419475"/>
            <wp:effectExtent l="0" t="0" r="5080" b="9525"/>
            <wp:docPr id="133182723" name="Chart 1">
              <a:extLst xmlns:a="http://schemas.openxmlformats.org/drawingml/2006/main">
                <a:ext uri="{FF2B5EF4-FFF2-40B4-BE49-F238E27FC236}">
                  <a16:creationId xmlns:a16="http://schemas.microsoft.com/office/drawing/2014/main" id="{D8D7A0A4-D14C-F274-BEEA-64210B7A30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C3550C" w14:textId="77777777" w:rsidR="00714BE2" w:rsidRPr="00EB412B" w:rsidRDefault="00000000" w:rsidP="00EB412B">
      <w:pPr>
        <w:jc w:val="center"/>
        <w:rPr>
          <w:b/>
          <w:bCs/>
          <w:lang w:val="en-GB"/>
        </w:rPr>
      </w:pPr>
      <w:r w:rsidRPr="00EB412B">
        <w:rPr>
          <w:b/>
          <w:bCs/>
          <w:lang w:val="en-GB"/>
        </w:rPr>
        <w:t>Figure 2: Operating Margin Trend Line</w:t>
      </w:r>
    </w:p>
    <w:p w14:paraId="62A29F66" w14:textId="77777777" w:rsidR="00714BE2" w:rsidRPr="00EB412B" w:rsidRDefault="00000000" w:rsidP="00EB412B">
      <w:pPr>
        <w:jc w:val="center"/>
        <w:rPr>
          <w:lang w:val="en-GB"/>
        </w:rPr>
      </w:pPr>
      <w:r w:rsidRPr="00EB412B">
        <w:rPr>
          <w:lang w:val="en-GB"/>
        </w:rPr>
        <w:t>(Source: Self-Created)</w:t>
      </w:r>
    </w:p>
    <w:p w14:paraId="13C9F76E" w14:textId="77777777" w:rsidR="00714BE2" w:rsidRPr="00EB412B" w:rsidRDefault="00000000" w:rsidP="00EB412B">
      <w:pPr>
        <w:rPr>
          <w:lang w:val="en-GB"/>
        </w:rPr>
      </w:pPr>
      <w:r w:rsidRPr="00EB412B">
        <w:rPr>
          <w:lang w:val="en-GB"/>
        </w:rPr>
        <w:t>The trend of operating margin points out more structural weaknesses. This margin went down in 2021 to 3.87% (a negative of 20.29) after being positive at 6.06% in 2020. Whilst a slight improvement to the -3.87% in 2024 is observable, the company is still making losses at the operating level. This continued weakness shows that the operating expenses have not varied sufficiently with the deteriorating revenues. The fixed costs that are entrenched in the manufacturing, administration, and systems of distribution throughout the globe seem to be inflexible, restricting the management in responding promptly to a decrease in revenue. The long history of operating losses usually indicates late turnaround measures and unsuccessful cost structuring (Gribnitz et al., 2025).</w:t>
      </w:r>
    </w:p>
    <w:p w14:paraId="394BE917" w14:textId="67868E00" w:rsidR="00714BE2" w:rsidRPr="00EB412B" w:rsidRDefault="00000000" w:rsidP="00EB412B">
      <w:pPr>
        <w:rPr>
          <w:b/>
          <w:bCs/>
          <w:i/>
          <w:iCs/>
          <w:lang w:val="en-GB"/>
        </w:rPr>
      </w:pPr>
      <w:r w:rsidRPr="00EB412B">
        <w:rPr>
          <w:b/>
          <w:bCs/>
          <w:i/>
          <w:iCs/>
          <w:lang w:val="en-GB"/>
        </w:rPr>
        <w:t>Net Margin</w:t>
      </w:r>
    </w:p>
    <w:p w14:paraId="45641E15" w14:textId="6A0C969B" w:rsidR="00F961C4" w:rsidRPr="00EB412B" w:rsidRDefault="00F961C4" w:rsidP="00EB412B">
      <w:pPr>
        <w:jc w:val="center"/>
        <w:rPr>
          <w:lang w:val="en-GB"/>
        </w:rPr>
      </w:pPr>
      <w:r w:rsidRPr="00EB412B">
        <w:rPr>
          <w:noProof/>
        </w:rPr>
        <w:lastRenderedPageBreak/>
        <w:drawing>
          <wp:inline distT="0" distB="0" distL="0" distR="0" wp14:anchorId="7FFAA57A" wp14:editId="1AC054DB">
            <wp:extent cx="5443538" cy="3276600"/>
            <wp:effectExtent l="0" t="0" r="5080" b="0"/>
            <wp:docPr id="2061470986" name="Chart 1">
              <a:extLst xmlns:a="http://schemas.openxmlformats.org/drawingml/2006/main">
                <a:ext uri="{FF2B5EF4-FFF2-40B4-BE49-F238E27FC236}">
                  <a16:creationId xmlns:a16="http://schemas.microsoft.com/office/drawing/2014/main" id="{92F428B7-9620-EA1C-2AAE-C233C17406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39F085" w14:textId="77777777" w:rsidR="00714BE2" w:rsidRPr="00EB412B" w:rsidRDefault="00000000" w:rsidP="00EB412B">
      <w:pPr>
        <w:jc w:val="center"/>
        <w:rPr>
          <w:b/>
          <w:bCs/>
          <w:lang w:val="en-GB"/>
        </w:rPr>
      </w:pPr>
      <w:r w:rsidRPr="00EB412B">
        <w:rPr>
          <w:b/>
          <w:bCs/>
          <w:lang w:val="en-GB"/>
        </w:rPr>
        <w:t>Figure 3: Net Margin Trend Line</w:t>
      </w:r>
    </w:p>
    <w:p w14:paraId="39CCFE00" w14:textId="77777777" w:rsidR="00714BE2" w:rsidRPr="00EB412B" w:rsidRDefault="00000000" w:rsidP="00EB412B">
      <w:pPr>
        <w:jc w:val="center"/>
        <w:rPr>
          <w:lang w:val="en-GB"/>
        </w:rPr>
      </w:pPr>
      <w:r w:rsidRPr="00EB412B">
        <w:rPr>
          <w:lang w:val="en-GB"/>
        </w:rPr>
        <w:t>(Source: Self-Created)</w:t>
      </w:r>
    </w:p>
    <w:p w14:paraId="08391E1F" w14:textId="470D7DE2" w:rsidR="00714BE2" w:rsidRPr="00EB412B" w:rsidRDefault="00F97368" w:rsidP="00EB412B">
      <w:pPr>
        <w:rPr>
          <w:lang w:val="en-GB"/>
        </w:rPr>
      </w:pPr>
      <w:r w:rsidRPr="00EB412B">
        <w:rPr>
          <w:lang w:val="en-GB"/>
        </w:rPr>
        <w:t xml:space="preserve">As per Nguyen Thi et al. (2025), continuous negative net margins lower retained earnings and deter the firm's capacity to expand by investing in future without external financing. The financial distress is also compounded by the performance of the net margin. The net margin also decreased to 6.28% in 2020 and then to -23.36% in 2023, and then marginally to -6.09% in 2024. The further decline compared to the operating margin indicates that operating inefficiencies have been amplified with the help of financing costs, asset impairments, and non-operating charges. The size of losses shows that General Electronics can no longer afford to pay for its own profitability to support its capital structure. </w:t>
      </w:r>
    </w:p>
    <w:p w14:paraId="12452FC1" w14:textId="77777777" w:rsidR="00714BE2" w:rsidRPr="00EB412B" w:rsidRDefault="00000000" w:rsidP="00EB412B">
      <w:pPr>
        <w:rPr>
          <w:b/>
          <w:bCs/>
          <w:i/>
          <w:iCs/>
          <w:lang w:val="en-GB"/>
        </w:rPr>
      </w:pPr>
      <w:r w:rsidRPr="00EB412B">
        <w:rPr>
          <w:b/>
          <w:bCs/>
          <w:i/>
          <w:iCs/>
          <w:lang w:val="en-GB"/>
        </w:rPr>
        <w:t>Return on Assets (ROA)</w:t>
      </w:r>
    </w:p>
    <w:p w14:paraId="0345C434" w14:textId="7A576C20" w:rsidR="00714BE2" w:rsidRPr="00EB412B" w:rsidRDefault="00714BE2" w:rsidP="00EB412B">
      <w:pPr>
        <w:jc w:val="center"/>
        <w:rPr>
          <w:lang w:val="en-GB"/>
        </w:rPr>
      </w:pPr>
    </w:p>
    <w:p w14:paraId="609DC707" w14:textId="06A74DE3" w:rsidR="00C66AAB" w:rsidRPr="00EB412B" w:rsidRDefault="00C66AAB" w:rsidP="00EB412B">
      <w:pPr>
        <w:jc w:val="center"/>
        <w:rPr>
          <w:lang w:val="en-GB"/>
        </w:rPr>
      </w:pPr>
      <w:r w:rsidRPr="00EB412B">
        <w:rPr>
          <w:noProof/>
        </w:rPr>
        <w:lastRenderedPageBreak/>
        <w:drawing>
          <wp:inline distT="0" distB="0" distL="0" distR="0" wp14:anchorId="5B63B31D" wp14:editId="2A828A66">
            <wp:extent cx="5381625" cy="3157538"/>
            <wp:effectExtent l="0" t="0" r="9525" b="5080"/>
            <wp:docPr id="464768994" name="Chart 1">
              <a:extLst xmlns:a="http://schemas.openxmlformats.org/drawingml/2006/main">
                <a:ext uri="{FF2B5EF4-FFF2-40B4-BE49-F238E27FC236}">
                  <a16:creationId xmlns:a16="http://schemas.microsoft.com/office/drawing/2014/main" id="{1B426134-823C-40FC-0402-E22EA1A2DB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6849E23" w14:textId="77777777" w:rsidR="00714BE2" w:rsidRPr="00EB412B" w:rsidRDefault="00000000" w:rsidP="00EB412B">
      <w:pPr>
        <w:jc w:val="center"/>
        <w:rPr>
          <w:b/>
          <w:bCs/>
          <w:lang w:val="en-GB"/>
        </w:rPr>
      </w:pPr>
      <w:r w:rsidRPr="00EB412B">
        <w:rPr>
          <w:b/>
          <w:bCs/>
          <w:lang w:val="en-GB"/>
        </w:rPr>
        <w:t>Figure 4: ROA Trend Line</w:t>
      </w:r>
    </w:p>
    <w:p w14:paraId="48B374BE" w14:textId="77777777" w:rsidR="00714BE2" w:rsidRPr="00EB412B" w:rsidRDefault="00000000" w:rsidP="00EB412B">
      <w:pPr>
        <w:jc w:val="center"/>
        <w:rPr>
          <w:lang w:val="en-GB"/>
        </w:rPr>
      </w:pPr>
      <w:r w:rsidRPr="00EB412B">
        <w:rPr>
          <w:lang w:val="en-GB"/>
        </w:rPr>
        <w:t>(Source: Self-Created)</w:t>
      </w:r>
    </w:p>
    <w:p w14:paraId="27926734" w14:textId="77777777" w:rsidR="00714BE2" w:rsidRPr="00EB412B" w:rsidRDefault="00000000" w:rsidP="00EB412B">
      <w:pPr>
        <w:rPr>
          <w:lang w:val="en-GB"/>
        </w:rPr>
      </w:pPr>
      <w:r w:rsidRPr="00EB412B">
        <w:rPr>
          <w:lang w:val="en-GB"/>
        </w:rPr>
        <w:t>In 2020, ROA declined to -27.60 in 2023 and went up to -7.43 in 2024. This downward trend is indicative of decreasing efficiency in utilising the assets of the firm to earn earnings. The earnings growth has decreased significantly more than the total assets due to impairments and disposals. Negative ROA shows that assets are not making their returns but instead making losses, which is a cause of poor alignment between asset organisation and market demand. This ineffectiveness implies the excess capacity and obsolete production resources that could no longer provide a competitive advantage (Potharla, 2025).</w:t>
      </w:r>
    </w:p>
    <w:p w14:paraId="368E08FD" w14:textId="77777777" w:rsidR="00714BE2" w:rsidRPr="00EB412B" w:rsidRDefault="00000000" w:rsidP="00EB412B">
      <w:pPr>
        <w:rPr>
          <w:b/>
          <w:bCs/>
          <w:i/>
          <w:iCs/>
          <w:lang w:val="en-GB"/>
        </w:rPr>
      </w:pPr>
      <w:r w:rsidRPr="00EB412B">
        <w:rPr>
          <w:b/>
          <w:bCs/>
          <w:i/>
          <w:iCs/>
          <w:lang w:val="en-GB"/>
        </w:rPr>
        <w:t>Return on Equity (ROE)</w:t>
      </w:r>
    </w:p>
    <w:p w14:paraId="01FB9640" w14:textId="72A0DD79" w:rsidR="00714BE2" w:rsidRPr="00EB412B" w:rsidRDefault="00E6109C" w:rsidP="00EB412B">
      <w:pPr>
        <w:jc w:val="center"/>
        <w:rPr>
          <w:lang w:val="en-GB"/>
        </w:rPr>
      </w:pPr>
      <w:r w:rsidRPr="00EB412B">
        <w:rPr>
          <w:noProof/>
        </w:rPr>
        <w:lastRenderedPageBreak/>
        <w:drawing>
          <wp:inline distT="0" distB="0" distL="0" distR="0" wp14:anchorId="205D6EAF" wp14:editId="7DE41965">
            <wp:extent cx="5624195" cy="3295650"/>
            <wp:effectExtent l="0" t="0" r="14605" b="0"/>
            <wp:docPr id="272588631" name="Chart 1">
              <a:extLst xmlns:a="http://schemas.openxmlformats.org/drawingml/2006/main">
                <a:ext uri="{FF2B5EF4-FFF2-40B4-BE49-F238E27FC236}">
                  <a16:creationId xmlns:a16="http://schemas.microsoft.com/office/drawing/2014/main" id="{ED3D312D-0E3B-E84C-AD9A-82ABFE213F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BBFBB8A" w14:textId="77777777" w:rsidR="00714BE2" w:rsidRPr="00EB412B" w:rsidRDefault="00000000" w:rsidP="00EB412B">
      <w:pPr>
        <w:jc w:val="center"/>
        <w:rPr>
          <w:b/>
          <w:bCs/>
          <w:lang w:val="en-GB"/>
        </w:rPr>
      </w:pPr>
      <w:r w:rsidRPr="00EB412B">
        <w:rPr>
          <w:b/>
          <w:bCs/>
          <w:lang w:val="en-GB"/>
        </w:rPr>
        <w:t>Figure 5: ROE Trend Line</w:t>
      </w:r>
    </w:p>
    <w:p w14:paraId="758A7001" w14:textId="77777777" w:rsidR="00714BE2" w:rsidRPr="00EB412B" w:rsidRDefault="00000000" w:rsidP="00EB412B">
      <w:pPr>
        <w:jc w:val="center"/>
        <w:rPr>
          <w:lang w:val="en-GB"/>
        </w:rPr>
      </w:pPr>
      <w:r w:rsidRPr="00EB412B">
        <w:rPr>
          <w:lang w:val="en-GB"/>
        </w:rPr>
        <w:t>(Source: Self-Created)</w:t>
      </w:r>
    </w:p>
    <w:p w14:paraId="5AF7C328" w14:textId="303738AC" w:rsidR="00714BE2" w:rsidRPr="00EB412B" w:rsidRDefault="00000000" w:rsidP="00EB412B">
      <w:pPr>
        <w:rPr>
          <w:lang w:val="en-GB"/>
        </w:rPr>
      </w:pPr>
      <w:r w:rsidRPr="00EB412B">
        <w:rPr>
          <w:lang w:val="en-GB"/>
        </w:rPr>
        <w:t xml:space="preserve">The trend of ROE is even more frightening, as it dropped to 12.31% in 2020, to -54.91% in 2023, only to record an improvement to -15.69 in 2024. The fall of ROE indicates that shareholder value has been devastated by cumulative losses and falling retained earnings. High ROE is detrimental to investor confidence and the high cost of equity capital. These consequences are typical </w:t>
      </w:r>
      <w:r w:rsidR="00F97368" w:rsidRPr="00EB412B">
        <w:rPr>
          <w:lang w:val="en-GB"/>
        </w:rPr>
        <w:t>in</w:t>
      </w:r>
      <w:r w:rsidRPr="00EB412B">
        <w:rPr>
          <w:lang w:val="en-GB"/>
        </w:rPr>
        <w:t xml:space="preserve"> companies that reach highly distressed periods when the majority of the cost of long-term underperformance is on the equity holders (Dallocchio et al., 2025).</w:t>
      </w:r>
    </w:p>
    <w:p w14:paraId="6E06CBD7" w14:textId="77777777" w:rsidR="00714BE2" w:rsidRPr="00EB412B" w:rsidRDefault="00000000" w:rsidP="00EB412B">
      <w:pPr>
        <w:pStyle w:val="Heading2"/>
        <w:rPr>
          <w:lang w:val="en-GB"/>
        </w:rPr>
      </w:pPr>
      <w:bookmarkStart w:id="16" w:name="_oaamspexpcd6" w:colFirst="0" w:colLast="0"/>
      <w:bookmarkStart w:id="17" w:name="_Toc217295769"/>
      <w:bookmarkEnd w:id="16"/>
      <w:r w:rsidRPr="00EB412B">
        <w:rPr>
          <w:lang w:val="en-GB"/>
        </w:rPr>
        <w:t>2.2 Cost Structure and Operating Efficiency</w:t>
      </w:r>
      <w:bookmarkEnd w:id="17"/>
    </w:p>
    <w:p w14:paraId="15C6F00B" w14:textId="77777777" w:rsidR="00714BE2" w:rsidRPr="00EB412B" w:rsidRDefault="00000000" w:rsidP="00EB412B">
      <w:pPr>
        <w:rPr>
          <w:b/>
          <w:bCs/>
          <w:i/>
          <w:iCs/>
          <w:lang w:val="en-GB"/>
        </w:rPr>
      </w:pPr>
      <w:r w:rsidRPr="00EB412B">
        <w:rPr>
          <w:b/>
          <w:bCs/>
          <w:i/>
          <w:iCs/>
          <w:lang w:val="en-GB"/>
        </w:rPr>
        <w:t>Operating Expense Ratio</w:t>
      </w:r>
    </w:p>
    <w:p w14:paraId="0BF39012" w14:textId="77777777" w:rsidR="00714BE2" w:rsidRPr="00EB412B" w:rsidRDefault="00000000" w:rsidP="00EB412B">
      <w:pPr>
        <w:rPr>
          <w:lang w:val="en-GB"/>
        </w:rPr>
      </w:pPr>
      <w:r w:rsidRPr="00EB412B">
        <w:rPr>
          <w:lang w:val="en-GB"/>
        </w:rPr>
        <w:t>There is a significant increment in the operating expense ratio with the reduction in the revenues, which underscores the fact that the firm is not able to flex its cost base. Operating costs were high in spite of the declining sales, and this also created an immediate effect of low operating margins. This trend is of cost rigidity of fixed costs, especially in international overheads, outdated IT infrastructure and management frameworks. Inflexibility of costs decreases the operational resilience and hastens losses during a downturn. In turnaround situations, the unwillingness to decrease operating costs relative to revenue loss tends to increase the financial distress and worsen the chances of recovery (Rivera-Prieto et al., 2025).</w:t>
      </w:r>
    </w:p>
    <w:p w14:paraId="19EAAD40" w14:textId="77777777" w:rsidR="00714BE2" w:rsidRPr="00EB412B" w:rsidRDefault="00000000" w:rsidP="00EB412B">
      <w:pPr>
        <w:rPr>
          <w:b/>
          <w:bCs/>
          <w:i/>
          <w:iCs/>
          <w:lang w:val="en-GB"/>
        </w:rPr>
      </w:pPr>
      <w:r w:rsidRPr="00EB412B">
        <w:rPr>
          <w:b/>
          <w:bCs/>
          <w:i/>
          <w:iCs/>
          <w:lang w:val="en-GB"/>
        </w:rPr>
        <w:t>Asset Turnover</w:t>
      </w:r>
    </w:p>
    <w:p w14:paraId="5B053841" w14:textId="77777777" w:rsidR="00714BE2" w:rsidRPr="00EB412B" w:rsidRDefault="00000000" w:rsidP="00EB412B">
      <w:pPr>
        <w:rPr>
          <w:lang w:val="en-GB"/>
        </w:rPr>
      </w:pPr>
      <w:r w:rsidRPr="00EB412B">
        <w:rPr>
          <w:lang w:val="en-GB"/>
        </w:rPr>
        <w:lastRenderedPageBreak/>
        <w:t>The five years of asset turnover have been declining, which implies deteriorating efficiency in the use of assets to generate income. The total assets have decreased due to the impairments and decreased capital expenditure, but the decrease in sales has been accelerated. This implies that productive capacity is not fully utilised and there is overinvestment in assets that cannot add value to revenue generation. Sluggish asset turnover is an indicator of mature-market companies that postpone strategic asset rationalisation, which leads to the situation of capital being trapped in low-yield activity (Forstner et al., 2025).</w:t>
      </w:r>
    </w:p>
    <w:p w14:paraId="724C04CE" w14:textId="77777777" w:rsidR="00714BE2" w:rsidRPr="00EB412B" w:rsidRDefault="00000000" w:rsidP="00EB412B">
      <w:pPr>
        <w:pStyle w:val="Heading2"/>
        <w:rPr>
          <w:lang w:val="en-GB"/>
        </w:rPr>
      </w:pPr>
      <w:bookmarkStart w:id="18" w:name="_6o967jogbqz6" w:colFirst="0" w:colLast="0"/>
      <w:bookmarkStart w:id="19" w:name="_Toc217295770"/>
      <w:bookmarkEnd w:id="18"/>
      <w:r w:rsidRPr="00EB412B">
        <w:rPr>
          <w:lang w:val="en-GB"/>
        </w:rPr>
        <w:t>2.3 Liquidity Position and Short-Term Solvency</w:t>
      </w:r>
      <w:bookmarkEnd w:id="19"/>
    </w:p>
    <w:p w14:paraId="696141F4" w14:textId="77777777" w:rsidR="00714BE2" w:rsidRPr="00EB412B" w:rsidRDefault="00000000" w:rsidP="00EB412B">
      <w:pPr>
        <w:rPr>
          <w:b/>
          <w:bCs/>
          <w:i/>
          <w:iCs/>
          <w:lang w:val="en-GB"/>
        </w:rPr>
      </w:pPr>
      <w:r w:rsidRPr="00EB412B">
        <w:rPr>
          <w:b/>
          <w:bCs/>
          <w:i/>
          <w:iCs/>
          <w:lang w:val="en-GB"/>
        </w:rPr>
        <w:t>Current Ratio</w:t>
      </w:r>
    </w:p>
    <w:p w14:paraId="532C15DD" w14:textId="6BB1B5B5" w:rsidR="00714BE2" w:rsidRPr="00EB412B" w:rsidRDefault="00E6109C" w:rsidP="00EB412B">
      <w:pPr>
        <w:jc w:val="center"/>
        <w:rPr>
          <w:lang w:val="en-GB"/>
        </w:rPr>
      </w:pPr>
      <w:r w:rsidRPr="00EB412B">
        <w:rPr>
          <w:noProof/>
        </w:rPr>
        <w:drawing>
          <wp:inline distT="0" distB="0" distL="0" distR="0" wp14:anchorId="1B94D259" wp14:editId="1DB95C4B">
            <wp:extent cx="5186363" cy="3181350"/>
            <wp:effectExtent l="0" t="0" r="14605" b="0"/>
            <wp:docPr id="88714114" name="Chart 1">
              <a:extLst xmlns:a="http://schemas.openxmlformats.org/drawingml/2006/main">
                <a:ext uri="{FF2B5EF4-FFF2-40B4-BE49-F238E27FC236}">
                  <a16:creationId xmlns:a16="http://schemas.microsoft.com/office/drawing/2014/main" id="{452FA859-D67B-74E4-B615-BA95A695AE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4FB286" w14:textId="6B167333" w:rsidR="00714BE2" w:rsidRPr="00EB412B" w:rsidRDefault="00000000" w:rsidP="00EB412B">
      <w:pPr>
        <w:jc w:val="center"/>
        <w:rPr>
          <w:b/>
          <w:bCs/>
          <w:lang w:val="en-GB"/>
        </w:rPr>
      </w:pPr>
      <w:r w:rsidRPr="00EB412B">
        <w:rPr>
          <w:b/>
          <w:bCs/>
          <w:lang w:val="en-GB"/>
        </w:rPr>
        <w:t xml:space="preserve">Figure 6: Current Ratio </w:t>
      </w:r>
    </w:p>
    <w:p w14:paraId="5580A674" w14:textId="77777777" w:rsidR="00714BE2" w:rsidRPr="00EB412B" w:rsidRDefault="00000000" w:rsidP="00EB412B">
      <w:pPr>
        <w:jc w:val="center"/>
        <w:rPr>
          <w:lang w:val="en-GB"/>
        </w:rPr>
      </w:pPr>
      <w:r w:rsidRPr="00EB412B">
        <w:rPr>
          <w:lang w:val="en-GB"/>
        </w:rPr>
        <w:t>(Source: Self-Created)</w:t>
      </w:r>
    </w:p>
    <w:p w14:paraId="437E9FEF" w14:textId="062D8847" w:rsidR="00714BE2" w:rsidRPr="00EB412B" w:rsidRDefault="00000000" w:rsidP="00EB412B">
      <w:pPr>
        <w:rPr>
          <w:lang w:val="en-GB"/>
        </w:rPr>
      </w:pPr>
      <w:r w:rsidRPr="00EB412B">
        <w:rPr>
          <w:lang w:val="en-GB"/>
        </w:rPr>
        <w:t xml:space="preserve">The current ratio decreases in 2024 to 1.53 </w:t>
      </w:r>
      <w:r w:rsidR="00526406" w:rsidRPr="00EB412B">
        <w:rPr>
          <w:lang w:val="en-GB"/>
        </w:rPr>
        <w:t>from 1.821 of</w:t>
      </w:r>
      <w:r w:rsidRPr="00EB412B">
        <w:rPr>
          <w:lang w:val="en-GB"/>
        </w:rPr>
        <w:t xml:space="preserve"> 2020, which means that the short-term liquidity tightens gradually. Even though the current assets still outweigh the current liabilities, the buffer is decreasing, and this will diminish the capacity of the firm to absorb the unexpected cash flow situation. This tendency indicates the growing exposure to liquidity shocks and reliance on external short-term financing to finance activities (Kamal and Awan, 2025).</w:t>
      </w:r>
    </w:p>
    <w:p w14:paraId="6BCA6DF6" w14:textId="77777777" w:rsidR="00714BE2" w:rsidRPr="00EB412B" w:rsidRDefault="00000000" w:rsidP="00EB412B">
      <w:pPr>
        <w:rPr>
          <w:b/>
          <w:bCs/>
          <w:i/>
          <w:iCs/>
          <w:lang w:val="en-GB"/>
        </w:rPr>
      </w:pPr>
      <w:r w:rsidRPr="00EB412B">
        <w:rPr>
          <w:b/>
          <w:bCs/>
          <w:i/>
          <w:iCs/>
          <w:lang w:val="en-GB"/>
        </w:rPr>
        <w:t>Quick Ratio</w:t>
      </w:r>
    </w:p>
    <w:p w14:paraId="4FE963E9" w14:textId="2C2B172A" w:rsidR="00714BE2" w:rsidRPr="00EB412B" w:rsidRDefault="0012233E" w:rsidP="00EB412B">
      <w:pPr>
        <w:jc w:val="center"/>
        <w:rPr>
          <w:lang w:val="en-GB"/>
        </w:rPr>
      </w:pPr>
      <w:r w:rsidRPr="00EB412B">
        <w:rPr>
          <w:noProof/>
        </w:rPr>
        <w:lastRenderedPageBreak/>
        <w:drawing>
          <wp:inline distT="0" distB="0" distL="0" distR="0" wp14:anchorId="0C247F93" wp14:editId="08C6D3BC">
            <wp:extent cx="5348288" cy="2914650"/>
            <wp:effectExtent l="0" t="0" r="5080" b="0"/>
            <wp:docPr id="922084999" name="Chart 1">
              <a:extLst xmlns:a="http://schemas.openxmlformats.org/drawingml/2006/main">
                <a:ext uri="{FF2B5EF4-FFF2-40B4-BE49-F238E27FC236}">
                  <a16:creationId xmlns:a16="http://schemas.microsoft.com/office/drawing/2014/main" id="{F194C68A-94FC-2E5D-0F9C-BFA91F84B9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AAD110" w14:textId="574E5014" w:rsidR="00714BE2" w:rsidRPr="00EB412B" w:rsidRDefault="00000000" w:rsidP="00EB412B">
      <w:pPr>
        <w:jc w:val="center"/>
        <w:rPr>
          <w:b/>
          <w:bCs/>
          <w:lang w:val="en-GB"/>
        </w:rPr>
      </w:pPr>
      <w:r w:rsidRPr="00EB412B">
        <w:rPr>
          <w:b/>
          <w:bCs/>
          <w:lang w:val="en-GB"/>
        </w:rPr>
        <w:t xml:space="preserve">Figure 7: Quick Ratio </w:t>
      </w:r>
    </w:p>
    <w:p w14:paraId="7F233078" w14:textId="77777777" w:rsidR="00714BE2" w:rsidRPr="00EB412B" w:rsidRDefault="00000000" w:rsidP="00EB412B">
      <w:pPr>
        <w:jc w:val="center"/>
        <w:rPr>
          <w:lang w:val="en-GB"/>
        </w:rPr>
      </w:pPr>
      <w:r w:rsidRPr="00EB412B">
        <w:rPr>
          <w:lang w:val="en-GB"/>
        </w:rPr>
        <w:t>(Source: Self-Created)</w:t>
      </w:r>
    </w:p>
    <w:p w14:paraId="04076DC0" w14:textId="414C9794" w:rsidR="00714BE2" w:rsidRPr="00EB412B" w:rsidRDefault="00000000" w:rsidP="00EB412B">
      <w:pPr>
        <w:rPr>
          <w:lang w:val="en-GB"/>
        </w:rPr>
      </w:pPr>
      <w:r w:rsidRPr="00EB412B">
        <w:rPr>
          <w:lang w:val="en-GB"/>
        </w:rPr>
        <w:t>The quick ratio decreases to 1.03 in 2024</w:t>
      </w:r>
      <w:r w:rsidR="008230CE" w:rsidRPr="00EB412B">
        <w:rPr>
          <w:lang w:val="en-GB"/>
        </w:rPr>
        <w:t>, as</w:t>
      </w:r>
      <w:r w:rsidRPr="00EB412B">
        <w:rPr>
          <w:lang w:val="en-GB"/>
        </w:rPr>
        <w:t xml:space="preserve"> compared to 1.15 in 2020</w:t>
      </w:r>
      <w:r w:rsidR="008230CE" w:rsidRPr="00EB412B">
        <w:rPr>
          <w:lang w:val="en-GB"/>
        </w:rPr>
        <w:t xml:space="preserve">. It </w:t>
      </w:r>
      <w:r w:rsidRPr="00EB412B">
        <w:rPr>
          <w:lang w:val="en-GB"/>
        </w:rPr>
        <w:t>implies that liquid assets without inventory are barely adequate to meet its short-term liabilities. This decline underscores dependency on the liquidation of inventory to pay liabilities, which is unsafe in a market where technology becomes obsolete at a high rate. Lack of strong, quick ratios predisposes the likelihood of a short-term cash crunch in cases of demand volatility (Toromo and Mutinda, 2025).</w:t>
      </w:r>
    </w:p>
    <w:p w14:paraId="2C09FF7F" w14:textId="77777777" w:rsidR="00714BE2" w:rsidRPr="00EB412B" w:rsidRDefault="00000000" w:rsidP="00EB412B">
      <w:pPr>
        <w:rPr>
          <w:b/>
          <w:bCs/>
          <w:i/>
          <w:iCs/>
          <w:lang w:val="en-GB"/>
        </w:rPr>
      </w:pPr>
      <w:r w:rsidRPr="00EB412B">
        <w:rPr>
          <w:b/>
          <w:bCs/>
          <w:i/>
          <w:iCs/>
          <w:lang w:val="en-GB"/>
        </w:rPr>
        <w:t>Inventory Days</w:t>
      </w:r>
    </w:p>
    <w:p w14:paraId="169B6D14" w14:textId="6E54BB5F" w:rsidR="00714BE2" w:rsidRPr="00EB412B" w:rsidRDefault="0012233E" w:rsidP="00EB412B">
      <w:pPr>
        <w:jc w:val="center"/>
        <w:rPr>
          <w:lang w:val="en-GB"/>
        </w:rPr>
      </w:pPr>
      <w:r w:rsidRPr="00EB412B">
        <w:rPr>
          <w:noProof/>
        </w:rPr>
        <w:drawing>
          <wp:inline distT="0" distB="0" distL="0" distR="0" wp14:anchorId="43A50B7F" wp14:editId="22E815A4">
            <wp:extent cx="5524500" cy="3067050"/>
            <wp:effectExtent l="0" t="0" r="0" b="0"/>
            <wp:docPr id="152325910" name="Chart 1">
              <a:extLst xmlns:a="http://schemas.openxmlformats.org/drawingml/2006/main">
                <a:ext uri="{FF2B5EF4-FFF2-40B4-BE49-F238E27FC236}">
                  <a16:creationId xmlns:a16="http://schemas.microsoft.com/office/drawing/2014/main" id="{3E710097-308C-E170-F340-F82B8B92C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3B445BF" w14:textId="10725A60" w:rsidR="00714BE2" w:rsidRPr="00EB412B" w:rsidRDefault="00000000" w:rsidP="00EB412B">
      <w:pPr>
        <w:jc w:val="center"/>
        <w:rPr>
          <w:b/>
          <w:bCs/>
          <w:lang w:val="en-GB"/>
        </w:rPr>
      </w:pPr>
      <w:r w:rsidRPr="00EB412B">
        <w:rPr>
          <w:b/>
          <w:bCs/>
          <w:lang w:val="en-GB"/>
        </w:rPr>
        <w:t xml:space="preserve">Figure 8: Inventory Days </w:t>
      </w:r>
    </w:p>
    <w:p w14:paraId="15E4940B" w14:textId="77777777" w:rsidR="00714BE2" w:rsidRPr="00EB412B" w:rsidRDefault="00000000" w:rsidP="00EB412B">
      <w:pPr>
        <w:jc w:val="center"/>
        <w:rPr>
          <w:lang w:val="en-GB"/>
        </w:rPr>
      </w:pPr>
      <w:r w:rsidRPr="00EB412B">
        <w:rPr>
          <w:lang w:val="en-GB"/>
        </w:rPr>
        <w:lastRenderedPageBreak/>
        <w:t>(Source: Self-Created)</w:t>
      </w:r>
    </w:p>
    <w:p w14:paraId="7D1033CC" w14:textId="09BFD0A9" w:rsidR="00714BE2" w:rsidRPr="00EB412B" w:rsidRDefault="00000000" w:rsidP="00EB412B">
      <w:pPr>
        <w:rPr>
          <w:lang w:val="en-GB"/>
        </w:rPr>
      </w:pPr>
      <w:r w:rsidRPr="00EB412B">
        <w:rPr>
          <w:lang w:val="en-GB"/>
        </w:rPr>
        <w:t xml:space="preserve">Inventory days went up to 94.27 days in 2022 and then reduced to 73.35 days in 2024, as compared to 71.51 days in 2020. However, the new increase is good, though inventory holding periods are still high as per sales. Large values of inventory days denote sluggish stock and an increase in the risk of write-downs. </w:t>
      </w:r>
      <w:r w:rsidR="00F97368" w:rsidRPr="00EB412B">
        <w:rPr>
          <w:lang w:val="en-GB"/>
        </w:rPr>
        <w:t>As per Nguyen Thi et al., (2025), s</w:t>
      </w:r>
      <w:r w:rsidRPr="00EB412B">
        <w:rPr>
          <w:lang w:val="en-GB"/>
        </w:rPr>
        <w:t>urplus inventory not only occupies the working capital but also limits liquidity, especially in industries with a short product life cycle.</w:t>
      </w:r>
    </w:p>
    <w:p w14:paraId="71A01616" w14:textId="77777777" w:rsidR="00714BE2" w:rsidRPr="00EB412B" w:rsidRDefault="00000000" w:rsidP="00EB412B">
      <w:pPr>
        <w:rPr>
          <w:b/>
          <w:bCs/>
          <w:i/>
          <w:iCs/>
          <w:lang w:val="en-GB"/>
        </w:rPr>
      </w:pPr>
      <w:r w:rsidRPr="00EB412B">
        <w:rPr>
          <w:b/>
          <w:bCs/>
          <w:i/>
          <w:iCs/>
          <w:lang w:val="en-GB"/>
        </w:rPr>
        <w:t>Receivable Days</w:t>
      </w:r>
    </w:p>
    <w:p w14:paraId="257C494C" w14:textId="270A69B0" w:rsidR="00714BE2" w:rsidRPr="00EB412B" w:rsidRDefault="00897F29" w:rsidP="00EB412B">
      <w:pPr>
        <w:jc w:val="center"/>
        <w:rPr>
          <w:lang w:val="en-GB"/>
        </w:rPr>
      </w:pPr>
      <w:r w:rsidRPr="00EB412B">
        <w:rPr>
          <w:noProof/>
        </w:rPr>
        <w:drawing>
          <wp:inline distT="0" distB="0" distL="0" distR="0" wp14:anchorId="5585399C" wp14:editId="661489F4">
            <wp:extent cx="5029200" cy="3052763"/>
            <wp:effectExtent l="0" t="0" r="0" b="14605"/>
            <wp:docPr id="1420814686" name="Chart 1">
              <a:extLst xmlns:a="http://schemas.openxmlformats.org/drawingml/2006/main">
                <a:ext uri="{FF2B5EF4-FFF2-40B4-BE49-F238E27FC236}">
                  <a16:creationId xmlns:a16="http://schemas.microsoft.com/office/drawing/2014/main" id="{455C46B7-5C46-5CEC-ABAC-2E94617B4D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14B377" w14:textId="77777777" w:rsidR="00714BE2" w:rsidRPr="00EB412B" w:rsidRDefault="00000000" w:rsidP="00EB412B">
      <w:pPr>
        <w:jc w:val="center"/>
        <w:rPr>
          <w:b/>
          <w:bCs/>
          <w:lang w:val="en-GB"/>
        </w:rPr>
      </w:pPr>
      <w:r w:rsidRPr="00EB412B">
        <w:rPr>
          <w:b/>
          <w:bCs/>
          <w:lang w:val="en-GB"/>
        </w:rPr>
        <w:t>Figure 9: Receivable Days Trend Line</w:t>
      </w:r>
    </w:p>
    <w:p w14:paraId="3135A151" w14:textId="77777777" w:rsidR="00714BE2" w:rsidRPr="00EB412B" w:rsidRDefault="00000000" w:rsidP="00EB412B">
      <w:pPr>
        <w:jc w:val="center"/>
        <w:rPr>
          <w:lang w:val="en-GB"/>
        </w:rPr>
      </w:pPr>
      <w:r w:rsidRPr="00EB412B">
        <w:rPr>
          <w:lang w:val="en-GB"/>
        </w:rPr>
        <w:t>(Source: Self-Created)</w:t>
      </w:r>
    </w:p>
    <w:p w14:paraId="717A6608" w14:textId="41684D4D" w:rsidR="00714BE2" w:rsidRPr="00EB412B" w:rsidRDefault="00000000" w:rsidP="00EB412B">
      <w:pPr>
        <w:rPr>
          <w:lang w:val="en-GB"/>
        </w:rPr>
      </w:pPr>
      <w:r w:rsidRPr="00EB412B">
        <w:rPr>
          <w:lang w:val="en-GB"/>
        </w:rPr>
        <w:t>The value of receivable days increases dramatically, with the 76.86 days in 2020 up to 105.54 days in 2024, which shows a tremendous reduction in the speed of collecting customer receivables. This development signals a loose credit condition and reduced credit discipline, most probably used to facilitate the falling sales volumes. Long receivables turnover affects cash flow and subjects it to credit losses, exerting further liquidity pressure.</w:t>
      </w:r>
    </w:p>
    <w:p w14:paraId="7FA9374A" w14:textId="77777777" w:rsidR="00714BE2" w:rsidRPr="00EB412B" w:rsidRDefault="00000000" w:rsidP="00EB412B">
      <w:pPr>
        <w:rPr>
          <w:b/>
          <w:bCs/>
          <w:i/>
          <w:iCs/>
          <w:lang w:val="en-GB"/>
        </w:rPr>
      </w:pPr>
      <w:r w:rsidRPr="00EB412B">
        <w:rPr>
          <w:b/>
          <w:bCs/>
          <w:i/>
          <w:iCs/>
          <w:lang w:val="en-GB"/>
        </w:rPr>
        <w:t>Payable Days</w:t>
      </w:r>
    </w:p>
    <w:p w14:paraId="19BB11CA" w14:textId="47695F18" w:rsidR="00714BE2" w:rsidRPr="00EB412B" w:rsidRDefault="00897F29" w:rsidP="00EB412B">
      <w:pPr>
        <w:jc w:val="center"/>
        <w:rPr>
          <w:lang w:val="en-GB"/>
        </w:rPr>
      </w:pPr>
      <w:r w:rsidRPr="00EB412B">
        <w:rPr>
          <w:noProof/>
        </w:rPr>
        <w:lastRenderedPageBreak/>
        <w:drawing>
          <wp:inline distT="0" distB="0" distL="0" distR="0" wp14:anchorId="30720525" wp14:editId="487C05ED">
            <wp:extent cx="5172075" cy="3148013"/>
            <wp:effectExtent l="0" t="0" r="9525" b="14605"/>
            <wp:docPr id="935255017" name="Chart 1">
              <a:extLst xmlns:a="http://schemas.openxmlformats.org/drawingml/2006/main">
                <a:ext uri="{FF2B5EF4-FFF2-40B4-BE49-F238E27FC236}">
                  <a16:creationId xmlns:a16="http://schemas.microsoft.com/office/drawing/2014/main" id="{6E6FF0D1-485D-3BBA-4301-55E259825A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8A62842" w14:textId="6E61B18C" w:rsidR="00714BE2" w:rsidRPr="00EB412B" w:rsidRDefault="00000000" w:rsidP="00EB412B">
      <w:pPr>
        <w:jc w:val="center"/>
        <w:rPr>
          <w:b/>
          <w:bCs/>
          <w:lang w:val="en-GB"/>
        </w:rPr>
      </w:pPr>
      <w:r w:rsidRPr="00EB412B">
        <w:rPr>
          <w:b/>
          <w:bCs/>
          <w:lang w:val="en-GB"/>
        </w:rPr>
        <w:t xml:space="preserve">Figure 10: Payable Days </w:t>
      </w:r>
    </w:p>
    <w:p w14:paraId="59633674" w14:textId="77777777" w:rsidR="00714BE2" w:rsidRPr="00EB412B" w:rsidRDefault="00000000" w:rsidP="00EB412B">
      <w:pPr>
        <w:jc w:val="center"/>
        <w:rPr>
          <w:lang w:val="en-GB"/>
        </w:rPr>
      </w:pPr>
      <w:r w:rsidRPr="00EB412B">
        <w:rPr>
          <w:lang w:val="en-GB"/>
        </w:rPr>
        <w:t>(Source: Self-Created)</w:t>
      </w:r>
    </w:p>
    <w:p w14:paraId="4E2CEF1C" w14:textId="07B82CD2" w:rsidR="00714BE2" w:rsidRPr="00EB412B" w:rsidRDefault="00000000" w:rsidP="00EB412B">
      <w:pPr>
        <w:rPr>
          <w:lang w:val="en-GB"/>
        </w:rPr>
      </w:pPr>
      <w:r w:rsidRPr="00EB412B">
        <w:rPr>
          <w:lang w:val="en-GB"/>
        </w:rPr>
        <w:t>The number of payable days is also growing; 49.42 days in 2020 and 66.58 days in 2024, which indicates that the company is deferring payments to its suppliers to maintain cash. Although this will be a relief in terms of liquidity in th</w:t>
      </w:r>
      <w:r w:rsidR="00F97368" w:rsidRPr="00EB412B">
        <w:rPr>
          <w:lang w:val="en-GB"/>
        </w:rPr>
        <w:t xml:space="preserve">e </w:t>
      </w:r>
      <w:r w:rsidRPr="00EB412B">
        <w:rPr>
          <w:lang w:val="en-GB"/>
        </w:rPr>
        <w:t>short</w:t>
      </w:r>
      <w:r w:rsidR="003C7FB3" w:rsidRPr="00EB412B">
        <w:rPr>
          <w:lang w:val="en-GB"/>
        </w:rPr>
        <w:t>-</w:t>
      </w:r>
      <w:r w:rsidR="00F97368" w:rsidRPr="00EB412B">
        <w:rPr>
          <w:lang w:val="en-GB"/>
        </w:rPr>
        <w:t>term</w:t>
      </w:r>
      <w:r w:rsidRPr="00EB412B">
        <w:rPr>
          <w:lang w:val="en-GB"/>
        </w:rPr>
        <w:t xml:space="preserve">, it will harm supplier relations and supply chain stability. </w:t>
      </w:r>
      <w:r w:rsidR="003C7FB3" w:rsidRPr="00EB412B">
        <w:rPr>
          <w:lang w:val="en-GB"/>
        </w:rPr>
        <w:t>As per Kamal and Awan (2025), l</w:t>
      </w:r>
      <w:r w:rsidRPr="00EB412B">
        <w:rPr>
          <w:lang w:val="en-GB"/>
        </w:rPr>
        <w:t>ong payables are a common indication of defensive liquidity management as opposed to financial sustainability.</w:t>
      </w:r>
    </w:p>
    <w:p w14:paraId="2CDDDF63" w14:textId="77777777" w:rsidR="00714BE2" w:rsidRPr="00EB412B" w:rsidRDefault="00000000" w:rsidP="00EB412B">
      <w:pPr>
        <w:pStyle w:val="Heading2"/>
        <w:rPr>
          <w:lang w:val="en-GB"/>
        </w:rPr>
      </w:pPr>
      <w:bookmarkStart w:id="20" w:name="_7eh0j2355sfd" w:colFirst="0" w:colLast="0"/>
      <w:bookmarkStart w:id="21" w:name="_Toc217295771"/>
      <w:bookmarkEnd w:id="20"/>
      <w:r w:rsidRPr="00EB412B">
        <w:rPr>
          <w:lang w:val="en-GB"/>
        </w:rPr>
        <w:t>2.4 Capital Structure and Gearing Analysis</w:t>
      </w:r>
      <w:bookmarkEnd w:id="21"/>
    </w:p>
    <w:p w14:paraId="56CFA71D" w14:textId="77777777" w:rsidR="00714BE2" w:rsidRPr="00EB412B" w:rsidRDefault="00000000" w:rsidP="00EB412B">
      <w:pPr>
        <w:rPr>
          <w:b/>
          <w:bCs/>
          <w:i/>
          <w:iCs/>
          <w:lang w:val="en-GB"/>
        </w:rPr>
      </w:pPr>
      <w:r w:rsidRPr="00EB412B">
        <w:rPr>
          <w:b/>
          <w:bCs/>
          <w:i/>
          <w:iCs/>
          <w:lang w:val="en-GB"/>
        </w:rPr>
        <w:t>Debt-to-Equity Ratio</w:t>
      </w:r>
    </w:p>
    <w:p w14:paraId="774AEEAE" w14:textId="05E6B7C1" w:rsidR="00714BE2" w:rsidRPr="00EB412B" w:rsidRDefault="00897F29" w:rsidP="00EB412B">
      <w:pPr>
        <w:jc w:val="center"/>
        <w:rPr>
          <w:lang w:val="en-GB"/>
        </w:rPr>
      </w:pPr>
      <w:r w:rsidRPr="00EB412B">
        <w:rPr>
          <w:noProof/>
        </w:rPr>
        <w:drawing>
          <wp:inline distT="0" distB="0" distL="0" distR="0" wp14:anchorId="7F240C80" wp14:editId="7C16AA94">
            <wp:extent cx="4691063" cy="2686050"/>
            <wp:effectExtent l="0" t="0" r="14605" b="0"/>
            <wp:docPr id="147576910" name="Chart 1">
              <a:extLst xmlns:a="http://schemas.openxmlformats.org/drawingml/2006/main">
                <a:ext uri="{FF2B5EF4-FFF2-40B4-BE49-F238E27FC236}">
                  <a16:creationId xmlns:a16="http://schemas.microsoft.com/office/drawing/2014/main" id="{A1D1ABE8-6EDE-FCFE-8000-66BF1D4116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B37FAD" w14:textId="34E529A4" w:rsidR="00714BE2" w:rsidRPr="00EB412B" w:rsidRDefault="00000000" w:rsidP="00EB412B">
      <w:pPr>
        <w:jc w:val="center"/>
        <w:rPr>
          <w:b/>
          <w:bCs/>
          <w:lang w:val="en-GB"/>
        </w:rPr>
      </w:pPr>
      <w:r w:rsidRPr="00EB412B">
        <w:rPr>
          <w:b/>
          <w:bCs/>
          <w:lang w:val="en-GB"/>
        </w:rPr>
        <w:t xml:space="preserve">Figure 11: Debt-To-Equity </w:t>
      </w:r>
    </w:p>
    <w:p w14:paraId="5135CA11" w14:textId="77777777" w:rsidR="00714BE2" w:rsidRPr="00EB412B" w:rsidRDefault="00000000" w:rsidP="00EB412B">
      <w:pPr>
        <w:jc w:val="center"/>
        <w:rPr>
          <w:lang w:val="en-GB"/>
        </w:rPr>
      </w:pPr>
      <w:r w:rsidRPr="00EB412B">
        <w:rPr>
          <w:lang w:val="en-GB"/>
        </w:rPr>
        <w:lastRenderedPageBreak/>
        <w:t>(Source: Self-Created)</w:t>
      </w:r>
    </w:p>
    <w:p w14:paraId="1795CD30" w14:textId="30E8F1D5" w:rsidR="00714BE2" w:rsidRPr="00EB412B" w:rsidRDefault="003C7FB3" w:rsidP="00EB412B">
      <w:pPr>
        <w:rPr>
          <w:lang w:val="en-GB"/>
        </w:rPr>
      </w:pPr>
      <w:r w:rsidRPr="00EB412B">
        <w:rPr>
          <w:lang w:val="en-GB"/>
        </w:rPr>
        <w:t xml:space="preserve">Tangpong et al., (2025) stated that accelerated leverage caused by losses and not growth is a red flag in the turnaround process of a company. The debt-to-equity ratio </w:t>
      </w:r>
      <w:r w:rsidR="000C2B01">
        <w:rPr>
          <w:lang w:val="en-GB"/>
        </w:rPr>
        <w:t>was estimated to be</w:t>
      </w:r>
      <w:r w:rsidRPr="00EB412B">
        <w:rPr>
          <w:lang w:val="en-GB"/>
        </w:rPr>
        <w:t xml:space="preserve"> high in 2020 with 0.63</w:t>
      </w:r>
      <w:r w:rsidR="006D3E0C">
        <w:rPr>
          <w:lang w:val="en-GB"/>
        </w:rPr>
        <w:t>. I</w:t>
      </w:r>
      <w:r w:rsidRPr="00EB412B">
        <w:rPr>
          <w:lang w:val="en-GB"/>
        </w:rPr>
        <w:t>t is</w:t>
      </w:r>
      <w:r w:rsidR="006D3E0C">
        <w:rPr>
          <w:lang w:val="en-GB"/>
        </w:rPr>
        <w:t>, however,</w:t>
      </w:r>
      <w:r w:rsidRPr="00EB412B">
        <w:rPr>
          <w:lang w:val="en-GB"/>
        </w:rPr>
        <w:t xml:space="preserve"> 1.11</w:t>
      </w:r>
      <w:r w:rsidR="006D3E0C">
        <w:rPr>
          <w:lang w:val="en-GB"/>
        </w:rPr>
        <w:t xml:space="preserve"> </w:t>
      </w:r>
      <w:r w:rsidR="006D3E0C" w:rsidRPr="00EB412B">
        <w:rPr>
          <w:lang w:val="en-GB"/>
        </w:rPr>
        <w:t>in 2024</w:t>
      </w:r>
      <w:r w:rsidRPr="00EB412B">
        <w:rPr>
          <w:lang w:val="en-GB"/>
        </w:rPr>
        <w:t xml:space="preserve">, and the reason is that the equity </w:t>
      </w:r>
      <w:r w:rsidR="0065412D">
        <w:rPr>
          <w:lang w:val="en-GB"/>
        </w:rPr>
        <w:t>has</w:t>
      </w:r>
      <w:r w:rsidRPr="00EB412B">
        <w:rPr>
          <w:lang w:val="en-GB"/>
        </w:rPr>
        <w:t xml:space="preserve"> decrea</w:t>
      </w:r>
      <w:r w:rsidR="0065412D">
        <w:rPr>
          <w:lang w:val="en-GB"/>
        </w:rPr>
        <w:t>sed with time</w:t>
      </w:r>
      <w:r w:rsidRPr="00EB412B">
        <w:rPr>
          <w:lang w:val="en-GB"/>
        </w:rPr>
        <w:t xml:space="preserve"> and not due to vigorous accumulation of debt. This increasing leverage increases the financial risk and decreases the resilience of the balance sheets. High gearing reduces financial flexibility and restricts access to favourable rates of borrowing. </w:t>
      </w:r>
    </w:p>
    <w:p w14:paraId="68ED6A33" w14:textId="77777777" w:rsidR="00714BE2" w:rsidRPr="00EB412B" w:rsidRDefault="00000000" w:rsidP="00EB412B">
      <w:pPr>
        <w:pStyle w:val="Heading2"/>
        <w:rPr>
          <w:lang w:val="en-GB"/>
        </w:rPr>
      </w:pPr>
      <w:bookmarkStart w:id="22" w:name="_qhgceecrep1l" w:colFirst="0" w:colLast="0"/>
      <w:bookmarkStart w:id="23" w:name="_Toc217295772"/>
      <w:bookmarkEnd w:id="22"/>
      <w:r w:rsidRPr="00EB412B">
        <w:rPr>
          <w:lang w:val="en-GB"/>
        </w:rPr>
        <w:t>2.5 Cash Flow Sustainability Analysis</w:t>
      </w:r>
      <w:bookmarkEnd w:id="23"/>
    </w:p>
    <w:p w14:paraId="77101678" w14:textId="77777777" w:rsidR="00714BE2" w:rsidRPr="00EB412B" w:rsidRDefault="00000000" w:rsidP="00EB412B">
      <w:pPr>
        <w:rPr>
          <w:lang w:val="en-GB"/>
        </w:rPr>
      </w:pPr>
      <w:r w:rsidRPr="00EB412B">
        <w:rPr>
          <w:lang w:val="en-GB"/>
        </w:rPr>
        <w:t>The analysis of cash flow shows the growth of volatility and reduction of sustainability. Though the operating cash flows are positive in certain years, they are erratic and not good enough to warrant the long-term investment requirements. The company has been very dependent on financing operations, especially short-term lines of credit, to stay afloat. This dependence amplifies the risk of refinancing and puts the firm at risk of poor credit market situations.</w:t>
      </w:r>
    </w:p>
    <w:p w14:paraId="3F3AE1AB" w14:textId="77777777" w:rsidR="00714BE2" w:rsidRPr="00EB412B" w:rsidRDefault="00000000" w:rsidP="00EB412B">
      <w:pPr>
        <w:rPr>
          <w:lang w:val="en-GB"/>
        </w:rPr>
      </w:pPr>
      <w:r w:rsidRPr="00EB412B">
        <w:rPr>
          <w:lang w:val="en-GB"/>
        </w:rPr>
        <w:t>Concomitantly, low levels of investing activity imply limit-bound financial flexibility. Reduced capital expenditure can save on short-term cash, but it can compromise future competitiveness. Also, the presence of a loss of cash in foreign exchange, balance of cash, demonstrates that the firm was exposed to currency risk in its international business, which further exposes cash flow risk (Nguyen Thi et al., 2025).</w:t>
      </w:r>
    </w:p>
    <w:p w14:paraId="50F04280" w14:textId="77777777" w:rsidR="00714BE2" w:rsidRPr="00EB412B" w:rsidRDefault="00000000" w:rsidP="00EB412B">
      <w:pPr>
        <w:pStyle w:val="Heading2"/>
        <w:rPr>
          <w:lang w:val="en-GB"/>
        </w:rPr>
      </w:pPr>
      <w:bookmarkStart w:id="24" w:name="_sdz3huk4mk70" w:colFirst="0" w:colLast="0"/>
      <w:bookmarkStart w:id="25" w:name="_Toc217295773"/>
      <w:bookmarkEnd w:id="24"/>
      <w:r w:rsidRPr="00EB412B">
        <w:rPr>
          <w:lang w:val="en-GB"/>
        </w:rPr>
        <w:t>2.6 Corporate Failure Risk Assessment – Altman Z-Score</w:t>
      </w:r>
      <w:bookmarkEnd w:id="25"/>
    </w:p>
    <w:p w14:paraId="2C33F920" w14:textId="73B18EB3" w:rsidR="00714BE2" w:rsidRPr="00EB412B" w:rsidRDefault="00000000" w:rsidP="00EB412B">
      <w:pPr>
        <w:rPr>
          <w:lang w:val="en-GB"/>
        </w:rPr>
      </w:pPr>
      <w:r w:rsidRPr="00EB412B">
        <w:rPr>
          <w:lang w:val="en-GB"/>
        </w:rPr>
        <w:t>The Altman Z-Score of the firm is derived based on the company's financial information, which means that General Electronics is already in the territory of distress. The major causes of this outcome are weak profitability, deteriorating liquidity, and dwindling equity base. A Z-score within this range is an indication that there are high chances of financial failure without corrective action</w:t>
      </w:r>
      <w:r w:rsidR="003C7FB3" w:rsidRPr="00EB412B">
        <w:rPr>
          <w:lang w:val="en-GB"/>
        </w:rPr>
        <w:t xml:space="preserve"> [</w:t>
      </w:r>
      <w:r w:rsidR="003C7FB3" w:rsidRPr="00EB412B">
        <w:rPr>
          <w:b/>
          <w:bCs/>
          <w:i/>
          <w:iCs/>
          <w:lang w:val="en-GB"/>
        </w:rPr>
        <w:t>Refer to Appendix B</w:t>
      </w:r>
      <w:r w:rsidR="003C7FB3" w:rsidRPr="00EB412B">
        <w:rPr>
          <w:lang w:val="en-GB"/>
        </w:rPr>
        <w:t>]</w:t>
      </w:r>
      <w:r w:rsidRPr="00EB412B">
        <w:rPr>
          <w:lang w:val="en-GB"/>
        </w:rPr>
        <w:t>. To creditors, this means that there is a high risk of default, and to the investors, there is increased uncertainty of recovering capital. These indicators are generally the precursors of desperate restructuring or leadership response (Tangpong et al., 2025).</w:t>
      </w:r>
    </w:p>
    <w:p w14:paraId="60E9052F" w14:textId="77777777" w:rsidR="00714BE2" w:rsidRPr="00EB412B" w:rsidRDefault="00000000" w:rsidP="00EB412B">
      <w:pPr>
        <w:pStyle w:val="Heading2"/>
        <w:rPr>
          <w:lang w:val="en-GB"/>
        </w:rPr>
      </w:pPr>
      <w:bookmarkStart w:id="26" w:name="_6eu6g8ge7lo3" w:colFirst="0" w:colLast="0"/>
      <w:bookmarkStart w:id="27" w:name="_Toc217295774"/>
      <w:bookmarkEnd w:id="26"/>
      <w:r w:rsidRPr="00EB412B">
        <w:rPr>
          <w:lang w:val="en-GB"/>
        </w:rPr>
        <w:t>2.7 Summary of Financial Strengths and Threats</w:t>
      </w:r>
      <w:bookmarkEnd w:id="27"/>
    </w:p>
    <w:p w14:paraId="52D615A3" w14:textId="7A08E3A1" w:rsidR="003C7FB3" w:rsidRPr="00EB412B" w:rsidRDefault="00000000" w:rsidP="00EB412B">
      <w:pPr>
        <w:rPr>
          <w:lang w:val="en-GB"/>
        </w:rPr>
      </w:pPr>
      <w:r w:rsidRPr="00EB412B">
        <w:rPr>
          <w:lang w:val="en-GB"/>
        </w:rPr>
        <w:t xml:space="preserve">The financial health analysis reveals ongoing profitability loss, declining liquidity and increasing leverage as some of the key risks to the survival of General Electronics. Gross margin recovery and inventory reduction do not have many advantages; however, the negative returns on assets and equity prove the continuation of value </w:t>
      </w:r>
      <w:r w:rsidRPr="00EB412B">
        <w:rPr>
          <w:lang w:val="en-GB"/>
        </w:rPr>
        <w:lastRenderedPageBreak/>
        <w:t>destruction. The lack of structural cost flexibility, poor asset utilisation, and poor working capital management highlight the imminence of imminent CFO-led restructuring to normalise the liquidity pace and revive the financial sustainability.</w:t>
      </w:r>
      <w:bookmarkStart w:id="28" w:name="_7n3agirhhd1k" w:colFirst="0" w:colLast="0"/>
      <w:bookmarkEnd w:id="28"/>
      <w:r w:rsidR="003C7FB3" w:rsidRPr="00EB412B">
        <w:rPr>
          <w:lang w:val="en-GB"/>
        </w:rPr>
        <w:br w:type="page"/>
      </w:r>
    </w:p>
    <w:p w14:paraId="410FB65C" w14:textId="2CB264E9" w:rsidR="00714BE2" w:rsidRPr="00EB412B" w:rsidRDefault="00000000" w:rsidP="00EB412B">
      <w:pPr>
        <w:pStyle w:val="Heading1"/>
        <w:rPr>
          <w:lang w:val="en-GB"/>
        </w:rPr>
      </w:pPr>
      <w:bookmarkStart w:id="29" w:name="_Toc217295775"/>
      <w:r w:rsidRPr="00EB412B">
        <w:rPr>
          <w:lang w:val="en-GB"/>
        </w:rPr>
        <w:lastRenderedPageBreak/>
        <w:t>3. Working Capital Management Analysis</w:t>
      </w:r>
      <w:bookmarkEnd w:id="29"/>
    </w:p>
    <w:p w14:paraId="12D3BE57" w14:textId="77777777" w:rsidR="00714BE2" w:rsidRPr="00EB412B" w:rsidRDefault="00000000" w:rsidP="00EB412B">
      <w:pPr>
        <w:pStyle w:val="Heading2"/>
        <w:rPr>
          <w:lang w:val="en-GB"/>
        </w:rPr>
      </w:pPr>
      <w:bookmarkStart w:id="30" w:name="_ccqdsq9zdp02" w:colFirst="0" w:colLast="0"/>
      <w:bookmarkStart w:id="31" w:name="_Toc217295776"/>
      <w:bookmarkEnd w:id="30"/>
      <w:r w:rsidRPr="00EB412B">
        <w:rPr>
          <w:lang w:val="en-GB"/>
        </w:rPr>
        <w:t>3.1 Cash Operating Cycle Analysis</w:t>
      </w:r>
      <w:bookmarkEnd w:id="31"/>
    </w:p>
    <w:p w14:paraId="6039DE0E" w14:textId="16108BA8" w:rsidR="00714BE2" w:rsidRPr="00EB412B" w:rsidRDefault="003C7FB3" w:rsidP="00EB412B">
      <w:pPr>
        <w:rPr>
          <w:lang w:val="en-GB"/>
        </w:rPr>
      </w:pPr>
      <w:r w:rsidRPr="00EB412B">
        <w:rPr>
          <w:lang w:val="en-GB"/>
        </w:rPr>
        <w:t>As analysed from above calculations that the cash operating cycle of General Electronics has worsened in the course of the review period</w:t>
      </w:r>
      <w:r w:rsidR="00906F69" w:rsidRPr="00EB412B">
        <w:rPr>
          <w:lang w:val="en-GB"/>
        </w:rPr>
        <w:t>. T</w:t>
      </w:r>
      <w:r w:rsidRPr="00EB412B">
        <w:rPr>
          <w:lang w:val="en-GB"/>
        </w:rPr>
        <w:t xml:space="preserve">here are increasing inefficiencies in the management of inventory, receivables and payables. These have been the weaknesses in terms of limiting liquidity and short-term dependence on borrowing. Despite the improvement of inventory days compared to its 2022 peak, it is still high when compared to falling sales, indicating the slow turnover of the stock in the low-growth market. This puts the company at a risk of technological obsolescence and keeps cash flow tied up that could be used to either manipulate debt or restructure. The collection time on receivables has greatly extended, implying more liberal credit policies that are directed towards maintaining the levels of sales. Although this will save the revenue in the short run, it dilutes cash inflows and risk of credit. The long-term receivables decrease the predictability of the operating cash flows and increase the short-term crunch. Conversely, the payable days are higher, </w:t>
      </w:r>
      <w:r w:rsidR="007E1669" w:rsidRPr="00EB412B">
        <w:rPr>
          <w:lang w:val="en-GB"/>
        </w:rPr>
        <w:t>which</w:t>
      </w:r>
      <w:r w:rsidRPr="00EB412B">
        <w:rPr>
          <w:lang w:val="en-GB"/>
        </w:rPr>
        <w:t xml:space="preserve"> means that the company is taking longer to pay suppliers as a protective liquidity action. </w:t>
      </w:r>
      <w:r w:rsidR="007E1669" w:rsidRPr="00EB412B">
        <w:rPr>
          <w:lang w:val="en-GB"/>
        </w:rPr>
        <w:t>As stated by Jabeen (2025), t</w:t>
      </w:r>
      <w:r w:rsidRPr="00EB412B">
        <w:rPr>
          <w:lang w:val="en-GB"/>
        </w:rPr>
        <w:t>hough this is helpful in the short-term cash flow, it shifts the financial burden to the chain of supply and could jeopardise ties with suppliers. The net effect of all these trends is a long-term and fluctuating cash conversion cycle, which makes the company more dependent on external funds as the domestic cash flows are not enough to support operations.</w:t>
      </w:r>
    </w:p>
    <w:p w14:paraId="27089FBF" w14:textId="77777777" w:rsidR="00714BE2" w:rsidRPr="00EB412B" w:rsidRDefault="00000000" w:rsidP="00EB412B">
      <w:pPr>
        <w:pStyle w:val="Heading2"/>
        <w:rPr>
          <w:lang w:val="en-GB"/>
        </w:rPr>
      </w:pPr>
      <w:bookmarkStart w:id="32" w:name="_921xxgjzymuk" w:colFirst="0" w:colLast="0"/>
      <w:bookmarkStart w:id="33" w:name="_Toc217295777"/>
      <w:bookmarkEnd w:id="32"/>
      <w:r w:rsidRPr="00EB412B">
        <w:rPr>
          <w:lang w:val="en-GB"/>
        </w:rPr>
        <w:t>3.2 Liquidity Constraints and Root Causes</w:t>
      </w:r>
      <w:bookmarkEnd w:id="33"/>
    </w:p>
    <w:p w14:paraId="127979F8" w14:textId="4A8D4294" w:rsidR="00774B20" w:rsidRPr="00EB412B" w:rsidRDefault="00000000" w:rsidP="00EB412B">
      <w:pPr>
        <w:rPr>
          <w:lang w:val="en-GB"/>
        </w:rPr>
      </w:pPr>
      <w:r w:rsidRPr="00EB412B">
        <w:rPr>
          <w:lang w:val="en-GB"/>
        </w:rPr>
        <w:t xml:space="preserve">The liquidity issues </w:t>
      </w:r>
      <w:r w:rsidR="00A93B8A" w:rsidRPr="00EB412B">
        <w:rPr>
          <w:lang w:val="en-GB"/>
        </w:rPr>
        <w:t xml:space="preserve">that GE is </w:t>
      </w:r>
      <w:r w:rsidRPr="00EB412B">
        <w:rPr>
          <w:lang w:val="en-GB"/>
        </w:rPr>
        <w:t>facing are</w:t>
      </w:r>
      <w:r w:rsidR="00A93B8A" w:rsidRPr="00EB412B">
        <w:rPr>
          <w:lang w:val="en-GB"/>
        </w:rPr>
        <w:t xml:space="preserve"> found to be</w:t>
      </w:r>
      <w:r w:rsidRPr="00EB412B">
        <w:rPr>
          <w:lang w:val="en-GB"/>
        </w:rPr>
        <w:t xml:space="preserve"> structural</w:t>
      </w:r>
      <w:r w:rsidR="00A93B8A" w:rsidRPr="00EB412B">
        <w:rPr>
          <w:lang w:val="en-GB"/>
        </w:rPr>
        <w:t>,</w:t>
      </w:r>
      <w:r w:rsidRPr="00EB412B">
        <w:rPr>
          <w:lang w:val="en-GB"/>
        </w:rPr>
        <w:t xml:space="preserve"> and not cyclical. The primary cause that is one of them is too much inventory in the high-growth markets. Production and procurement have not been reduced in proportion to the declining demand, leading to liquidity-consuming ineffective stock levels. The second limitation occurs as a result of a loose credit policy. </w:t>
      </w:r>
      <w:r w:rsidR="00D322A2" w:rsidRPr="00EB412B">
        <w:rPr>
          <w:lang w:val="en-GB"/>
        </w:rPr>
        <w:t xml:space="preserve">As per the findings of </w:t>
      </w:r>
      <w:r w:rsidR="00D322A2" w:rsidRPr="00EB412B">
        <w:t>Ombui et al. (2025), l</w:t>
      </w:r>
      <w:r w:rsidRPr="00EB412B">
        <w:rPr>
          <w:lang w:val="en-GB"/>
        </w:rPr>
        <w:t xml:space="preserve">ong receivables imply that the management preferred stability in revenues to cash discipline. Although this helps in staying afloat in terms of revenue, </w:t>
      </w:r>
      <w:r w:rsidR="00D322A2" w:rsidRPr="00EB412B">
        <w:rPr>
          <w:lang w:val="en-GB"/>
        </w:rPr>
        <w:t xml:space="preserve">however, </w:t>
      </w:r>
      <w:r w:rsidRPr="00EB412B">
        <w:rPr>
          <w:lang w:val="en-GB"/>
        </w:rPr>
        <w:t xml:space="preserve">it demeans liquidity significantly and increases the possibilities of bad debts. </w:t>
      </w:r>
    </w:p>
    <w:p w14:paraId="10E52201" w14:textId="589CCD36" w:rsidR="00714BE2" w:rsidRPr="00EB412B" w:rsidRDefault="00000000" w:rsidP="00EB412B">
      <w:pPr>
        <w:rPr>
          <w:lang w:val="en-GB"/>
        </w:rPr>
      </w:pPr>
      <w:r w:rsidRPr="00EB412B">
        <w:rPr>
          <w:lang w:val="en-GB"/>
        </w:rPr>
        <w:t xml:space="preserve">When markets are weak, this is a trade-off that is likely to hasten financial degradation. Another limitation is the pressure on supplier payment. The firm has been successful in applying suppliers as temporary sources of finance through stretching payables. Though this takes the pressure off in the short term, it is not a long-term fix and will </w:t>
      </w:r>
      <w:r w:rsidRPr="00EB412B">
        <w:rPr>
          <w:lang w:val="en-GB"/>
        </w:rPr>
        <w:lastRenderedPageBreak/>
        <w:t>augment the operating risk in the event that supplier confidence fades. All these, in turn, affect cash flow directly as well as borrowing. Small operating cash inflows result in increased dependence on revolving credit facilities, which raises the interest expenditure and refinancing risk. These are typical patterns of liquidity stress in a company that has initiated turnaround efforts in failure or delay (Darmayanti et al., 2025).</w:t>
      </w:r>
    </w:p>
    <w:p w14:paraId="41563C02" w14:textId="77777777" w:rsidR="00714BE2" w:rsidRPr="00EB412B" w:rsidRDefault="00000000" w:rsidP="00EB412B">
      <w:pPr>
        <w:pStyle w:val="Heading2"/>
        <w:rPr>
          <w:lang w:val="en-GB"/>
        </w:rPr>
      </w:pPr>
      <w:bookmarkStart w:id="34" w:name="_czq6s7rt6473" w:colFirst="0" w:colLast="0"/>
      <w:bookmarkStart w:id="35" w:name="_Toc217295778"/>
      <w:bookmarkEnd w:id="34"/>
      <w:r w:rsidRPr="00EB412B">
        <w:rPr>
          <w:lang w:val="en-GB"/>
        </w:rPr>
        <w:t>3.3 Working Capital Improvement Strategies</w:t>
      </w:r>
      <w:bookmarkEnd w:id="35"/>
    </w:p>
    <w:p w14:paraId="2448E2AF" w14:textId="67BAB029" w:rsidR="00714BE2" w:rsidRPr="00EB412B" w:rsidRDefault="00000000" w:rsidP="00EB412B">
      <w:pPr>
        <w:rPr>
          <w:lang w:val="en-GB"/>
        </w:rPr>
      </w:pPr>
      <w:r w:rsidRPr="00EB412B">
        <w:rPr>
          <w:lang w:val="en-GB"/>
        </w:rPr>
        <w:t xml:space="preserve">In order to stabilise liquidity, </w:t>
      </w:r>
      <w:r w:rsidR="00774B20" w:rsidRPr="00EB412B">
        <w:rPr>
          <w:lang w:val="en-GB"/>
        </w:rPr>
        <w:t xml:space="preserve">it is essential for </w:t>
      </w:r>
      <w:r w:rsidRPr="00EB412B">
        <w:rPr>
          <w:lang w:val="en-GB"/>
        </w:rPr>
        <w:t xml:space="preserve">General Electronics </w:t>
      </w:r>
      <w:r w:rsidR="00774B20" w:rsidRPr="00EB412B">
        <w:rPr>
          <w:lang w:val="en-GB"/>
        </w:rPr>
        <w:t>to</w:t>
      </w:r>
      <w:r w:rsidRPr="00EB412B">
        <w:rPr>
          <w:lang w:val="en-GB"/>
        </w:rPr>
        <w:t xml:space="preserve"> institute specific working capital reforms </w:t>
      </w:r>
      <w:r w:rsidR="00774B20" w:rsidRPr="00EB412B">
        <w:rPr>
          <w:lang w:val="en-GB"/>
        </w:rPr>
        <w:t>that</w:t>
      </w:r>
      <w:r w:rsidRPr="00EB412B">
        <w:rPr>
          <w:lang w:val="en-GB"/>
        </w:rPr>
        <w:t xml:space="preserve"> are in line with its turnaround strategy. </w:t>
      </w:r>
      <w:r w:rsidR="00506F9F" w:rsidRPr="00EB412B">
        <w:rPr>
          <w:lang w:val="en-GB"/>
        </w:rPr>
        <w:t xml:space="preserve">As understood from the ideas of </w:t>
      </w:r>
      <w:r w:rsidR="00506F9F" w:rsidRPr="00EB412B">
        <w:t>Staskiewicz et al., (2021), t</w:t>
      </w:r>
      <w:r w:rsidRPr="00EB412B">
        <w:rPr>
          <w:lang w:val="en-GB"/>
        </w:rPr>
        <w:t>he first step is inventory rationalisation by means of reducing SKUs. By removing low-margin and slow-moving products, inventory holding time would be reduced and would free up held-up cash. Streamlining also reduces the storage, logistics and obsolescence costs of the product portfolio, thereby enhancing its working capital efficiency. Stricter control of its receivables should be employed to speed up the inflow of cash. This involves an increase in credit checks, changed payment conditions and improved scrutiny of non-performers. Early payment incentives may enhance collections without significantly damaging the customer relationships. A high level of receivables discipline is necessary to regain predictable operating cash flows.</w:t>
      </w:r>
    </w:p>
    <w:p w14:paraId="1B2D11C4" w14:textId="77777777" w:rsidR="00714BE2" w:rsidRPr="00EB412B" w:rsidRDefault="00000000" w:rsidP="00EB412B">
      <w:pPr>
        <w:rPr>
          <w:lang w:val="en-GB"/>
        </w:rPr>
      </w:pPr>
      <w:r w:rsidRPr="00EB412B">
        <w:rPr>
          <w:lang w:val="en-GB"/>
        </w:rPr>
        <w:t>Dynamic discounting with suppliers is also an option that should be considered by the firm. Discounts may be obtained by giving early payment to suppliers to enhance margins and relationships with suppliers. This would strike a balance in both liquidity management and the stability of the supply chain, bringing down the long-term risks of extended payables. Lastly, digital supply chain tools can provide a very high working capital visibility. Demand forecasting and real-time inventory tracking, and integrated receivables systems, allow making decisions faster decision-making and prevent inefficiencies in working capital. The digitalisation of working capital operations has been identified as one of the enabling factors of effective financial recovery in the post-crisis atmosphere (Maryani and Ladista, 2025).</w:t>
      </w:r>
    </w:p>
    <w:p w14:paraId="2B0F5CE7" w14:textId="77777777" w:rsidR="00714BE2" w:rsidRPr="00EB412B" w:rsidRDefault="00000000" w:rsidP="00EB412B">
      <w:pPr>
        <w:pStyle w:val="Heading2"/>
        <w:rPr>
          <w:lang w:val="en-GB"/>
        </w:rPr>
      </w:pPr>
      <w:bookmarkStart w:id="36" w:name="_2xfzrvxkhuom" w:colFirst="0" w:colLast="0"/>
      <w:bookmarkStart w:id="37" w:name="_Toc217295779"/>
      <w:bookmarkEnd w:id="36"/>
      <w:r w:rsidRPr="00EB412B">
        <w:rPr>
          <w:lang w:val="en-GB"/>
        </w:rPr>
        <w:t>3.4 Short-Term vs Long-Term Financing Choices</w:t>
      </w:r>
      <w:bookmarkEnd w:id="37"/>
    </w:p>
    <w:p w14:paraId="076BD573" w14:textId="173FA56E" w:rsidR="00714BE2" w:rsidRPr="00EB412B" w:rsidRDefault="00000000" w:rsidP="00EB412B">
      <w:pPr>
        <w:rPr>
          <w:lang w:val="en-GB"/>
        </w:rPr>
      </w:pPr>
      <w:r w:rsidRPr="00EB412B">
        <w:rPr>
          <w:lang w:val="en-GB"/>
        </w:rPr>
        <w:t xml:space="preserve">General Electronics has presently demonstrated the tendency of excessive dependence on revolving credit facilities to fund the working capital requirements. Though it is flexible, such a financing mechanism subjects the firm to refinancing risk, especially during times of decreasing creditworthiness. The common rollovers are </w:t>
      </w:r>
      <w:r w:rsidRPr="00EB412B">
        <w:rPr>
          <w:lang w:val="en-GB"/>
        </w:rPr>
        <w:lastRenderedPageBreak/>
        <w:t>exposed to interest rate risk and lender trust. There is a high refinancing risk to the firm</w:t>
      </w:r>
      <w:r w:rsidR="00E3443A" w:rsidRPr="00EB412B">
        <w:rPr>
          <w:lang w:val="en-GB"/>
        </w:rPr>
        <w:t xml:space="preserve">, as any </w:t>
      </w:r>
      <w:r w:rsidRPr="00EB412B">
        <w:rPr>
          <w:lang w:val="en-GB"/>
        </w:rPr>
        <w:t xml:space="preserve">further operating losses will hamper the access to short-term credit on favourable terms. </w:t>
      </w:r>
      <w:r w:rsidR="00423C05" w:rsidRPr="00EB412B">
        <w:rPr>
          <w:lang w:val="en-GB"/>
        </w:rPr>
        <w:t>As per Burch et al., (2025), t</w:t>
      </w:r>
      <w:r w:rsidRPr="00EB412B">
        <w:rPr>
          <w:lang w:val="en-GB"/>
        </w:rPr>
        <w:t>his danger is increased by the long cash conversion cycles that keep the liquidity levels high. A more sensible solution would be to equalise the life of assets to the maturity of funding. Long-term instruments should be used to finance permanent working capital and lessen the liquidity pressure, and stabilise the cash flows. The matching of financing structure and asset duration enhances the resilience of the balance sheets and a plausible turnaround strategy, particularly in enterprises that are aimed at restoring financial health (Braunsberger and Aschauer, 2025).</w:t>
      </w:r>
    </w:p>
    <w:p w14:paraId="2CF0B9EC" w14:textId="77777777" w:rsidR="00E3443A" w:rsidRPr="00EB412B" w:rsidRDefault="00E3443A" w:rsidP="00EB412B">
      <w:pPr>
        <w:rPr>
          <w:b/>
          <w:bCs/>
          <w:lang w:val="en-GB"/>
        </w:rPr>
      </w:pPr>
      <w:bookmarkStart w:id="38" w:name="_yw6o9d2m769m" w:colFirst="0" w:colLast="0"/>
      <w:bookmarkEnd w:id="38"/>
      <w:r w:rsidRPr="00EB412B">
        <w:rPr>
          <w:lang w:val="en-GB"/>
        </w:rPr>
        <w:br w:type="page"/>
      </w:r>
    </w:p>
    <w:p w14:paraId="4EE853D9" w14:textId="22D6FE91" w:rsidR="00714BE2" w:rsidRPr="00EB412B" w:rsidRDefault="00000000" w:rsidP="00EB412B">
      <w:pPr>
        <w:pStyle w:val="Heading1"/>
        <w:rPr>
          <w:lang w:val="en-GB"/>
        </w:rPr>
      </w:pPr>
      <w:bookmarkStart w:id="39" w:name="_Toc217295780"/>
      <w:r w:rsidRPr="00EB412B">
        <w:rPr>
          <w:lang w:val="en-GB"/>
        </w:rPr>
        <w:lastRenderedPageBreak/>
        <w:t>4. Strategic Financial Restructuring Plan</w:t>
      </w:r>
      <w:bookmarkEnd w:id="39"/>
    </w:p>
    <w:p w14:paraId="41E59914" w14:textId="77777777" w:rsidR="00714BE2" w:rsidRPr="00EB412B" w:rsidRDefault="00000000" w:rsidP="00EB412B">
      <w:pPr>
        <w:pStyle w:val="Heading2"/>
        <w:rPr>
          <w:lang w:val="en-GB"/>
        </w:rPr>
      </w:pPr>
      <w:bookmarkStart w:id="40" w:name="_r1vf5pw7o4f5" w:colFirst="0" w:colLast="0"/>
      <w:bookmarkStart w:id="41" w:name="_Toc217295781"/>
      <w:bookmarkEnd w:id="40"/>
      <w:r w:rsidRPr="00EB412B">
        <w:rPr>
          <w:lang w:val="en-GB"/>
        </w:rPr>
        <w:t>4.1 Need for Financial Restructuring</w:t>
      </w:r>
      <w:bookmarkEnd w:id="41"/>
    </w:p>
    <w:p w14:paraId="202E67AA" w14:textId="77777777" w:rsidR="00714BE2" w:rsidRPr="00EB412B" w:rsidRDefault="00000000" w:rsidP="00EB412B">
      <w:pPr>
        <w:rPr>
          <w:lang w:val="en-GB"/>
        </w:rPr>
      </w:pPr>
      <w:r w:rsidRPr="00EB412B">
        <w:rPr>
          <w:lang w:val="en-GB"/>
        </w:rPr>
        <w:t>General Electronics is experiencing an extreme requirement for a complete financial restructuring because of chronic operating and net losses in the past few years. These losses have made the retained earnings gradually decrease and thus the internal ability to finance to a point of reducing the capability of the firm to finance innovation, shock management and the ability to maintain the competitive positioning. The persistence of negative profitability is an indication that the current strategic and financial systems have reached the end of their lives. The effects of the losses can be seen in the declining equity base of the firm. Leverage increases mechanically as equity decreases, without the need to do such aggressive borrowing. This type of erosion makes the investor less confident and raises the cost of capital of the firm. According to Rano and Rano (2025), decreasing equity makes bankruptcy risk dramatically high, as it decreases the intermediary strength of the balance sheet and limits the possibility of external financing. This has had the effect of reducing overall balance-sheet resilience. Liquidity buffers are tightened, dependence on short-term credit has grown, and financial manoeuvres have decreased. Unless properly addressed in time, these conditions may lead to irredeemable financial misery. Restructuring here needs to be done decisively and simultaneously on the assets, capital structure and operations.</w:t>
      </w:r>
    </w:p>
    <w:p w14:paraId="2F4B9E9B" w14:textId="77777777" w:rsidR="00714BE2" w:rsidRPr="00EB412B" w:rsidRDefault="00000000" w:rsidP="00EB412B">
      <w:pPr>
        <w:pStyle w:val="Heading2"/>
        <w:rPr>
          <w:lang w:val="en-GB"/>
        </w:rPr>
      </w:pPr>
      <w:bookmarkStart w:id="42" w:name="_59h6xgkas545" w:colFirst="0" w:colLast="0"/>
      <w:bookmarkStart w:id="43" w:name="_Toc217295782"/>
      <w:bookmarkEnd w:id="42"/>
      <w:r w:rsidRPr="00EB412B">
        <w:rPr>
          <w:lang w:val="en-GB"/>
        </w:rPr>
        <w:t>4.2 Proposed Restructuring Options</w:t>
      </w:r>
      <w:bookmarkEnd w:id="43"/>
    </w:p>
    <w:p w14:paraId="03105C7B" w14:textId="77777777" w:rsidR="00714BE2" w:rsidRPr="00EB412B" w:rsidRDefault="00000000" w:rsidP="00EB412B">
      <w:pPr>
        <w:pStyle w:val="Heading3"/>
        <w:rPr>
          <w:lang w:val="en-GB"/>
        </w:rPr>
      </w:pPr>
      <w:bookmarkStart w:id="44" w:name="_sw9dslk26528" w:colFirst="0" w:colLast="0"/>
      <w:bookmarkStart w:id="45" w:name="_Toc217295783"/>
      <w:bookmarkEnd w:id="44"/>
      <w:r w:rsidRPr="00EB412B">
        <w:rPr>
          <w:lang w:val="en-GB"/>
        </w:rPr>
        <w:t>4.2.1 Asset Divestiture</w:t>
      </w:r>
      <w:bookmarkEnd w:id="45"/>
    </w:p>
    <w:p w14:paraId="25B888B1" w14:textId="77777777" w:rsidR="00714BE2" w:rsidRPr="00EB412B" w:rsidRDefault="00000000" w:rsidP="00EB412B">
      <w:pPr>
        <w:rPr>
          <w:lang w:val="en-GB"/>
        </w:rPr>
      </w:pPr>
      <w:r w:rsidRPr="00EB412B">
        <w:rPr>
          <w:lang w:val="en-GB"/>
        </w:rPr>
        <w:t>Divestiture of non-performing business units should form part of the turnaround strategy. The non-core lines of products and unprofitable geographical operations weaken the focus of the management and consume limited financial resources. Disposing of or selling such units would enable the company to focus on areas that are more profitable and have a sustainable demand. The sale of assets would harvest cash inflows in the short term, which would consolidate liquidity and allow the partial reduction of debts. It would also enhance consolidated margins by the elimination of structurally unprofitable operations. Altman et al. (2025) demonstrate that effective recoveries are typically preceded by effective asset retrenchment, repositioning the asset base with viable sources of revenue.</w:t>
      </w:r>
    </w:p>
    <w:p w14:paraId="3360B603" w14:textId="77777777" w:rsidR="00714BE2" w:rsidRPr="00EB412B" w:rsidRDefault="00000000" w:rsidP="00EB412B">
      <w:pPr>
        <w:pStyle w:val="Heading3"/>
        <w:rPr>
          <w:lang w:val="en-GB"/>
        </w:rPr>
      </w:pPr>
      <w:bookmarkStart w:id="46" w:name="_40aih3ofwvw" w:colFirst="0" w:colLast="0"/>
      <w:bookmarkStart w:id="47" w:name="_Toc217295784"/>
      <w:bookmarkEnd w:id="46"/>
      <w:r w:rsidRPr="00EB412B">
        <w:rPr>
          <w:lang w:val="en-GB"/>
        </w:rPr>
        <w:lastRenderedPageBreak/>
        <w:t>4.2.2 Capital Structure Repair</w:t>
      </w:r>
      <w:bookmarkEnd w:id="47"/>
    </w:p>
    <w:p w14:paraId="2033550D" w14:textId="38EDA700" w:rsidR="00714BE2" w:rsidRPr="00EB412B" w:rsidRDefault="00000000" w:rsidP="00EB412B">
      <w:pPr>
        <w:rPr>
          <w:lang w:val="en-GB"/>
        </w:rPr>
      </w:pPr>
      <w:r w:rsidRPr="00EB412B">
        <w:rPr>
          <w:lang w:val="en-GB"/>
        </w:rPr>
        <w:t>The weak capital structure of the firm should also be dealt with through financial restructuring. An equity injection or rights issue would assist in restoring the equity base and excessive leverage. Strengthening equity may increase solvency and raise creditor and investor confidence, although, possibly, it may be dilutive in the short term. The company should also work towards decreasing treasury stock buybacks. The ongoing share buybacks in times of financial distress undermine liquidity and convey bad messages on capital discipline. Shifting the cash to stabilise the balance sheet would help in preserving value in the long run. Besides that, debt refinancing is necessary to minimise refinancing risk. The cash flows would be stabilised, and the pressure on liquidity would be reduced by replacing the short-term revolving credit with long-term debt, which is matched with the asset lives. Syafaat and Timuriana (2025) argue</w:t>
      </w:r>
      <w:r w:rsidR="00061264" w:rsidRPr="00EB412B">
        <w:rPr>
          <w:lang w:val="en-GB"/>
        </w:rPr>
        <w:t>d</w:t>
      </w:r>
      <w:r w:rsidRPr="00EB412B">
        <w:rPr>
          <w:lang w:val="en-GB"/>
        </w:rPr>
        <w:t xml:space="preserve"> that a better capital structure fit goes a long way in increasing financial sustainability at stages of restructuring.</w:t>
      </w:r>
    </w:p>
    <w:p w14:paraId="6C52A3E5" w14:textId="77777777" w:rsidR="00714BE2" w:rsidRPr="00EB412B" w:rsidRDefault="00000000" w:rsidP="00EB412B">
      <w:pPr>
        <w:pStyle w:val="Heading3"/>
        <w:rPr>
          <w:lang w:val="en-GB"/>
        </w:rPr>
      </w:pPr>
      <w:bookmarkStart w:id="48" w:name="_qf4hka2aer5l" w:colFirst="0" w:colLast="0"/>
      <w:bookmarkStart w:id="49" w:name="_Toc217295785"/>
      <w:bookmarkEnd w:id="48"/>
      <w:r w:rsidRPr="00EB412B">
        <w:rPr>
          <w:lang w:val="en-GB"/>
        </w:rPr>
        <w:t>4.2.3 Operational Financial Discipline</w:t>
      </w:r>
      <w:bookmarkEnd w:id="49"/>
    </w:p>
    <w:p w14:paraId="39666FAB" w14:textId="3F9B023C" w:rsidR="00714BE2" w:rsidRPr="00EB412B" w:rsidRDefault="00000000" w:rsidP="00EB412B">
      <w:pPr>
        <w:rPr>
          <w:lang w:val="en-GB"/>
        </w:rPr>
      </w:pPr>
      <w:r w:rsidRPr="00EB412B">
        <w:rPr>
          <w:lang w:val="en-GB"/>
        </w:rPr>
        <w:t xml:space="preserve">Operational financial discipline is </w:t>
      </w:r>
      <w:r w:rsidR="00232D6E" w:rsidRPr="00EB412B">
        <w:rPr>
          <w:lang w:val="en-GB"/>
        </w:rPr>
        <w:t xml:space="preserve">necessary </w:t>
      </w:r>
      <w:r w:rsidR="00BA26F1" w:rsidRPr="00EB412B">
        <w:rPr>
          <w:lang w:val="en-GB"/>
        </w:rPr>
        <w:t>to</w:t>
      </w:r>
      <w:r w:rsidRPr="00EB412B">
        <w:rPr>
          <w:lang w:val="en-GB"/>
        </w:rPr>
        <w:t xml:space="preserve"> reinforce structural financial repair. The cost base restructuring is supposed to be directed at the fixed overheads, unnecessary administrative layers and support functions which are not very efficient. Reduced cost of fixedness increases resilience to revenue fluctuations and decreases the break-even point of the firm. It is also important to prioritise </w:t>
      </w:r>
      <w:r w:rsidR="00232D6E" w:rsidRPr="00EB412B">
        <w:rPr>
          <w:lang w:val="en-GB"/>
        </w:rPr>
        <w:t>capital</w:t>
      </w:r>
      <w:r w:rsidRPr="00EB412B">
        <w:rPr>
          <w:lang w:val="en-GB"/>
        </w:rPr>
        <w:t>. The investments should be restricted to those projects which promote core competitiveness and show the existence of cash flow. Unnecessary or speculative spending must be put off until financial sanity is regained. The company ought to also seek a renegotiation of leases in order to minimise the fixed commitments in the long run. The ability to exit excess facilities or renegotiate the terms of the leases can lead to a significant reduction in operating leverage. According to Lohrke and Frownfelter-Lohrke (2025), restricting cost control is a crucial element in ensuring that the turnaround gains are not temporary.</w:t>
      </w:r>
    </w:p>
    <w:p w14:paraId="29D6C71E" w14:textId="77777777" w:rsidR="00714BE2" w:rsidRPr="00EB412B" w:rsidRDefault="00000000" w:rsidP="00EB412B">
      <w:pPr>
        <w:pStyle w:val="Heading2"/>
        <w:rPr>
          <w:lang w:val="en-GB"/>
        </w:rPr>
      </w:pPr>
      <w:bookmarkStart w:id="50" w:name="_66aojkpgwygr" w:colFirst="0" w:colLast="0"/>
      <w:bookmarkStart w:id="51" w:name="_Toc217295786"/>
      <w:bookmarkEnd w:id="50"/>
      <w:r w:rsidRPr="00EB412B">
        <w:rPr>
          <w:lang w:val="en-GB"/>
        </w:rPr>
        <w:t>4.3 Impact on Shareholder Value and Financial Risk</w:t>
      </w:r>
      <w:bookmarkEnd w:id="51"/>
    </w:p>
    <w:p w14:paraId="2FA19521" w14:textId="4681A2E9" w:rsidR="00714BE2" w:rsidRPr="00EB412B" w:rsidRDefault="00000000" w:rsidP="00EB412B">
      <w:pPr>
        <w:rPr>
          <w:lang w:val="en-GB"/>
        </w:rPr>
      </w:pPr>
      <w:r w:rsidRPr="00EB412B">
        <w:rPr>
          <w:lang w:val="en-GB"/>
        </w:rPr>
        <w:t xml:space="preserve">It is anticipated that the suggested restructuring plan will enhance liquidity by selling assets, minimising discretionary expenditure, and repairing the capital structure. Increased liquidity reduces default risk in the short term and gives the management more room to operate in the recovery process. The rebuilding of equity and refinancing of the debt will enable the firm to attain lower gearing, which will lower financial risk </w:t>
      </w:r>
      <w:r w:rsidRPr="00EB412B">
        <w:rPr>
          <w:lang w:val="en-GB"/>
        </w:rPr>
        <w:lastRenderedPageBreak/>
        <w:t xml:space="preserve">and earnings volatility. Reduced leverage is also credited with enhancing creditworthiness, making it easier to access funds at more favourable conditions. Reorganising would also recover investment potential through selective occurrences of reinvestment in innovation and repositioning the market. The given improvements will probably make markets more confident, with the stakeholders perceiving the decisive restructuring as a sign of credible leadership and recovery possibility. </w:t>
      </w:r>
      <w:r w:rsidR="00BA26F1" w:rsidRPr="00EB412B">
        <w:rPr>
          <w:lang w:val="en-GB"/>
        </w:rPr>
        <w:t>S</w:t>
      </w:r>
      <w:r w:rsidRPr="00EB412B">
        <w:rPr>
          <w:lang w:val="en-GB"/>
        </w:rPr>
        <w:t>trategic direction is imperative in restoring investor confidence in an organisation in a turnaround circumstance</w:t>
      </w:r>
      <w:r w:rsidR="00BA26F1" w:rsidRPr="00EB412B">
        <w:rPr>
          <w:lang w:val="en-GB"/>
        </w:rPr>
        <w:t xml:space="preserve"> (Georgakakis et al. 2025)</w:t>
      </w:r>
      <w:r w:rsidRPr="00EB412B">
        <w:rPr>
          <w:lang w:val="en-GB"/>
        </w:rPr>
        <w:t>.</w:t>
      </w:r>
    </w:p>
    <w:p w14:paraId="64E2D48C" w14:textId="77777777" w:rsidR="00714BE2" w:rsidRPr="00EB412B" w:rsidRDefault="00000000" w:rsidP="00EB412B">
      <w:pPr>
        <w:pStyle w:val="Heading2"/>
        <w:rPr>
          <w:lang w:val="en-GB"/>
        </w:rPr>
      </w:pPr>
      <w:bookmarkStart w:id="52" w:name="_91961aqkmmsy" w:colFirst="0" w:colLast="0"/>
      <w:bookmarkStart w:id="53" w:name="_Toc217295787"/>
      <w:bookmarkEnd w:id="52"/>
      <w:r w:rsidRPr="00EB412B">
        <w:rPr>
          <w:lang w:val="en-GB"/>
        </w:rPr>
        <w:t>4.4 International and Ethical Considerations</w:t>
      </w:r>
      <w:bookmarkEnd w:id="53"/>
    </w:p>
    <w:p w14:paraId="4EBF1935" w14:textId="51664AE6" w:rsidR="00A40559" w:rsidRPr="00EB412B" w:rsidRDefault="00000000" w:rsidP="00EB412B">
      <w:pPr>
        <w:rPr>
          <w:lang w:val="en-GB"/>
        </w:rPr>
      </w:pPr>
      <w:r w:rsidRPr="00EB412B">
        <w:rPr>
          <w:lang w:val="en-GB"/>
        </w:rPr>
        <w:t xml:space="preserve">General Electronics, as a multinational company, should include currency risk management as part of its restructuring process. Exchange rate volatility impacts the cash flows, debt servicing and asset values. Better controls on treasury and natural hedging plans would mitigate exposure and stabilise financial results. Another threat to the firm is the inflation in the world supply chains. Increasing input and logistics rates pose a threat to recovering margins, unless there is active control. The inflationary pressures must be controlled through supplier diversification and renegotiation to ensure profitability. Restructuring decisions have major ESG and CSR consequences. The reduction of assets and cutting of costs should be done in a responsible manner that does not cause a bad reputation. McKenzie and Marx (2025) note that effective governance and transparency are important in ensuring that the stakeholders have confidence in the financial recovery process. Lastly, the conflict between the ethics of lowering costs and workforce sustainability should be handled with caution. The results of excessive downsizing can provide short-term benefits at the cost of long-term potential and morale. </w:t>
      </w:r>
      <w:r w:rsidR="00BA26F1" w:rsidRPr="00EB412B">
        <w:rPr>
          <w:lang w:val="en-GB"/>
        </w:rPr>
        <w:t>S</w:t>
      </w:r>
      <w:r w:rsidRPr="00EB412B">
        <w:rPr>
          <w:lang w:val="en-GB"/>
        </w:rPr>
        <w:t>ustainable turnarounds are a balance between the recovery of financial gains and human capital management that is responsible, especially in organisations with a global footprint in their operations</w:t>
      </w:r>
      <w:r w:rsidR="00034BD5" w:rsidRPr="00EB412B">
        <w:rPr>
          <w:lang w:val="en-GB"/>
        </w:rPr>
        <w:t xml:space="preserve"> (Chikove and Hofisi, 2025)</w:t>
      </w:r>
      <w:r w:rsidRPr="00EB412B">
        <w:rPr>
          <w:lang w:val="en-GB"/>
        </w:rPr>
        <w:t>. Senapati et al. (2025) also reveal</w:t>
      </w:r>
      <w:r w:rsidR="00A40559" w:rsidRPr="00EB412B">
        <w:rPr>
          <w:lang w:val="en-GB"/>
        </w:rPr>
        <w:t>ed</w:t>
      </w:r>
      <w:r w:rsidRPr="00EB412B">
        <w:rPr>
          <w:lang w:val="en-GB"/>
        </w:rPr>
        <w:t xml:space="preserve"> that ethically-based restructuring fosters organisational resilience in the long term.</w:t>
      </w:r>
      <w:bookmarkStart w:id="54" w:name="_bdrr3438dn9" w:colFirst="0" w:colLast="0"/>
      <w:bookmarkEnd w:id="54"/>
      <w:r w:rsidR="00A40559" w:rsidRPr="00EB412B">
        <w:rPr>
          <w:lang w:val="en-GB"/>
        </w:rPr>
        <w:br w:type="page"/>
      </w:r>
    </w:p>
    <w:p w14:paraId="59E6FEC0" w14:textId="4957F782" w:rsidR="00714BE2" w:rsidRPr="00EB412B" w:rsidRDefault="00000000" w:rsidP="00EB412B">
      <w:pPr>
        <w:pStyle w:val="Heading1"/>
        <w:rPr>
          <w:lang w:val="en-GB"/>
        </w:rPr>
      </w:pPr>
      <w:bookmarkStart w:id="55" w:name="_Toc217295788"/>
      <w:r w:rsidRPr="00EB412B">
        <w:rPr>
          <w:lang w:val="en-GB"/>
        </w:rPr>
        <w:lastRenderedPageBreak/>
        <w:t>5. Investment Appraisal and Capital Budgeting</w:t>
      </w:r>
      <w:bookmarkEnd w:id="55"/>
    </w:p>
    <w:p w14:paraId="0DC7FA1F" w14:textId="77777777" w:rsidR="00714BE2" w:rsidRPr="00EB412B" w:rsidRDefault="00000000" w:rsidP="00EB412B">
      <w:pPr>
        <w:pStyle w:val="Heading2"/>
        <w:rPr>
          <w:lang w:val="en-GB"/>
        </w:rPr>
      </w:pPr>
      <w:bookmarkStart w:id="56" w:name="_rwyvzg7j4fej" w:colFirst="0" w:colLast="0"/>
      <w:bookmarkStart w:id="57" w:name="_Toc217295789"/>
      <w:bookmarkEnd w:id="56"/>
      <w:r w:rsidRPr="00EB412B">
        <w:rPr>
          <w:lang w:val="en-GB"/>
        </w:rPr>
        <w:t>5.1 Rationale for Capital Rationing</w:t>
      </w:r>
      <w:bookmarkEnd w:id="57"/>
    </w:p>
    <w:p w14:paraId="4BD34017" w14:textId="38D27206" w:rsidR="00714BE2" w:rsidRPr="00EB412B" w:rsidRDefault="00000000" w:rsidP="00EB412B">
      <w:pPr>
        <w:rPr>
          <w:lang w:val="en-GB"/>
        </w:rPr>
      </w:pPr>
      <w:r w:rsidRPr="00EB412B">
        <w:rPr>
          <w:lang w:val="en-GB"/>
        </w:rPr>
        <w:t>General Electronics is a business that lives on capital rationing whereby the business is limited to an investment capacity of up to £60 million, which is mainly caused by liquidity constraints. Continuous operating losses and loss of sustainability of cash flows limit the possibility of the firm financing several huge projects at a given time. Capital rationing thus arises as a form of maintaining liquidity as well as to avoid further depreciation of the balance sheet. Another essential reason why risk management justifies rationing is that risk kills. In inefficient companies, wrong capital allocation may hasten the failure instead of recovery when they are in a state of financial distress. Fasano et al. (2025)</w:t>
      </w:r>
      <w:r w:rsidR="00BA6205" w:rsidRPr="00EB412B">
        <w:rPr>
          <w:lang w:val="en-GB"/>
        </w:rPr>
        <w:t xml:space="preserve"> added that</w:t>
      </w:r>
      <w:r w:rsidRPr="00EB412B">
        <w:rPr>
          <w:lang w:val="en-GB"/>
        </w:rPr>
        <w:t xml:space="preserve"> the investment decisions in the crisis situation should focus on protecting the downside risk more than the optimistic growth assumptions. Strategic focus is also exercised by capital rationing. Restrained investments will compel the management to choose projects that are very much comparable to the recovery goals, capacity of operations, as well as the risk tolerance of the firm. </w:t>
      </w:r>
      <w:r w:rsidR="00BA6205" w:rsidRPr="00EB412B">
        <w:rPr>
          <w:lang w:val="en-GB"/>
        </w:rPr>
        <w:t>I</w:t>
      </w:r>
      <w:r w:rsidRPr="00EB412B">
        <w:rPr>
          <w:lang w:val="en-GB"/>
        </w:rPr>
        <w:t>t is necessary to have disciplined board-level capital allocation, as this is the only way to avoid bankruptcy and rebuild investor confidence in the troubled companies</w:t>
      </w:r>
      <w:r w:rsidR="00BA6205" w:rsidRPr="00EB412B">
        <w:rPr>
          <w:lang w:val="en-GB"/>
        </w:rPr>
        <w:t xml:space="preserve"> (Yahaya, 2025)</w:t>
      </w:r>
      <w:r w:rsidRPr="00EB412B">
        <w:rPr>
          <w:lang w:val="en-GB"/>
        </w:rPr>
        <w:t>.</w:t>
      </w:r>
    </w:p>
    <w:p w14:paraId="024EA17A" w14:textId="11781B40" w:rsidR="00714BE2" w:rsidRPr="00EB412B" w:rsidRDefault="00000000" w:rsidP="00EB412B">
      <w:pPr>
        <w:pStyle w:val="Heading2"/>
        <w:rPr>
          <w:lang w:val="en-GB"/>
        </w:rPr>
      </w:pPr>
      <w:bookmarkStart w:id="58" w:name="_28kz3o82t7s7" w:colFirst="0" w:colLast="0"/>
      <w:bookmarkStart w:id="59" w:name="_Toc217295790"/>
      <w:bookmarkEnd w:id="58"/>
      <w:r w:rsidRPr="00EB412B">
        <w:rPr>
          <w:lang w:val="en-GB"/>
        </w:rPr>
        <w:t>5.2 Investment Appraisal Methods</w:t>
      </w:r>
      <w:bookmarkEnd w:id="59"/>
      <w:r w:rsidRPr="00EB412B">
        <w:rPr>
          <w:lang w:val="en-GB"/>
        </w:rPr>
        <w:t xml:space="preserve"> </w:t>
      </w:r>
    </w:p>
    <w:p w14:paraId="1D95871C" w14:textId="77777777" w:rsidR="00714BE2" w:rsidRPr="00EB412B" w:rsidRDefault="00000000" w:rsidP="00EB412B">
      <w:pPr>
        <w:rPr>
          <w:lang w:val="en-GB"/>
        </w:rPr>
      </w:pPr>
      <w:r w:rsidRPr="00EB412B">
        <w:rPr>
          <w:lang w:val="en-GB"/>
        </w:rPr>
        <w:t>Payback period is used to evaluate the time that is necessary to recover the investment in the form of cash inflows. It also places more importance on liquidity and the reduction of risk, but not on the time value of money. Accounting Rate of Return (ARR) is an evaluation of the average accounting profit of the initial investment. Although rudimentary, it is based on accounting values as opposed to cash flows. NPV value measures the value creation by discounting future cash flows at the expense of capital. Positive NPV is an indicator of value addition to shareholders. PI is the value created per pound invested, and is useful especially when there is capital rationing. Internal rate of Return (IRR) approximates the discount rate at which NPV is paid off. Despite its intuitive nature, IRR can also be inaccurate when applied in the comparison of projects of varying magnitudes or cash flow profiles (Michalkova and Ponisciakova, 2025).</w:t>
      </w:r>
    </w:p>
    <w:p w14:paraId="0C6D0316" w14:textId="77777777" w:rsidR="00714BE2" w:rsidRPr="00EB412B" w:rsidRDefault="00000000" w:rsidP="00EB412B">
      <w:pPr>
        <w:pStyle w:val="Heading2"/>
        <w:rPr>
          <w:lang w:val="en-GB"/>
        </w:rPr>
      </w:pPr>
      <w:bookmarkStart w:id="60" w:name="_4r7wb7tpgeid" w:colFirst="0" w:colLast="0"/>
      <w:bookmarkStart w:id="61" w:name="_Toc217295791"/>
      <w:bookmarkEnd w:id="60"/>
      <w:r w:rsidRPr="00EB412B">
        <w:rPr>
          <w:lang w:val="en-GB"/>
        </w:rPr>
        <w:t>5.3 Project A Evaluation</w:t>
      </w:r>
      <w:bookmarkEnd w:id="61"/>
    </w:p>
    <w:p w14:paraId="4D1C192A" w14:textId="418CC35D" w:rsidR="00714BE2" w:rsidRPr="00EB412B" w:rsidRDefault="00000000" w:rsidP="00EB412B">
      <w:r w:rsidRPr="00EB412B">
        <w:rPr>
          <w:lang w:val="en-GB"/>
        </w:rPr>
        <w:t xml:space="preserve">Project A will have a start-up investment of </w:t>
      </w:r>
      <w:r w:rsidR="00A35FC4" w:rsidRPr="00EB412B">
        <w:rPr>
          <w:lang w:val="en-GB"/>
        </w:rPr>
        <w:t>£</w:t>
      </w:r>
      <w:r w:rsidRPr="00EB412B">
        <w:rPr>
          <w:lang w:val="en-GB"/>
        </w:rPr>
        <w:t>40 million with initial cash inflows that are front-loaded</w:t>
      </w:r>
      <w:r w:rsidR="00D17A12" w:rsidRPr="00EB412B">
        <w:rPr>
          <w:lang w:val="en-GB"/>
        </w:rPr>
        <w:t>,</w:t>
      </w:r>
      <w:r w:rsidRPr="00EB412B">
        <w:rPr>
          <w:lang w:val="en-GB"/>
        </w:rPr>
        <w:t xml:space="preserve"> but decreasing</w:t>
      </w:r>
      <w:r w:rsidR="00D17A12" w:rsidRPr="00EB412B">
        <w:rPr>
          <w:lang w:val="en-GB"/>
        </w:rPr>
        <w:t xml:space="preserve"> [</w:t>
      </w:r>
      <w:r w:rsidR="00D17A12" w:rsidRPr="00EB412B">
        <w:rPr>
          <w:b/>
          <w:bCs/>
          <w:i/>
          <w:iCs/>
          <w:lang w:val="en-GB"/>
        </w:rPr>
        <w:t>Refer to Appendix C</w:t>
      </w:r>
      <w:r w:rsidR="00D17A12" w:rsidRPr="00EB412B">
        <w:rPr>
          <w:lang w:val="en-GB"/>
        </w:rPr>
        <w:t>]</w:t>
      </w:r>
      <w:r w:rsidRPr="00EB412B">
        <w:rPr>
          <w:lang w:val="en-GB"/>
        </w:rPr>
        <w:t xml:space="preserve">. The liquidity recovery is </w:t>
      </w:r>
      <w:r w:rsidRPr="00EB412B">
        <w:rPr>
          <w:lang w:val="en-GB"/>
        </w:rPr>
        <w:lastRenderedPageBreak/>
        <w:t xml:space="preserve">moderately low, and the payback period is about 3.4 years. This payback period is good, but not the best, considering the limited liquidity status of the firm. ARR of Project A is around 7.00, and that has been determined using straight-line depreciation to zero. The amount of this return is small and less than the average shareholder expectancy, which means that they do not contribute much in terms of profitability. With a rate of payment of 10%, Project A will have an NPV of about </w:t>
      </w:r>
      <w:r w:rsidR="00A35FC4" w:rsidRPr="00EB412B">
        <w:rPr>
          <w:lang w:val="en-GB"/>
        </w:rPr>
        <w:t>£</w:t>
      </w:r>
      <w:r w:rsidRPr="00EB412B">
        <w:rPr>
          <w:lang w:val="en-GB"/>
        </w:rPr>
        <w:t>1.31 million, implying marginal value-formation. Its PI is 1.0,3, which means that the value generated per pound invested is low. The IRR is about 11, which is just over the cost of capital. Project A has a moderate risk because of the falling later-stage cash flow, which puts more uncertainty on reinvestment. Mammah and Ohazurike (2025) claim</w:t>
      </w:r>
      <w:r w:rsidR="00C3027E" w:rsidRPr="00EB412B">
        <w:rPr>
          <w:lang w:val="en-GB"/>
        </w:rPr>
        <w:t>ed</w:t>
      </w:r>
      <w:r w:rsidRPr="00EB412B">
        <w:rPr>
          <w:lang w:val="en-GB"/>
        </w:rPr>
        <w:t xml:space="preserve"> that projects that have small efficiency payoffs can promote stability, but seldom create any significant turnaround impetus.</w:t>
      </w:r>
    </w:p>
    <w:p w14:paraId="49FE469C" w14:textId="77777777" w:rsidR="00714BE2" w:rsidRPr="00EB412B" w:rsidRDefault="00000000" w:rsidP="00EB412B">
      <w:pPr>
        <w:pStyle w:val="Heading2"/>
        <w:rPr>
          <w:lang w:val="en-GB"/>
        </w:rPr>
      </w:pPr>
      <w:bookmarkStart w:id="62" w:name="_8lfamqen6u61" w:colFirst="0" w:colLast="0"/>
      <w:bookmarkStart w:id="63" w:name="_Toc217295792"/>
      <w:bookmarkEnd w:id="62"/>
      <w:r w:rsidRPr="00EB412B">
        <w:rPr>
          <w:lang w:val="en-GB"/>
        </w:rPr>
        <w:t>5.4 Project B Evaluation</w:t>
      </w:r>
      <w:bookmarkEnd w:id="63"/>
    </w:p>
    <w:p w14:paraId="3AE7AD28" w14:textId="6B84C264" w:rsidR="00714BE2" w:rsidRPr="00EB412B" w:rsidRDefault="00000000" w:rsidP="00EB412B">
      <w:pPr>
        <w:rPr>
          <w:lang w:val="en-GB"/>
        </w:rPr>
      </w:pPr>
      <w:r w:rsidRPr="00EB412B">
        <w:rPr>
          <w:lang w:val="en-GB"/>
        </w:rPr>
        <w:t xml:space="preserve">Project B is an investment with an initial cost of £30 million and provides a stable inflow of cash of 6 million annually in the next five years. The payback period is </w:t>
      </w:r>
      <w:r w:rsidR="00A35FC4" w:rsidRPr="00EB412B">
        <w:rPr>
          <w:lang w:val="en-GB"/>
        </w:rPr>
        <w:t>5</w:t>
      </w:r>
      <w:r w:rsidRPr="00EB412B">
        <w:rPr>
          <w:lang w:val="en-GB"/>
        </w:rPr>
        <w:t xml:space="preserve"> years, hence the slowest project to recuperate invested capital. Liquidity protection is undermined by slow payment, although stability is desirable. Project B has an ARR of 0, which means that the average cash inflows are equal to annual depreciation. This shows that the project does not make accounting profits. The NPV of the project is -7.25 million, which is a clear indication of value destruction. The PI is 0.7,6, which implies that every pound invested </w:t>
      </w:r>
      <w:r w:rsidR="00232D6E" w:rsidRPr="00EB412B">
        <w:rPr>
          <w:lang w:val="en-GB"/>
        </w:rPr>
        <w:t>kill</w:t>
      </w:r>
      <w:r w:rsidRPr="00EB412B">
        <w:rPr>
          <w:lang w:val="en-GB"/>
        </w:rPr>
        <w:t xml:space="preserve"> value. The cost of capital, in comparison with the IRR, is quite low, about 0%. Project B has low volatility but low returns, thus being inappropriate in the case of a firm undergoing a financial crisis. Makuvaza et al. (2025) illustrate that recovery probability is decreased by distressed firms investing in projects that yield low returns despite the cash flows being apparently stable.</w:t>
      </w:r>
    </w:p>
    <w:p w14:paraId="64EAB33E" w14:textId="77777777" w:rsidR="00714BE2" w:rsidRPr="00EB412B" w:rsidRDefault="00000000" w:rsidP="00EB412B">
      <w:pPr>
        <w:pStyle w:val="Heading2"/>
        <w:rPr>
          <w:lang w:val="en-GB"/>
        </w:rPr>
      </w:pPr>
      <w:bookmarkStart w:id="64" w:name="_l2y0ewux68wr" w:colFirst="0" w:colLast="0"/>
      <w:bookmarkStart w:id="65" w:name="_Toc217295793"/>
      <w:bookmarkEnd w:id="64"/>
      <w:r w:rsidRPr="00EB412B">
        <w:rPr>
          <w:lang w:val="en-GB"/>
        </w:rPr>
        <w:t>5.5 Project C Evaluation</w:t>
      </w:r>
      <w:bookmarkEnd w:id="65"/>
    </w:p>
    <w:p w14:paraId="1AEB37F4" w14:textId="77777777" w:rsidR="00714BE2" w:rsidRPr="00EB412B" w:rsidRDefault="00000000" w:rsidP="00EB412B">
      <w:pPr>
        <w:rPr>
          <w:lang w:val="en-GB"/>
        </w:rPr>
      </w:pPr>
      <w:r w:rsidRPr="00EB412B">
        <w:rPr>
          <w:lang w:val="en-GB"/>
        </w:rPr>
        <w:t xml:space="preserve">Project C involves s greater initial investment of £50 million and good growth-oriented cash flows. The payback period is around 3.6 years, which is fair, taking into consideration the scale of the project. The ARR of Project C is around 10%, which is the highest among the three projects. This represents greater potential profitability as compared to invested capital. A 10% discount rate will provide an NPV of about £4.23 million, which is the largest of all projects. The PI stands at 1.08, thus showing strong value creation per pound invested. The estimated IRR is between 13-,1,4 which is well above the cost of capital. The project is riskier because of the delay in receiving cash </w:t>
      </w:r>
      <w:r w:rsidRPr="00EB412B">
        <w:rPr>
          <w:lang w:val="en-GB"/>
        </w:rPr>
        <w:lastRenderedPageBreak/>
        <w:t>at the beginning of the project, especially in the first few years. Nonetheless, this risk is offset by its good value creation. McGrath and O’Neill (2025) demonstrate that a sound choice of growth-oriented investments may aid the successful restructuring in the context of strategic repositioning.</w:t>
      </w:r>
    </w:p>
    <w:p w14:paraId="4CCE4ABB" w14:textId="77777777" w:rsidR="00714BE2" w:rsidRPr="00EB412B" w:rsidRDefault="00000000" w:rsidP="00EB412B">
      <w:pPr>
        <w:pStyle w:val="Heading2"/>
        <w:rPr>
          <w:lang w:val="en-GB"/>
        </w:rPr>
      </w:pPr>
      <w:bookmarkStart w:id="66" w:name="_vpq19yg1962a" w:colFirst="0" w:colLast="0"/>
      <w:bookmarkStart w:id="67" w:name="_Toc217295794"/>
      <w:bookmarkEnd w:id="66"/>
      <w:r w:rsidRPr="00EB412B">
        <w:rPr>
          <w:lang w:val="en-GB"/>
        </w:rPr>
        <w:t>5.6 Final Investment Recommendation</w:t>
      </w:r>
      <w:bookmarkEnd w:id="67"/>
    </w:p>
    <w:p w14:paraId="2115BF87" w14:textId="5836910B" w:rsidR="00714BE2" w:rsidRPr="00EB412B" w:rsidRDefault="00000000" w:rsidP="00EB412B">
      <w:pPr>
        <w:rPr>
          <w:lang w:val="en-GB"/>
        </w:rPr>
      </w:pPr>
      <w:r w:rsidRPr="00EB412B">
        <w:rPr>
          <w:lang w:val="en-GB"/>
        </w:rPr>
        <w:t>In the case of the capital constraint of less than £60 million, the optimal choice is to choose Project C alone. Project</w:t>
      </w:r>
      <w:r w:rsidR="00A35FC4" w:rsidRPr="00EB412B">
        <w:rPr>
          <w:lang w:val="en-GB"/>
        </w:rPr>
        <w:t>s</w:t>
      </w:r>
      <w:r w:rsidRPr="00EB412B">
        <w:rPr>
          <w:lang w:val="en-GB"/>
        </w:rPr>
        <w:t xml:space="preserve"> A and C are over the capital limit, but Project C alone is the one that provides the best NPV, PI, ARR, and IRR. This suggestion is in line with the financial status of General Electronics. The company needs investments that will create significant value instead of marginal returns. The more profitable Project C will allow the company to recover on the balance sheet and be competitive in the long term. Project C is the most risk-adjusted to provide the best trade-off between growth and financial recovery. Meilia (2025) emphasises that troubled firms have better chances of survival when they put capital in projects that have high value creation as opposed to capital being evenly distributed across a number of investments.</w:t>
      </w:r>
    </w:p>
    <w:p w14:paraId="6A08C82E" w14:textId="77777777" w:rsidR="00A35FC4" w:rsidRPr="00EB412B" w:rsidRDefault="00A35FC4" w:rsidP="00EB412B">
      <w:pPr>
        <w:rPr>
          <w:lang w:val="en-GB"/>
        </w:rPr>
      </w:pPr>
    </w:p>
    <w:p w14:paraId="5A615E7B" w14:textId="77777777" w:rsidR="00714BE2" w:rsidRPr="00EB412B" w:rsidRDefault="00000000" w:rsidP="00EB412B">
      <w:pPr>
        <w:pStyle w:val="Heading1"/>
        <w:rPr>
          <w:lang w:val="en-GB"/>
        </w:rPr>
      </w:pPr>
      <w:bookmarkStart w:id="68" w:name="_8bh73m93iomn" w:colFirst="0" w:colLast="0"/>
      <w:bookmarkStart w:id="69" w:name="_Toc217295795"/>
      <w:bookmarkEnd w:id="68"/>
      <w:r w:rsidRPr="00EB412B">
        <w:rPr>
          <w:lang w:val="en-GB"/>
        </w:rPr>
        <w:t>6. Conclusion</w:t>
      </w:r>
      <w:bookmarkEnd w:id="69"/>
    </w:p>
    <w:p w14:paraId="6472769D" w14:textId="77777777" w:rsidR="00714BE2" w:rsidRPr="00EB412B" w:rsidRDefault="00000000" w:rsidP="00EB412B">
      <w:pPr>
        <w:rPr>
          <w:lang w:val="en-GB"/>
        </w:rPr>
      </w:pPr>
      <w:r w:rsidRPr="00EB412B">
        <w:rPr>
          <w:lang w:val="en-GB"/>
        </w:rPr>
        <w:t>General Electronics is experiencing structural financial vulnerabilities that are characterised by long-term losses, falling returns, and deteriorated liquidity. A turnaround led by a CFO should focus on financial stabilisation, rigid cost and working capital discipline, and value-driven allocation of capital. Through less leverage and disciplined investments, the company will be able to regain its profitability, recreate confidence and as well as attain long-term global sustainability.</w:t>
      </w:r>
      <w:r w:rsidRPr="00EB412B">
        <w:rPr>
          <w:lang w:val="en-GB"/>
        </w:rPr>
        <w:br w:type="page"/>
      </w:r>
    </w:p>
    <w:p w14:paraId="3FACDE65" w14:textId="4750F3BB" w:rsidR="00A36657" w:rsidRPr="00EB412B" w:rsidRDefault="00000000" w:rsidP="00EB412B">
      <w:pPr>
        <w:pStyle w:val="Heading1"/>
        <w:rPr>
          <w:lang w:val="en-GB"/>
        </w:rPr>
      </w:pPr>
      <w:bookmarkStart w:id="70" w:name="_1m6x6bdqru4y" w:colFirst="0" w:colLast="0"/>
      <w:bookmarkStart w:id="71" w:name="_Toc217295796"/>
      <w:bookmarkEnd w:id="70"/>
      <w:r w:rsidRPr="00EB412B">
        <w:rPr>
          <w:lang w:val="en-GB"/>
        </w:rPr>
        <w:lastRenderedPageBreak/>
        <w:t>References</w:t>
      </w:r>
      <w:bookmarkEnd w:id="71"/>
    </w:p>
    <w:p w14:paraId="65DCADEB" w14:textId="77777777" w:rsidR="00A36657" w:rsidRPr="00EB412B" w:rsidRDefault="00A36657" w:rsidP="00EB412B">
      <w:pPr>
        <w:spacing w:after="240"/>
      </w:pPr>
      <w:r w:rsidRPr="00EB412B">
        <w:rPr>
          <w:color w:val="222222"/>
          <w:shd w:val="clear" w:color="auto" w:fill="FFFFFF"/>
        </w:rPr>
        <w:t>Altman, E.I., Balzano, M., Giannozzi, A., Liguori, E. and Srhoj, S., 2025. Bouncing back to the surface: Factors determining SME recovery. </w:t>
      </w:r>
      <w:r w:rsidRPr="00EB412B">
        <w:rPr>
          <w:i/>
          <w:iCs/>
          <w:color w:val="222222"/>
          <w:shd w:val="clear" w:color="auto" w:fill="FFFFFF"/>
        </w:rPr>
        <w:t>Journal of small business management</w:t>
      </w:r>
      <w:r w:rsidRPr="00EB412B">
        <w:rPr>
          <w:color w:val="222222"/>
          <w:shd w:val="clear" w:color="auto" w:fill="FFFFFF"/>
        </w:rPr>
        <w:t>, </w:t>
      </w:r>
      <w:r w:rsidRPr="00EB412B">
        <w:rPr>
          <w:i/>
          <w:iCs/>
          <w:color w:val="222222"/>
          <w:shd w:val="clear" w:color="auto" w:fill="FFFFFF"/>
        </w:rPr>
        <w:t>63</w:t>
      </w:r>
      <w:r w:rsidRPr="00EB412B">
        <w:rPr>
          <w:color w:val="222222"/>
          <w:shd w:val="clear" w:color="auto" w:fill="FFFFFF"/>
        </w:rPr>
        <w:t xml:space="preserve">(4), pp.1856-1883. </w:t>
      </w:r>
      <w:hyperlink r:id="rId19" w:history="1">
        <w:r w:rsidRPr="00EB412B">
          <w:rPr>
            <w:rStyle w:val="Hyperlink"/>
            <w:shd w:val="clear" w:color="auto" w:fill="FFFFFF"/>
          </w:rPr>
          <w:t>https://www.tandfonline.com/doi/abs/10.1080/00472778.2024.2415302</w:t>
        </w:r>
      </w:hyperlink>
    </w:p>
    <w:p w14:paraId="5E08F96B" w14:textId="77777777" w:rsidR="00A36657" w:rsidRPr="00EB412B" w:rsidRDefault="00A36657" w:rsidP="00EB412B">
      <w:pPr>
        <w:spacing w:after="240"/>
      </w:pPr>
      <w:r w:rsidRPr="00EB412B">
        <w:rPr>
          <w:color w:val="222222"/>
          <w:shd w:val="clear" w:color="auto" w:fill="FFFFFF"/>
        </w:rPr>
        <w:t>Braunsberger, C. and Aschauer, E., 2025. Corporate failure prediction: A literature review of Altman Z-score and machine learning models within a technology adoption framework. </w:t>
      </w:r>
      <w:r w:rsidRPr="00EB412B">
        <w:rPr>
          <w:i/>
          <w:iCs/>
          <w:color w:val="222222"/>
          <w:shd w:val="clear" w:color="auto" w:fill="FFFFFF"/>
        </w:rPr>
        <w:t>Journal of Risk and Financial Management</w:t>
      </w:r>
      <w:r w:rsidRPr="00EB412B">
        <w:rPr>
          <w:color w:val="222222"/>
          <w:shd w:val="clear" w:color="auto" w:fill="FFFFFF"/>
        </w:rPr>
        <w:t>, </w:t>
      </w:r>
      <w:r w:rsidRPr="00EB412B">
        <w:rPr>
          <w:i/>
          <w:iCs/>
          <w:color w:val="222222"/>
          <w:shd w:val="clear" w:color="auto" w:fill="FFFFFF"/>
        </w:rPr>
        <w:t>18</w:t>
      </w:r>
      <w:r w:rsidRPr="00EB412B">
        <w:rPr>
          <w:color w:val="222222"/>
          <w:shd w:val="clear" w:color="auto" w:fill="FFFFFF"/>
        </w:rPr>
        <w:t xml:space="preserve">(8), p.465. </w:t>
      </w:r>
      <w:hyperlink r:id="rId20" w:history="1">
        <w:r w:rsidRPr="00EB412B">
          <w:rPr>
            <w:rStyle w:val="Hyperlink"/>
            <w:shd w:val="clear" w:color="auto" w:fill="FFFFFF"/>
          </w:rPr>
          <w:t>https://www.mdpi.com/1911-8074/18/8/465</w:t>
        </w:r>
      </w:hyperlink>
    </w:p>
    <w:p w14:paraId="1955710A" w14:textId="77777777" w:rsidR="00A36657" w:rsidRPr="00EB412B" w:rsidRDefault="00A36657" w:rsidP="00EB412B">
      <w:pPr>
        <w:spacing w:after="240"/>
      </w:pPr>
      <w:r w:rsidRPr="00EB412B">
        <w:rPr>
          <w:color w:val="222222"/>
          <w:shd w:val="clear" w:color="auto" w:fill="FFFFFF"/>
        </w:rPr>
        <w:t>Burch, T., Daspit, J.J., Silva, J. and Skorodziyevskiy, V., 2025. From setbacks to comebacks: a systematic review of family firm decline and turnaround. </w:t>
      </w:r>
      <w:r w:rsidRPr="00EB412B">
        <w:rPr>
          <w:i/>
          <w:iCs/>
          <w:color w:val="222222"/>
          <w:shd w:val="clear" w:color="auto" w:fill="FFFFFF"/>
        </w:rPr>
        <w:t>Research Handbook on Turnaround Strategies</w:t>
      </w:r>
      <w:r w:rsidRPr="00EB412B">
        <w:rPr>
          <w:color w:val="222222"/>
          <w:shd w:val="clear" w:color="auto" w:fill="FFFFFF"/>
        </w:rPr>
        <w:t xml:space="preserve">, pp.48-73. </w:t>
      </w:r>
      <w:hyperlink r:id="rId21" w:history="1">
        <w:r w:rsidRPr="00EB412B">
          <w:rPr>
            <w:rStyle w:val="Hyperlink"/>
            <w:shd w:val="clear" w:color="auto" w:fill="FFFFFF"/>
          </w:rPr>
          <w:t>https://www.elgaronline.com/abstract/book/9781035315901/chapter3.xml</w:t>
        </w:r>
      </w:hyperlink>
    </w:p>
    <w:p w14:paraId="7DDE4713" w14:textId="77777777" w:rsidR="00A36657" w:rsidRPr="00EB412B" w:rsidRDefault="00A36657" w:rsidP="00EB412B">
      <w:pPr>
        <w:spacing w:after="240"/>
      </w:pPr>
      <w:r w:rsidRPr="00EB412B">
        <w:rPr>
          <w:color w:val="222222"/>
          <w:shd w:val="clear" w:color="auto" w:fill="FFFFFF"/>
        </w:rPr>
        <w:t>Chikove, M. and Hofisi, C., 2025. Turnaround and Human Capital Strategies during and Post-COVID-19 Eras: Challenges and Implications for People Managers in the Zimbabwean Gold Mining Sector. </w:t>
      </w:r>
      <w:r w:rsidRPr="00EB412B">
        <w:rPr>
          <w:i/>
          <w:iCs/>
          <w:color w:val="222222"/>
          <w:shd w:val="clear" w:color="auto" w:fill="FFFFFF"/>
        </w:rPr>
        <w:t>E-Journal of Humanities Arts and Social Sciences</w:t>
      </w:r>
      <w:r w:rsidRPr="00EB412B">
        <w:rPr>
          <w:color w:val="222222"/>
          <w:shd w:val="clear" w:color="auto" w:fill="FFFFFF"/>
        </w:rPr>
        <w:t>, </w:t>
      </w:r>
      <w:r w:rsidRPr="00EB412B">
        <w:rPr>
          <w:i/>
          <w:iCs/>
          <w:color w:val="222222"/>
          <w:shd w:val="clear" w:color="auto" w:fill="FFFFFF"/>
        </w:rPr>
        <w:t>6</w:t>
      </w:r>
      <w:r w:rsidRPr="00EB412B">
        <w:rPr>
          <w:color w:val="222222"/>
          <w:shd w:val="clear" w:color="auto" w:fill="FFFFFF"/>
        </w:rPr>
        <w:t xml:space="preserve">(7), pp.1192-1209. </w:t>
      </w:r>
      <w:hyperlink r:id="rId22" w:history="1">
        <w:r w:rsidRPr="00EB412B">
          <w:rPr>
            <w:rStyle w:val="Hyperlink"/>
            <w:shd w:val="clear" w:color="auto" w:fill="FFFFFF"/>
          </w:rPr>
          <w:t>https://noyam.org/wp-content/uploads/2025/06/EHASS20256719.pdf</w:t>
        </w:r>
      </w:hyperlink>
    </w:p>
    <w:p w14:paraId="535997D1" w14:textId="77777777" w:rsidR="00A36657" w:rsidRPr="00EB412B" w:rsidRDefault="00A36657" w:rsidP="00EB412B">
      <w:pPr>
        <w:spacing w:after="240"/>
      </w:pPr>
      <w:r w:rsidRPr="00EB412B">
        <w:rPr>
          <w:color w:val="222222"/>
          <w:shd w:val="clear" w:color="auto" w:fill="FFFFFF"/>
        </w:rPr>
        <w:t>Dallocchio, M., Caputo, A., Tron, A. and Colantoni, F., 2025. It's a matter of time! CEO turnover and corporate turnarounds in Italy. </w:t>
      </w:r>
      <w:r w:rsidRPr="00EB412B">
        <w:rPr>
          <w:i/>
          <w:iCs/>
          <w:color w:val="222222"/>
          <w:shd w:val="clear" w:color="auto" w:fill="FFFFFF"/>
        </w:rPr>
        <w:t>Journal of Management &amp; Organization</w:t>
      </w:r>
      <w:r w:rsidRPr="00EB412B">
        <w:rPr>
          <w:color w:val="222222"/>
          <w:shd w:val="clear" w:color="auto" w:fill="FFFFFF"/>
        </w:rPr>
        <w:t>, </w:t>
      </w:r>
      <w:r w:rsidRPr="00EB412B">
        <w:rPr>
          <w:i/>
          <w:iCs/>
          <w:color w:val="222222"/>
          <w:shd w:val="clear" w:color="auto" w:fill="FFFFFF"/>
        </w:rPr>
        <w:t>31</w:t>
      </w:r>
      <w:r w:rsidRPr="00EB412B">
        <w:rPr>
          <w:color w:val="222222"/>
          <w:shd w:val="clear" w:color="auto" w:fill="FFFFFF"/>
        </w:rPr>
        <w:t xml:space="preserve">(4), pp.2155-2175. </w:t>
      </w:r>
      <w:hyperlink r:id="rId23" w:history="1">
        <w:r w:rsidRPr="00EB412B">
          <w:rPr>
            <w:rStyle w:val="Hyperlink"/>
            <w:shd w:val="clear" w:color="auto" w:fill="FFFFFF"/>
          </w:rPr>
          <w:t>https://www.cambridge.org/core/journals/journal-of-management-and-organization/article/its-a-matter-of-time-ceo-turnover-and-corporate-turnarounds-in-italy/E581B2388B0773298949342D2FE26796</w:t>
        </w:r>
      </w:hyperlink>
    </w:p>
    <w:p w14:paraId="2F2206C4" w14:textId="77777777" w:rsidR="00A36657" w:rsidRPr="00EB412B" w:rsidRDefault="00A36657" w:rsidP="00EB412B">
      <w:pPr>
        <w:spacing w:after="240"/>
      </w:pPr>
      <w:r w:rsidRPr="00EB412B">
        <w:rPr>
          <w:color w:val="222222"/>
          <w:shd w:val="clear" w:color="auto" w:fill="FFFFFF"/>
        </w:rPr>
        <w:t>Darmayanti, N., Jamil, A. and Waedaramae, W., 2025, March. The Effect of Severity, Asset Retrenchment, Downsizing and Leverage on The Success of Corporate Turnaround with Profitability as a Moderating Variable. In </w:t>
      </w:r>
      <w:r w:rsidRPr="00EB412B">
        <w:rPr>
          <w:i/>
          <w:iCs/>
          <w:color w:val="222222"/>
          <w:shd w:val="clear" w:color="auto" w:fill="FFFFFF"/>
        </w:rPr>
        <w:t>Proceeding of International Conference on Social Science and Humanity</w:t>
      </w:r>
      <w:r w:rsidRPr="00EB412B">
        <w:rPr>
          <w:color w:val="222222"/>
          <w:shd w:val="clear" w:color="auto" w:fill="FFFFFF"/>
        </w:rPr>
        <w:t xml:space="preserve"> (Vol. 2, No. 1, pp. 12-25). </w:t>
      </w:r>
      <w:hyperlink r:id="rId24" w:history="1">
        <w:r w:rsidRPr="00EB412B">
          <w:rPr>
            <w:rStyle w:val="Hyperlink"/>
            <w:shd w:val="clear" w:color="auto" w:fill="FFFFFF"/>
          </w:rPr>
          <w:t>https://proceedings.antispublisher.org/index.php/icossh/article/view/62</w:t>
        </w:r>
      </w:hyperlink>
    </w:p>
    <w:p w14:paraId="476A5EE0" w14:textId="77777777" w:rsidR="00A36657" w:rsidRPr="00EB412B" w:rsidRDefault="00A36657" w:rsidP="00EB412B">
      <w:pPr>
        <w:spacing w:after="240"/>
      </w:pPr>
      <w:r w:rsidRPr="00EB412B">
        <w:rPr>
          <w:color w:val="222222"/>
          <w:shd w:val="clear" w:color="auto" w:fill="FFFFFF"/>
        </w:rPr>
        <w:t xml:space="preserve">Fasano, F., Adornetto, C., Zahid, I., La Rocca, M., Montaleone, L., Greco, G. and Cariola, A., 2025. The dilemma of accuracy in bankruptcy prediction: a new approach </w:t>
      </w:r>
      <w:r w:rsidRPr="00EB412B">
        <w:rPr>
          <w:color w:val="222222"/>
          <w:shd w:val="clear" w:color="auto" w:fill="FFFFFF"/>
        </w:rPr>
        <w:lastRenderedPageBreak/>
        <w:t>using explainable AI techniques to predict corporate crises. </w:t>
      </w:r>
      <w:r w:rsidRPr="00EB412B">
        <w:rPr>
          <w:i/>
          <w:iCs/>
          <w:color w:val="222222"/>
          <w:shd w:val="clear" w:color="auto" w:fill="FFFFFF"/>
        </w:rPr>
        <w:t>European Journal of Innovation Management</w:t>
      </w:r>
      <w:r w:rsidRPr="00EB412B">
        <w:rPr>
          <w:color w:val="222222"/>
          <w:shd w:val="clear" w:color="auto" w:fill="FFFFFF"/>
        </w:rPr>
        <w:t>, </w:t>
      </w:r>
      <w:r w:rsidRPr="00EB412B">
        <w:rPr>
          <w:i/>
          <w:iCs/>
          <w:color w:val="222222"/>
          <w:shd w:val="clear" w:color="auto" w:fill="FFFFFF"/>
        </w:rPr>
        <w:t>28</w:t>
      </w:r>
      <w:r w:rsidRPr="00EB412B">
        <w:rPr>
          <w:color w:val="222222"/>
          <w:shd w:val="clear" w:color="auto" w:fill="FFFFFF"/>
        </w:rPr>
        <w:t xml:space="preserve">(11), pp.1-22. </w:t>
      </w:r>
      <w:hyperlink r:id="rId25" w:history="1">
        <w:r w:rsidRPr="00EB412B">
          <w:rPr>
            <w:rStyle w:val="Hyperlink"/>
            <w:shd w:val="clear" w:color="auto" w:fill="FFFFFF"/>
          </w:rPr>
          <w:t>https://www.emerald.com/ejim/article-abstract/28/11/1/1267119</w:t>
        </w:r>
      </w:hyperlink>
    </w:p>
    <w:p w14:paraId="56C690C3" w14:textId="77777777" w:rsidR="00A36657" w:rsidRPr="00EB412B" w:rsidRDefault="00A36657" w:rsidP="00EB412B">
      <w:pPr>
        <w:spacing w:after="240"/>
      </w:pPr>
      <w:r w:rsidRPr="00EB412B">
        <w:rPr>
          <w:color w:val="222222"/>
          <w:shd w:val="clear" w:color="auto" w:fill="FFFFFF"/>
        </w:rPr>
        <w:t>Forstner, F.F., Vassolo, R. and Sevil, A., 2025. Different strokes for different folks: A review of SME decline and turnaround. </w:t>
      </w:r>
      <w:r w:rsidRPr="00EB412B">
        <w:rPr>
          <w:i/>
          <w:iCs/>
          <w:color w:val="222222"/>
          <w:shd w:val="clear" w:color="auto" w:fill="FFFFFF"/>
        </w:rPr>
        <w:t>Journal of Small Business Management</w:t>
      </w:r>
      <w:r w:rsidRPr="00EB412B">
        <w:rPr>
          <w:color w:val="222222"/>
          <w:shd w:val="clear" w:color="auto" w:fill="FFFFFF"/>
        </w:rPr>
        <w:t xml:space="preserve">, pp.1-34. </w:t>
      </w:r>
      <w:hyperlink r:id="rId26" w:history="1">
        <w:r w:rsidRPr="00EB412B">
          <w:rPr>
            <w:rStyle w:val="Hyperlink"/>
            <w:shd w:val="clear" w:color="auto" w:fill="FFFFFF"/>
          </w:rPr>
          <w:t>https://www.tandfonline.com/doi/abs/10.1080/00472778.2025.2515072</w:t>
        </w:r>
      </w:hyperlink>
    </w:p>
    <w:p w14:paraId="1AAC7D6E" w14:textId="77777777" w:rsidR="00A36657" w:rsidRPr="00EB412B" w:rsidRDefault="00A36657" w:rsidP="00EB412B">
      <w:pPr>
        <w:spacing w:after="240"/>
      </w:pPr>
      <w:r w:rsidRPr="00EB412B">
        <w:rPr>
          <w:color w:val="222222"/>
          <w:shd w:val="clear" w:color="auto" w:fill="FFFFFF"/>
        </w:rPr>
        <w:t>Georgakakis, D., Ma, Y., Dwivedi, P. and Cannella Jr, A.A., 2025. Divided We Stand: Top Management Ideological Separation as an Impediment to Strategic Change in Turnaround Situations. </w:t>
      </w:r>
      <w:r w:rsidRPr="00EB412B">
        <w:rPr>
          <w:i/>
          <w:iCs/>
          <w:color w:val="222222"/>
          <w:shd w:val="clear" w:color="auto" w:fill="FFFFFF"/>
        </w:rPr>
        <w:t>British Journal of Management</w:t>
      </w:r>
      <w:r w:rsidRPr="00EB412B">
        <w:rPr>
          <w:color w:val="222222"/>
          <w:shd w:val="clear" w:color="auto" w:fill="FFFFFF"/>
        </w:rPr>
        <w:t xml:space="preserve">. </w:t>
      </w:r>
      <w:hyperlink r:id="rId27" w:history="1">
        <w:r w:rsidRPr="00EB412B">
          <w:rPr>
            <w:rStyle w:val="Hyperlink"/>
            <w:shd w:val="clear" w:color="auto" w:fill="FFFFFF"/>
          </w:rPr>
          <w:t>https://onlinelibrary.wiley.com/doi/abs/10.1111/1467-8551.12882</w:t>
        </w:r>
      </w:hyperlink>
    </w:p>
    <w:p w14:paraId="6654B0B6" w14:textId="77777777" w:rsidR="00A36657" w:rsidRPr="00EB412B" w:rsidRDefault="00A36657" w:rsidP="00EB412B">
      <w:pPr>
        <w:spacing w:after="240"/>
      </w:pPr>
      <w:r w:rsidRPr="00EB412B">
        <w:rPr>
          <w:color w:val="222222"/>
          <w:shd w:val="clear" w:color="auto" w:fill="FFFFFF"/>
        </w:rPr>
        <w:t>Gribnitz, K.J., Pretorius, M. and le Roux, S., 2025. Exploring the salience of fundamental moments in turnaround research. </w:t>
      </w:r>
      <w:r w:rsidRPr="00EB412B">
        <w:rPr>
          <w:i/>
          <w:iCs/>
          <w:color w:val="222222"/>
          <w:shd w:val="clear" w:color="auto" w:fill="FFFFFF"/>
        </w:rPr>
        <w:t>Journal of Contemporary Management</w:t>
      </w:r>
      <w:r w:rsidRPr="00EB412B">
        <w:rPr>
          <w:color w:val="222222"/>
          <w:shd w:val="clear" w:color="auto" w:fill="FFFFFF"/>
        </w:rPr>
        <w:t>, </w:t>
      </w:r>
      <w:r w:rsidRPr="00EB412B">
        <w:rPr>
          <w:i/>
          <w:iCs/>
          <w:color w:val="222222"/>
          <w:shd w:val="clear" w:color="auto" w:fill="FFFFFF"/>
        </w:rPr>
        <w:t>22</w:t>
      </w:r>
      <w:r w:rsidRPr="00EB412B">
        <w:rPr>
          <w:color w:val="222222"/>
          <w:shd w:val="clear" w:color="auto" w:fill="FFFFFF"/>
        </w:rPr>
        <w:t xml:space="preserve">(1), pp.73-99. </w:t>
      </w:r>
      <w:hyperlink r:id="rId28" w:history="1">
        <w:r w:rsidRPr="00EB412B">
          <w:rPr>
            <w:rStyle w:val="Hyperlink"/>
            <w:shd w:val="clear" w:color="auto" w:fill="FFFFFF"/>
          </w:rPr>
          <w:t>https://journals.co.za/doi/abs/10.35683/jcm23.005.285</w:t>
        </w:r>
      </w:hyperlink>
    </w:p>
    <w:p w14:paraId="5A0C2875" w14:textId="77777777" w:rsidR="00A36657" w:rsidRPr="00EB412B" w:rsidRDefault="00A36657" w:rsidP="00EB412B">
      <w:pPr>
        <w:spacing w:after="240"/>
      </w:pPr>
      <w:r w:rsidRPr="00EB412B">
        <w:rPr>
          <w:color w:val="222222"/>
          <w:shd w:val="clear" w:color="auto" w:fill="FFFFFF"/>
        </w:rPr>
        <w:t>Jabeen, M., 2025. Impact of Corporate Life Cycle Stages on Managerial Restructuring: The Moderating Effect of Financial Distress. </w:t>
      </w:r>
      <w:r w:rsidRPr="00EB412B">
        <w:rPr>
          <w:i/>
          <w:iCs/>
          <w:color w:val="222222"/>
          <w:shd w:val="clear" w:color="auto" w:fill="FFFFFF"/>
        </w:rPr>
        <w:t>Social Science Review Archives</w:t>
      </w:r>
      <w:r w:rsidRPr="00EB412B">
        <w:rPr>
          <w:color w:val="222222"/>
          <w:shd w:val="clear" w:color="auto" w:fill="FFFFFF"/>
        </w:rPr>
        <w:t>, </w:t>
      </w:r>
      <w:r w:rsidRPr="00EB412B">
        <w:rPr>
          <w:i/>
          <w:iCs/>
          <w:color w:val="222222"/>
          <w:shd w:val="clear" w:color="auto" w:fill="FFFFFF"/>
        </w:rPr>
        <w:t>3</w:t>
      </w:r>
      <w:r w:rsidRPr="00EB412B">
        <w:rPr>
          <w:color w:val="222222"/>
          <w:shd w:val="clear" w:color="auto" w:fill="FFFFFF"/>
        </w:rPr>
        <w:t xml:space="preserve">(3), pp.103-118. </w:t>
      </w:r>
      <w:hyperlink r:id="rId29" w:history="1">
        <w:r w:rsidRPr="00EB412B">
          <w:rPr>
            <w:rStyle w:val="Hyperlink"/>
            <w:shd w:val="clear" w:color="auto" w:fill="FFFFFF"/>
          </w:rPr>
          <w:t>https://policyjournalofms.com/index.php/6/article/view/844</w:t>
        </w:r>
      </w:hyperlink>
    </w:p>
    <w:p w14:paraId="1F78F163" w14:textId="77777777" w:rsidR="00A36657" w:rsidRPr="00EB412B" w:rsidRDefault="00A36657" w:rsidP="00EB412B">
      <w:pPr>
        <w:spacing w:after="240"/>
      </w:pPr>
      <w:r w:rsidRPr="00EB412B">
        <w:rPr>
          <w:color w:val="222222"/>
          <w:shd w:val="clear" w:color="auto" w:fill="FFFFFF"/>
        </w:rPr>
        <w:t>Kamal, S.S. and Awan, S.H., 2025. Engineering Financial Resilience: Structuring Turnaround and Maintenance Financing Using Derivatives and Structured Instruments. </w:t>
      </w:r>
      <w:r w:rsidRPr="00EB412B">
        <w:rPr>
          <w:i/>
          <w:iCs/>
          <w:color w:val="222222"/>
          <w:shd w:val="clear" w:color="auto" w:fill="FFFFFF"/>
        </w:rPr>
        <w:t>Advance Journal of Econometrics and Finance</w:t>
      </w:r>
      <w:r w:rsidRPr="00EB412B">
        <w:rPr>
          <w:color w:val="222222"/>
          <w:shd w:val="clear" w:color="auto" w:fill="FFFFFF"/>
        </w:rPr>
        <w:t>, </w:t>
      </w:r>
      <w:r w:rsidRPr="00EB412B">
        <w:rPr>
          <w:i/>
          <w:iCs/>
          <w:color w:val="222222"/>
          <w:shd w:val="clear" w:color="auto" w:fill="FFFFFF"/>
        </w:rPr>
        <w:t>3</w:t>
      </w:r>
      <w:r w:rsidRPr="00EB412B">
        <w:rPr>
          <w:color w:val="222222"/>
          <w:shd w:val="clear" w:color="auto" w:fill="FFFFFF"/>
        </w:rPr>
        <w:t xml:space="preserve">(3), pp.143-153. </w:t>
      </w:r>
      <w:hyperlink r:id="rId30" w:history="1">
        <w:r w:rsidRPr="00EB412B">
          <w:rPr>
            <w:rStyle w:val="Hyperlink"/>
            <w:shd w:val="clear" w:color="auto" w:fill="FFFFFF"/>
          </w:rPr>
          <w:t>http://ajeaf.com/index.php/Journal/article/view/106</w:t>
        </w:r>
      </w:hyperlink>
    </w:p>
    <w:p w14:paraId="7DD1377B" w14:textId="77777777" w:rsidR="00A36657" w:rsidRPr="00EB412B" w:rsidRDefault="00A36657" w:rsidP="00EB412B">
      <w:pPr>
        <w:spacing w:after="240"/>
      </w:pPr>
      <w:r w:rsidRPr="00EB412B">
        <w:rPr>
          <w:color w:val="222222"/>
          <w:shd w:val="clear" w:color="auto" w:fill="FFFFFF"/>
        </w:rPr>
        <w:t>Lohrke, F.T. and Frownfelter-Lohrke, C., 2025. Once more unto the breach, dear friends: examining organizational decline and turnaround processes resulting from adverse cybersecurity events. In </w:t>
      </w:r>
      <w:r w:rsidRPr="00EB412B">
        <w:rPr>
          <w:i/>
          <w:iCs/>
          <w:color w:val="222222"/>
          <w:shd w:val="clear" w:color="auto" w:fill="FFFFFF"/>
        </w:rPr>
        <w:t>Research Handbook on Turnaround Strategies</w:t>
      </w:r>
      <w:r w:rsidRPr="00EB412B">
        <w:rPr>
          <w:color w:val="222222"/>
          <w:shd w:val="clear" w:color="auto" w:fill="FFFFFF"/>
        </w:rPr>
        <w:t xml:space="preserve"> (pp. 180-206). Edward Elgar Publishing. </w:t>
      </w:r>
      <w:hyperlink r:id="rId31" w:history="1">
        <w:r w:rsidRPr="00EB412B">
          <w:rPr>
            <w:rStyle w:val="Hyperlink"/>
            <w:shd w:val="clear" w:color="auto" w:fill="FFFFFF"/>
          </w:rPr>
          <w:t>https://www.elgaronline.com/abstract/book/9781035315901/chapter8.xml</w:t>
        </w:r>
      </w:hyperlink>
    </w:p>
    <w:p w14:paraId="5E4A65B0" w14:textId="77777777" w:rsidR="00A36657" w:rsidRPr="00EB412B" w:rsidRDefault="00A36657" w:rsidP="00EB412B">
      <w:pPr>
        <w:spacing w:after="240"/>
      </w:pPr>
      <w:r w:rsidRPr="00EB412B">
        <w:rPr>
          <w:color w:val="222222"/>
          <w:shd w:val="clear" w:color="auto" w:fill="FFFFFF"/>
        </w:rPr>
        <w:t>Makuvaza, L., Guvuriro, S., Chamboko, R. and Coetzee, J., 2025. Modelling the recovery of distressed firms on the Johannesburg Stock Exchange: a Cox proportional hazard model approach. </w:t>
      </w:r>
      <w:r w:rsidRPr="00EB412B">
        <w:rPr>
          <w:i/>
          <w:iCs/>
          <w:color w:val="222222"/>
          <w:shd w:val="clear" w:color="auto" w:fill="FFFFFF"/>
        </w:rPr>
        <w:t>Cogent Economics &amp; Finance</w:t>
      </w:r>
      <w:r w:rsidRPr="00EB412B">
        <w:rPr>
          <w:color w:val="222222"/>
          <w:shd w:val="clear" w:color="auto" w:fill="FFFFFF"/>
        </w:rPr>
        <w:t>, </w:t>
      </w:r>
      <w:r w:rsidRPr="00EB412B">
        <w:rPr>
          <w:i/>
          <w:iCs/>
          <w:color w:val="222222"/>
          <w:shd w:val="clear" w:color="auto" w:fill="FFFFFF"/>
        </w:rPr>
        <w:t>13</w:t>
      </w:r>
      <w:r w:rsidRPr="00EB412B">
        <w:rPr>
          <w:color w:val="222222"/>
          <w:shd w:val="clear" w:color="auto" w:fill="FFFFFF"/>
        </w:rPr>
        <w:t xml:space="preserve">(1), p.2521466. </w:t>
      </w:r>
      <w:hyperlink r:id="rId32" w:history="1">
        <w:r w:rsidRPr="00EB412B">
          <w:rPr>
            <w:rStyle w:val="Hyperlink"/>
            <w:shd w:val="clear" w:color="auto" w:fill="FFFFFF"/>
          </w:rPr>
          <w:t>https://www.tandfonline.com/doi/abs/10.1080/23322039.2025.2521466</w:t>
        </w:r>
      </w:hyperlink>
    </w:p>
    <w:p w14:paraId="672C0274" w14:textId="77777777" w:rsidR="00A36657" w:rsidRPr="00EB412B" w:rsidRDefault="00A36657" w:rsidP="00EB412B">
      <w:pPr>
        <w:spacing w:after="240"/>
      </w:pPr>
      <w:r w:rsidRPr="00EB412B">
        <w:rPr>
          <w:color w:val="222222"/>
          <w:shd w:val="clear" w:color="auto" w:fill="FFFFFF"/>
        </w:rPr>
        <w:lastRenderedPageBreak/>
        <w:t>Mammah, C.U. and Ohazurike, P., 2025. Strategic branch management in commercial banks: Driving profitability through operational efficiency. </w:t>
      </w:r>
      <w:r w:rsidRPr="00EB412B">
        <w:rPr>
          <w:i/>
          <w:iCs/>
          <w:color w:val="222222"/>
          <w:shd w:val="clear" w:color="auto" w:fill="FFFFFF"/>
        </w:rPr>
        <w:t>International Journal of Research in Marketing Management and Sales</w:t>
      </w:r>
      <w:r w:rsidRPr="00EB412B">
        <w:rPr>
          <w:color w:val="222222"/>
          <w:shd w:val="clear" w:color="auto" w:fill="FFFFFF"/>
        </w:rPr>
        <w:t>, </w:t>
      </w:r>
      <w:r w:rsidRPr="00EB412B">
        <w:rPr>
          <w:i/>
          <w:iCs/>
          <w:color w:val="222222"/>
          <w:shd w:val="clear" w:color="auto" w:fill="FFFFFF"/>
        </w:rPr>
        <w:t>7</w:t>
      </w:r>
      <w:r w:rsidRPr="00EB412B">
        <w:rPr>
          <w:color w:val="222222"/>
          <w:shd w:val="clear" w:color="auto" w:fill="FFFFFF"/>
        </w:rPr>
        <w:t xml:space="preserve">(2), pp.233-242. </w:t>
      </w:r>
      <w:hyperlink r:id="rId33" w:history="1">
        <w:r w:rsidRPr="00EB412B">
          <w:rPr>
            <w:rStyle w:val="Hyperlink"/>
            <w:shd w:val="clear" w:color="auto" w:fill="FFFFFF"/>
          </w:rPr>
          <w:t>https://www.researchgate.net/profile/Chetachi-Mammah/publication/396384490_Strategic_branch_management_in_commercial_banks_Driving_profitability_through_operational_efficiency/links/68e91399e7f5f867e6de93fe/Strategic-branch-management-in-commercial-banks-Driving-profitability-through-operational-efficiency.pdf</w:t>
        </w:r>
      </w:hyperlink>
    </w:p>
    <w:p w14:paraId="1E66FD1A" w14:textId="77777777" w:rsidR="00A36657" w:rsidRPr="00EB412B" w:rsidRDefault="00A36657" w:rsidP="00EB412B">
      <w:pPr>
        <w:spacing w:after="240"/>
      </w:pPr>
      <w:r w:rsidRPr="00EB412B">
        <w:rPr>
          <w:color w:val="222222"/>
          <w:shd w:val="clear" w:color="auto" w:fill="FFFFFF"/>
        </w:rPr>
        <w:t>Maryani, A. and Ladista, R.D., 2025. Literatur Review: Financial Recovery Post Covid 19. </w:t>
      </w:r>
      <w:r w:rsidRPr="00EB412B">
        <w:rPr>
          <w:i/>
          <w:iCs/>
          <w:color w:val="222222"/>
          <w:shd w:val="clear" w:color="auto" w:fill="FFFFFF"/>
        </w:rPr>
        <w:t>Jurnal Ekonomi Manajemen Bisnis dan Akuntansi</w:t>
      </w:r>
      <w:r w:rsidRPr="00EB412B">
        <w:rPr>
          <w:color w:val="222222"/>
          <w:shd w:val="clear" w:color="auto" w:fill="FFFFFF"/>
        </w:rPr>
        <w:t>, </w:t>
      </w:r>
      <w:r w:rsidRPr="00EB412B">
        <w:rPr>
          <w:i/>
          <w:iCs/>
          <w:color w:val="222222"/>
          <w:shd w:val="clear" w:color="auto" w:fill="FFFFFF"/>
        </w:rPr>
        <w:t>1</w:t>
      </w:r>
      <w:r w:rsidRPr="00EB412B">
        <w:rPr>
          <w:color w:val="222222"/>
          <w:shd w:val="clear" w:color="auto" w:fill="FFFFFF"/>
        </w:rPr>
        <w:t xml:space="preserve">(2), pp.114-121. </w:t>
      </w:r>
      <w:hyperlink r:id="rId34" w:history="1">
        <w:r w:rsidRPr="00EB412B">
          <w:rPr>
            <w:rStyle w:val="Hyperlink"/>
            <w:shd w:val="clear" w:color="auto" w:fill="FFFFFF"/>
          </w:rPr>
          <w:t>https://e-journal.penerbit-altafcorp.com/index.php/jemba/article/view/10</w:t>
        </w:r>
      </w:hyperlink>
    </w:p>
    <w:p w14:paraId="70088391" w14:textId="77777777" w:rsidR="00A36657" w:rsidRPr="00EB412B" w:rsidRDefault="00A36657" w:rsidP="00EB412B">
      <w:pPr>
        <w:spacing w:after="240"/>
      </w:pPr>
      <w:r w:rsidRPr="00EB412B">
        <w:rPr>
          <w:color w:val="222222"/>
          <w:shd w:val="clear" w:color="auto" w:fill="FFFFFF"/>
        </w:rPr>
        <w:t>McGrath, P.J. and O’Neill, H.M., 2025. Release, retain, and reimagine: Lessons in corporate restructuring from spin-off firms. </w:t>
      </w:r>
      <w:r w:rsidRPr="00EB412B">
        <w:rPr>
          <w:i/>
          <w:iCs/>
          <w:color w:val="222222"/>
          <w:shd w:val="clear" w:color="auto" w:fill="FFFFFF"/>
        </w:rPr>
        <w:t>Business Horizons</w:t>
      </w:r>
      <w:r w:rsidRPr="00EB412B">
        <w:rPr>
          <w:color w:val="222222"/>
          <w:shd w:val="clear" w:color="auto" w:fill="FFFFFF"/>
        </w:rPr>
        <w:t xml:space="preserve">. </w:t>
      </w:r>
      <w:hyperlink r:id="rId35" w:history="1">
        <w:r w:rsidRPr="00EB412B">
          <w:rPr>
            <w:rStyle w:val="Hyperlink"/>
            <w:shd w:val="clear" w:color="auto" w:fill="FFFFFF"/>
          </w:rPr>
          <w:t>https://www.sciencedirect.com/science/article/pii/S0007681325001727</w:t>
        </w:r>
      </w:hyperlink>
    </w:p>
    <w:p w14:paraId="11AC4990" w14:textId="77777777" w:rsidR="00A36657" w:rsidRPr="00EB412B" w:rsidRDefault="00A36657" w:rsidP="00EB412B">
      <w:pPr>
        <w:spacing w:after="240"/>
      </w:pPr>
      <w:r w:rsidRPr="00EB412B">
        <w:rPr>
          <w:color w:val="222222"/>
          <w:shd w:val="clear" w:color="auto" w:fill="FFFFFF"/>
        </w:rPr>
        <w:t>McKenzie, M. and Marx, B., 2025. A Post-Mortem of Municipal Audit Action Plans Used to Resolve Financial Distress in South Africa. </w:t>
      </w:r>
      <w:r w:rsidRPr="00EB412B">
        <w:rPr>
          <w:i/>
          <w:iCs/>
          <w:color w:val="222222"/>
          <w:shd w:val="clear" w:color="auto" w:fill="FFFFFF"/>
        </w:rPr>
        <w:t>Sustainability</w:t>
      </w:r>
      <w:r w:rsidRPr="00EB412B">
        <w:rPr>
          <w:color w:val="222222"/>
          <w:shd w:val="clear" w:color="auto" w:fill="FFFFFF"/>
        </w:rPr>
        <w:t>, </w:t>
      </w:r>
      <w:r w:rsidRPr="00EB412B">
        <w:rPr>
          <w:i/>
          <w:iCs/>
          <w:color w:val="222222"/>
          <w:shd w:val="clear" w:color="auto" w:fill="FFFFFF"/>
        </w:rPr>
        <w:t>17</w:t>
      </w:r>
      <w:r w:rsidRPr="00EB412B">
        <w:rPr>
          <w:color w:val="222222"/>
          <w:shd w:val="clear" w:color="auto" w:fill="FFFFFF"/>
        </w:rPr>
        <w:t xml:space="preserve">(4), p.1535. </w:t>
      </w:r>
      <w:hyperlink r:id="rId36" w:history="1">
        <w:r w:rsidRPr="00EB412B">
          <w:rPr>
            <w:rStyle w:val="Hyperlink"/>
            <w:shd w:val="clear" w:color="auto" w:fill="FFFFFF"/>
          </w:rPr>
          <w:t>https://www.mdpi.com/2071-1050/17/4/1535</w:t>
        </w:r>
      </w:hyperlink>
    </w:p>
    <w:p w14:paraId="198EE4C5" w14:textId="77777777" w:rsidR="00A36657" w:rsidRPr="00EB412B" w:rsidRDefault="00A36657" w:rsidP="00EB412B">
      <w:pPr>
        <w:spacing w:after="240"/>
      </w:pPr>
      <w:r w:rsidRPr="00EB412B">
        <w:rPr>
          <w:color w:val="222222"/>
          <w:shd w:val="clear" w:color="auto" w:fill="FFFFFF"/>
        </w:rPr>
        <w:t>Meilia, F.D., 2025. Integrated Financial Ratio Analysis and Bankruptcy Forecasting in Indonesia’s E-Commerce Sector: Evidence from PT GoTo Tbk. </w:t>
      </w:r>
      <w:r w:rsidRPr="00EB412B">
        <w:rPr>
          <w:i/>
          <w:iCs/>
          <w:color w:val="222222"/>
          <w:shd w:val="clear" w:color="auto" w:fill="FFFFFF"/>
        </w:rPr>
        <w:t>SAJMR: Southeast Asian Journal of Management and Research</w:t>
      </w:r>
      <w:r w:rsidRPr="00EB412B">
        <w:rPr>
          <w:color w:val="222222"/>
          <w:shd w:val="clear" w:color="auto" w:fill="FFFFFF"/>
        </w:rPr>
        <w:t>, </w:t>
      </w:r>
      <w:r w:rsidRPr="00EB412B">
        <w:rPr>
          <w:i/>
          <w:iCs/>
          <w:color w:val="222222"/>
          <w:shd w:val="clear" w:color="auto" w:fill="FFFFFF"/>
        </w:rPr>
        <w:t>3</w:t>
      </w:r>
      <w:r w:rsidRPr="00EB412B">
        <w:rPr>
          <w:color w:val="222222"/>
          <w:shd w:val="clear" w:color="auto" w:fill="FFFFFF"/>
        </w:rPr>
        <w:t xml:space="preserve">(3), pp.236-257. </w:t>
      </w:r>
      <w:hyperlink r:id="rId37" w:history="1">
        <w:r w:rsidRPr="00EB412B">
          <w:rPr>
            <w:rStyle w:val="Hyperlink"/>
            <w:shd w:val="clear" w:color="auto" w:fill="FFFFFF"/>
          </w:rPr>
          <w:t>https://journal.yayasanpad.org/index.php/sajmr/article/view/409</w:t>
        </w:r>
      </w:hyperlink>
    </w:p>
    <w:p w14:paraId="19EB09AC" w14:textId="77777777" w:rsidR="00A36657" w:rsidRPr="00EB412B" w:rsidRDefault="00A36657" w:rsidP="00EB412B">
      <w:pPr>
        <w:spacing w:after="240"/>
      </w:pPr>
      <w:r w:rsidRPr="00EB412B">
        <w:rPr>
          <w:color w:val="222222"/>
          <w:shd w:val="clear" w:color="auto" w:fill="FFFFFF"/>
        </w:rPr>
        <w:t>Michalkova, L. and Ponisciakova, O., 2025. Bankruptcy Prediction, Financial Distress and Corporate Life Cycle: Case Study of Central European Enterprises. </w:t>
      </w:r>
      <w:r w:rsidRPr="00EB412B">
        <w:rPr>
          <w:i/>
          <w:iCs/>
          <w:color w:val="222222"/>
          <w:shd w:val="clear" w:color="auto" w:fill="FFFFFF"/>
        </w:rPr>
        <w:t>Administrative Sciences</w:t>
      </w:r>
      <w:r w:rsidRPr="00EB412B">
        <w:rPr>
          <w:color w:val="222222"/>
          <w:shd w:val="clear" w:color="auto" w:fill="FFFFFF"/>
        </w:rPr>
        <w:t>, </w:t>
      </w:r>
      <w:r w:rsidRPr="00EB412B">
        <w:rPr>
          <w:i/>
          <w:iCs/>
          <w:color w:val="222222"/>
          <w:shd w:val="clear" w:color="auto" w:fill="FFFFFF"/>
        </w:rPr>
        <w:t>15</w:t>
      </w:r>
      <w:r w:rsidRPr="00EB412B">
        <w:rPr>
          <w:color w:val="222222"/>
          <w:shd w:val="clear" w:color="auto" w:fill="FFFFFF"/>
        </w:rPr>
        <w:t xml:space="preserve">(2), p.63. </w:t>
      </w:r>
      <w:hyperlink r:id="rId38" w:history="1">
        <w:r w:rsidRPr="00EB412B">
          <w:rPr>
            <w:rStyle w:val="Hyperlink"/>
            <w:shd w:val="clear" w:color="auto" w:fill="FFFFFF"/>
          </w:rPr>
          <w:t>https://www.mdpi.com/2076-3387/15/2/63</w:t>
        </w:r>
      </w:hyperlink>
    </w:p>
    <w:p w14:paraId="68DED67C" w14:textId="77777777" w:rsidR="00A36657" w:rsidRPr="00EB412B" w:rsidRDefault="00A36657" w:rsidP="00EB412B">
      <w:pPr>
        <w:spacing w:after="240"/>
      </w:pPr>
      <w:r w:rsidRPr="00EB412B">
        <w:rPr>
          <w:color w:val="222222"/>
          <w:shd w:val="clear" w:color="auto" w:fill="FFFFFF"/>
        </w:rPr>
        <w:t>Nguyen Thi, C., Anh, K.T. and Tran, K.B.N., 2025. Corporate distress and financial restructuring decisions in different stages of life cycle. </w:t>
      </w:r>
      <w:r w:rsidRPr="00EB412B">
        <w:rPr>
          <w:i/>
          <w:iCs/>
          <w:color w:val="222222"/>
          <w:shd w:val="clear" w:color="auto" w:fill="FFFFFF"/>
        </w:rPr>
        <w:t>Journal of Economics and Development</w:t>
      </w:r>
      <w:r w:rsidRPr="00EB412B">
        <w:rPr>
          <w:color w:val="222222"/>
          <w:shd w:val="clear" w:color="auto" w:fill="FFFFFF"/>
        </w:rPr>
        <w:t>, </w:t>
      </w:r>
      <w:r w:rsidRPr="00EB412B">
        <w:rPr>
          <w:i/>
          <w:iCs/>
          <w:color w:val="222222"/>
          <w:shd w:val="clear" w:color="auto" w:fill="FFFFFF"/>
        </w:rPr>
        <w:t>27</w:t>
      </w:r>
      <w:r w:rsidRPr="00EB412B">
        <w:rPr>
          <w:color w:val="222222"/>
          <w:shd w:val="clear" w:color="auto" w:fill="FFFFFF"/>
        </w:rPr>
        <w:t xml:space="preserve">(3), pp.264-276. </w:t>
      </w:r>
      <w:hyperlink r:id="rId39" w:history="1">
        <w:r w:rsidRPr="00EB412B">
          <w:rPr>
            <w:rStyle w:val="Hyperlink"/>
            <w:shd w:val="clear" w:color="auto" w:fill="FFFFFF"/>
          </w:rPr>
          <w:t>https://www.emerald.com/jed/article-pdf/27/3/264/10079017/jed-08-2024-0281en.pdf</w:t>
        </w:r>
      </w:hyperlink>
    </w:p>
    <w:p w14:paraId="47D74C6E" w14:textId="77777777" w:rsidR="00A36657" w:rsidRPr="00EB412B" w:rsidRDefault="00A36657" w:rsidP="00EB412B">
      <w:r w:rsidRPr="00EB412B">
        <w:lastRenderedPageBreak/>
        <w:t>Ombui, J., Monari, D., Kamau, C., Kibiti, C. and Muhoro, G., 2025. Account Receivables, Payables Management, and Financial Performance of Public Universities in Kenya's Coastal Region. </w:t>
      </w:r>
      <w:r w:rsidRPr="00EB412B">
        <w:rPr>
          <w:i/>
          <w:iCs/>
        </w:rPr>
        <w:t>Multidisciplinary Journal of Technical University of Mombasa</w:t>
      </w:r>
      <w:r w:rsidRPr="00EB412B">
        <w:t>, </w:t>
      </w:r>
      <w:r w:rsidRPr="00EB412B">
        <w:rPr>
          <w:i/>
          <w:iCs/>
        </w:rPr>
        <w:t>4</w:t>
      </w:r>
      <w:r w:rsidRPr="00EB412B">
        <w:t xml:space="preserve">(1), pp.18-29. </w:t>
      </w:r>
      <w:hyperlink r:id="rId40" w:history="1">
        <w:r w:rsidRPr="00EB412B">
          <w:rPr>
            <w:rStyle w:val="Hyperlink"/>
          </w:rPr>
          <w:t>http://41.89.128.53/index.php/tummj/article/download/86/104</w:t>
        </w:r>
      </w:hyperlink>
      <w:r w:rsidRPr="00EB412B">
        <w:t xml:space="preserve"> </w:t>
      </w:r>
    </w:p>
    <w:p w14:paraId="299BFBB1" w14:textId="77777777" w:rsidR="00A36657" w:rsidRPr="00EB412B" w:rsidRDefault="00A36657" w:rsidP="00EB412B">
      <w:pPr>
        <w:spacing w:after="240"/>
      </w:pPr>
      <w:r w:rsidRPr="00EB412B">
        <w:rPr>
          <w:color w:val="222222"/>
          <w:shd w:val="clear" w:color="auto" w:fill="FFFFFF"/>
        </w:rPr>
        <w:t>Potharla, S., 2025. Financial and Strategic Analysis of Tata Motors: Insights from Corporate Finance Perspectives. </w:t>
      </w:r>
      <w:r w:rsidRPr="00EB412B">
        <w:rPr>
          <w:i/>
          <w:iCs/>
          <w:color w:val="222222"/>
          <w:shd w:val="clear" w:color="auto" w:fill="FFFFFF"/>
        </w:rPr>
        <w:t>Available at SSRN 5294575</w:t>
      </w:r>
      <w:r w:rsidRPr="00EB412B">
        <w:rPr>
          <w:color w:val="222222"/>
          <w:shd w:val="clear" w:color="auto" w:fill="FFFFFF"/>
        </w:rPr>
        <w:t xml:space="preserve">. </w:t>
      </w:r>
      <w:hyperlink r:id="rId41" w:history="1">
        <w:r w:rsidRPr="00EB412B">
          <w:rPr>
            <w:rStyle w:val="Hyperlink"/>
            <w:shd w:val="clear" w:color="auto" w:fill="FFFFFF"/>
          </w:rPr>
          <w:t>https://papers.ssrn.com/sol3/papers.cfm?abstract_id=5294575</w:t>
        </w:r>
      </w:hyperlink>
    </w:p>
    <w:p w14:paraId="60138612" w14:textId="77777777" w:rsidR="00A36657" w:rsidRPr="00EB412B" w:rsidRDefault="00A36657" w:rsidP="00EB412B">
      <w:pPr>
        <w:spacing w:after="240"/>
      </w:pPr>
      <w:r w:rsidRPr="00EB412B">
        <w:rPr>
          <w:color w:val="222222"/>
          <w:shd w:val="clear" w:color="auto" w:fill="FFFFFF"/>
        </w:rPr>
        <w:t>Rano, B. and Rano, S., 2025. Analysing Bankruptcy Models in Corporate Restructuring: A Study of Financial Stability. </w:t>
      </w:r>
      <w:r w:rsidRPr="00EB412B">
        <w:rPr>
          <w:i/>
          <w:iCs/>
          <w:color w:val="222222"/>
          <w:shd w:val="clear" w:color="auto" w:fill="FFFFFF"/>
        </w:rPr>
        <w:t>Available at SSRN 5241872</w:t>
      </w:r>
      <w:r w:rsidRPr="00EB412B">
        <w:rPr>
          <w:color w:val="222222"/>
          <w:shd w:val="clear" w:color="auto" w:fill="FFFFFF"/>
        </w:rPr>
        <w:t xml:space="preserve">. </w:t>
      </w:r>
      <w:hyperlink r:id="rId42" w:history="1">
        <w:r w:rsidRPr="00EB412B">
          <w:rPr>
            <w:rStyle w:val="Hyperlink"/>
            <w:shd w:val="clear" w:color="auto" w:fill="FFFFFF"/>
          </w:rPr>
          <w:t>https://papers.ssrn.com/sol3/papers.cfm?abstract_id=5241872</w:t>
        </w:r>
      </w:hyperlink>
    </w:p>
    <w:p w14:paraId="680B5965" w14:textId="77777777" w:rsidR="00A36657" w:rsidRPr="00EB412B" w:rsidRDefault="00A36657" w:rsidP="00EB412B">
      <w:pPr>
        <w:spacing w:after="240"/>
      </w:pPr>
      <w:r w:rsidRPr="00EB412B">
        <w:rPr>
          <w:color w:val="222222"/>
          <w:shd w:val="clear" w:color="auto" w:fill="FFFFFF"/>
        </w:rPr>
        <w:t>Rivera-Prieto, J.C., Santana, M. and López-Cabrales, Á., 2025. Turnaround and human resource strategies during the COVID-19 crisis. </w:t>
      </w:r>
      <w:r w:rsidRPr="00EB412B">
        <w:rPr>
          <w:i/>
          <w:iCs/>
          <w:color w:val="222222"/>
          <w:shd w:val="clear" w:color="auto" w:fill="FFFFFF"/>
        </w:rPr>
        <w:t>BRQ Business Research Quarterly</w:t>
      </w:r>
      <w:r w:rsidRPr="00EB412B">
        <w:rPr>
          <w:color w:val="222222"/>
          <w:shd w:val="clear" w:color="auto" w:fill="FFFFFF"/>
        </w:rPr>
        <w:t>, </w:t>
      </w:r>
      <w:r w:rsidRPr="00EB412B">
        <w:rPr>
          <w:i/>
          <w:iCs/>
          <w:color w:val="222222"/>
          <w:shd w:val="clear" w:color="auto" w:fill="FFFFFF"/>
        </w:rPr>
        <w:t>28</w:t>
      </w:r>
      <w:r w:rsidRPr="00EB412B">
        <w:rPr>
          <w:color w:val="222222"/>
          <w:shd w:val="clear" w:color="auto" w:fill="FFFFFF"/>
        </w:rPr>
        <w:t xml:space="preserve">(1), pp.37-58. </w:t>
      </w:r>
      <w:hyperlink r:id="rId43" w:history="1">
        <w:r w:rsidRPr="00EB412B">
          <w:rPr>
            <w:rStyle w:val="Hyperlink"/>
            <w:shd w:val="clear" w:color="auto" w:fill="FFFFFF"/>
          </w:rPr>
          <w:t>https://journals.sagepub.com/doi/abs/10.1177/23409444221120053</w:t>
        </w:r>
      </w:hyperlink>
    </w:p>
    <w:p w14:paraId="1671775F" w14:textId="77777777" w:rsidR="00A36657" w:rsidRPr="00EB412B" w:rsidRDefault="00A36657" w:rsidP="00EB412B">
      <w:pPr>
        <w:spacing w:after="240"/>
      </w:pPr>
      <w:r w:rsidRPr="00EB412B">
        <w:rPr>
          <w:color w:val="222222"/>
          <w:shd w:val="clear" w:color="auto" w:fill="FFFFFF"/>
        </w:rPr>
        <w:t>Senapati, C., Sarma, N.N. and Choudhury, S., 2025. Envisioning Turnaround in Indian Aviation—The Case of Jet Airways. </w:t>
      </w:r>
      <w:r w:rsidRPr="00EB412B">
        <w:rPr>
          <w:i/>
          <w:iCs/>
          <w:color w:val="222222"/>
          <w:shd w:val="clear" w:color="auto" w:fill="FFFFFF"/>
        </w:rPr>
        <w:t>Emerging Economies Cases Journal</w:t>
      </w:r>
      <w:r w:rsidRPr="00EB412B">
        <w:rPr>
          <w:color w:val="222222"/>
          <w:shd w:val="clear" w:color="auto" w:fill="FFFFFF"/>
        </w:rPr>
        <w:t xml:space="preserve">, p.25166042241304554. </w:t>
      </w:r>
      <w:hyperlink r:id="rId44" w:history="1">
        <w:r w:rsidRPr="00EB412B">
          <w:rPr>
            <w:rStyle w:val="Hyperlink"/>
            <w:shd w:val="clear" w:color="auto" w:fill="FFFFFF"/>
          </w:rPr>
          <w:t>https://journals.sagepub.com/doi/abs/10.1177/25166042241304554</w:t>
        </w:r>
      </w:hyperlink>
    </w:p>
    <w:p w14:paraId="19FD3EC5" w14:textId="77777777" w:rsidR="00A36657" w:rsidRPr="00EB412B" w:rsidRDefault="00A36657" w:rsidP="00EB412B">
      <w:r w:rsidRPr="00EB412B">
        <w:t>Staskiewicz, A.M., Hvam, L. and Haug, A., 2021, December. The Role of SKU Management in SKU Rationalisation Projects. In </w:t>
      </w:r>
      <w:r w:rsidRPr="00EB412B">
        <w:rPr>
          <w:i/>
          <w:iCs/>
        </w:rPr>
        <w:t>2021 IEEE International Conference on Industrial Engineering and Engineering Management (IEEM)</w:t>
      </w:r>
      <w:r w:rsidRPr="00EB412B">
        <w:t xml:space="preserve"> (pp. 259-263). IEEE. </w:t>
      </w:r>
      <w:hyperlink r:id="rId45" w:history="1">
        <w:r w:rsidRPr="00EB412B">
          <w:rPr>
            <w:rStyle w:val="Hyperlink"/>
          </w:rPr>
          <w:t>https://www.researchgate.net/profile/Aleksandra-Staskiewicz/publication/357967235_The_Role_of_SKU_Management_in_SKU_Rationalisation_Projects/links/61f5636f4393577abefadfc8/The-Role-of-SKU-Management-in-SKU-Rationalisation-Projects.pdf</w:t>
        </w:r>
      </w:hyperlink>
      <w:r w:rsidRPr="00EB412B">
        <w:t xml:space="preserve"> </w:t>
      </w:r>
    </w:p>
    <w:p w14:paraId="235DDB71" w14:textId="77777777" w:rsidR="00A36657" w:rsidRPr="00EB412B" w:rsidRDefault="00A36657" w:rsidP="00EB412B">
      <w:pPr>
        <w:spacing w:after="240"/>
      </w:pPr>
      <w:r w:rsidRPr="00EB412B">
        <w:rPr>
          <w:color w:val="222222"/>
          <w:shd w:val="clear" w:color="auto" w:fill="FFFFFF"/>
        </w:rPr>
        <w:t>Syafaat, F. and Timuriana, T., 2025. Financial Performance Analysis of Islamic Bank Using FDR, ROA, ROE, and NPF Ratios. </w:t>
      </w:r>
      <w:r w:rsidRPr="00EB412B">
        <w:rPr>
          <w:i/>
          <w:iCs/>
          <w:color w:val="222222"/>
          <w:shd w:val="clear" w:color="auto" w:fill="FFFFFF"/>
        </w:rPr>
        <w:t>Jurnal Ilmu Perbankan dan Keuangan Syariah</w:t>
      </w:r>
      <w:r w:rsidRPr="00EB412B">
        <w:rPr>
          <w:color w:val="222222"/>
          <w:shd w:val="clear" w:color="auto" w:fill="FFFFFF"/>
        </w:rPr>
        <w:t>, </w:t>
      </w:r>
      <w:r w:rsidRPr="00EB412B">
        <w:rPr>
          <w:i/>
          <w:iCs/>
          <w:color w:val="222222"/>
          <w:shd w:val="clear" w:color="auto" w:fill="FFFFFF"/>
        </w:rPr>
        <w:t>7</w:t>
      </w:r>
      <w:r w:rsidRPr="00EB412B">
        <w:rPr>
          <w:color w:val="222222"/>
          <w:shd w:val="clear" w:color="auto" w:fill="FFFFFF"/>
        </w:rPr>
        <w:t xml:space="preserve">(1), pp.18-34. </w:t>
      </w:r>
      <w:hyperlink r:id="rId46" w:history="1">
        <w:r w:rsidRPr="00EB412B">
          <w:rPr>
            <w:rStyle w:val="Hyperlink"/>
            <w:shd w:val="clear" w:color="auto" w:fill="FFFFFF"/>
          </w:rPr>
          <w:t>http://jurnaljipsya.org/index.php/jipsya/article/view/313</w:t>
        </w:r>
      </w:hyperlink>
    </w:p>
    <w:p w14:paraId="62B849A7" w14:textId="77777777" w:rsidR="00A36657" w:rsidRPr="00EB412B" w:rsidRDefault="00A36657" w:rsidP="00EB412B">
      <w:pPr>
        <w:spacing w:after="240"/>
      </w:pPr>
      <w:r w:rsidRPr="00EB412B">
        <w:rPr>
          <w:color w:val="222222"/>
          <w:shd w:val="clear" w:color="auto" w:fill="FFFFFF"/>
        </w:rPr>
        <w:t>Taheri Hosseinkhani, N., 2025. Artificial Intelligence Applications in Financial Markets and Corporate Finance: Technologies, Challenges, and Opportunities. </w:t>
      </w:r>
      <w:r w:rsidRPr="00EB412B">
        <w:rPr>
          <w:i/>
          <w:iCs/>
          <w:color w:val="222222"/>
          <w:shd w:val="clear" w:color="auto" w:fill="FFFFFF"/>
        </w:rPr>
        <w:t xml:space="preserve">Challenges, </w:t>
      </w:r>
      <w:r w:rsidRPr="00EB412B">
        <w:rPr>
          <w:i/>
          <w:iCs/>
          <w:color w:val="222222"/>
          <w:shd w:val="clear" w:color="auto" w:fill="FFFFFF"/>
        </w:rPr>
        <w:lastRenderedPageBreak/>
        <w:t>and Opportunities (August 10, 2025)</w:t>
      </w:r>
      <w:r w:rsidRPr="00EB412B">
        <w:rPr>
          <w:color w:val="222222"/>
          <w:shd w:val="clear" w:color="auto" w:fill="FFFFFF"/>
        </w:rPr>
        <w:t xml:space="preserve">. </w:t>
      </w:r>
      <w:hyperlink r:id="rId47" w:history="1">
        <w:r w:rsidRPr="00EB412B">
          <w:rPr>
            <w:rStyle w:val="Hyperlink"/>
            <w:shd w:val="clear" w:color="auto" w:fill="FFFFFF"/>
          </w:rPr>
          <w:t>https://papers.ssrn.com/sol3/papers.cfm?abstract_id=5403522</w:t>
        </w:r>
      </w:hyperlink>
    </w:p>
    <w:p w14:paraId="52EE7012" w14:textId="77777777" w:rsidR="00A36657" w:rsidRPr="00EB412B" w:rsidRDefault="00A36657" w:rsidP="00EB412B">
      <w:pPr>
        <w:spacing w:after="240"/>
      </w:pPr>
      <w:r w:rsidRPr="00EB412B">
        <w:rPr>
          <w:color w:val="222222"/>
          <w:shd w:val="clear" w:color="auto" w:fill="FFFFFF"/>
        </w:rPr>
        <w:t>Tangpong, C., Lehmberg, D. and Li, Z., 2025. New CEOs in corporate turnaround situations. </w:t>
      </w:r>
      <w:r w:rsidRPr="00EB412B">
        <w:rPr>
          <w:i/>
          <w:iCs/>
          <w:color w:val="222222"/>
          <w:shd w:val="clear" w:color="auto" w:fill="FFFFFF"/>
        </w:rPr>
        <w:t>Organizational Dynamics</w:t>
      </w:r>
      <w:r w:rsidRPr="00EB412B">
        <w:rPr>
          <w:color w:val="222222"/>
          <w:shd w:val="clear" w:color="auto" w:fill="FFFFFF"/>
        </w:rPr>
        <w:t xml:space="preserve">, p.101146. </w:t>
      </w:r>
      <w:hyperlink r:id="rId48" w:history="1">
        <w:r w:rsidRPr="00EB412B">
          <w:rPr>
            <w:rStyle w:val="Hyperlink"/>
            <w:shd w:val="clear" w:color="auto" w:fill="FFFFFF"/>
          </w:rPr>
          <w:t>https://www.sciencedirect.com/science/article/pii/S0090261625000233</w:t>
        </w:r>
      </w:hyperlink>
    </w:p>
    <w:p w14:paraId="204E4BAA" w14:textId="77777777" w:rsidR="00A36657" w:rsidRPr="00EB412B" w:rsidRDefault="00A36657" w:rsidP="00EB412B">
      <w:pPr>
        <w:spacing w:after="240"/>
      </w:pPr>
      <w:r w:rsidRPr="00EB412B">
        <w:rPr>
          <w:color w:val="222222"/>
          <w:shd w:val="clear" w:color="auto" w:fill="FFFFFF"/>
        </w:rPr>
        <w:t>Toromo, C.J. and Mutinda, J., 2025. Turnaround strategies and performance of private universities in Kenya. </w:t>
      </w:r>
      <w:r w:rsidRPr="00EB412B">
        <w:rPr>
          <w:i/>
          <w:iCs/>
          <w:color w:val="222222"/>
          <w:shd w:val="clear" w:color="auto" w:fill="FFFFFF"/>
        </w:rPr>
        <w:t>Unpublished MBA</w:t>
      </w:r>
      <w:r w:rsidRPr="00EB412B">
        <w:rPr>
          <w:color w:val="222222"/>
          <w:shd w:val="clear" w:color="auto" w:fill="FFFFFF"/>
        </w:rPr>
        <w:t xml:space="preserve">. </w:t>
      </w:r>
      <w:hyperlink r:id="rId49" w:history="1">
        <w:r w:rsidRPr="00EB412B">
          <w:rPr>
            <w:rStyle w:val="Hyperlink"/>
            <w:shd w:val="clear" w:color="auto" w:fill="FFFFFF"/>
          </w:rPr>
          <w:t>https://ir-library.ku.ac.ke/server/api/core/bitstreams/78baabc3-5c42-4c54-9a97-11a8d71781d7/content</w:t>
        </w:r>
      </w:hyperlink>
    </w:p>
    <w:p w14:paraId="76B98C86" w14:textId="77777777" w:rsidR="00A36657" w:rsidRPr="00EB412B" w:rsidRDefault="00A36657" w:rsidP="00EB412B">
      <w:pPr>
        <w:spacing w:after="240"/>
      </w:pPr>
      <w:r w:rsidRPr="00EB412B">
        <w:rPr>
          <w:color w:val="222222"/>
          <w:shd w:val="clear" w:color="auto" w:fill="FFFFFF"/>
        </w:rPr>
        <w:t>Yahaya, O.A., 2025. Could the Board of Directors save Publicly Traded Companies from Bankruptcy?. </w:t>
      </w:r>
      <w:r w:rsidRPr="00EB412B">
        <w:rPr>
          <w:i/>
          <w:iCs/>
          <w:color w:val="222222"/>
          <w:shd w:val="clear" w:color="auto" w:fill="FFFFFF"/>
        </w:rPr>
        <w:t>Available at SSRN 5159976</w:t>
      </w:r>
      <w:r w:rsidRPr="00EB412B">
        <w:rPr>
          <w:color w:val="222222"/>
          <w:shd w:val="clear" w:color="auto" w:fill="FFFFFF"/>
        </w:rPr>
        <w:t xml:space="preserve">. </w:t>
      </w:r>
      <w:hyperlink r:id="rId50" w:history="1">
        <w:r w:rsidRPr="00EB412B">
          <w:rPr>
            <w:rStyle w:val="Hyperlink"/>
            <w:shd w:val="clear" w:color="auto" w:fill="FFFFFF"/>
          </w:rPr>
          <w:t>https://papers.ssrn.com/sol3/papers.cfm?abstract_id=5159976</w:t>
        </w:r>
      </w:hyperlink>
      <w:r w:rsidRPr="00EB412B">
        <w:rPr>
          <w:lang w:val="en-GB"/>
        </w:rPr>
        <w:br w:type="page"/>
      </w:r>
    </w:p>
    <w:p w14:paraId="0BFF05E8" w14:textId="77777777" w:rsidR="00714BE2" w:rsidRPr="00EB412B" w:rsidRDefault="00000000" w:rsidP="00EB412B">
      <w:pPr>
        <w:pStyle w:val="Heading1"/>
        <w:keepNext w:val="0"/>
        <w:keepLines w:val="0"/>
        <w:rPr>
          <w:lang w:val="en-GB"/>
        </w:rPr>
      </w:pPr>
      <w:bookmarkStart w:id="72" w:name="_i1c7fysrnv71" w:colFirst="0" w:colLast="0"/>
      <w:bookmarkStart w:id="73" w:name="_Toc217295797"/>
      <w:bookmarkEnd w:id="72"/>
      <w:r w:rsidRPr="00EB412B">
        <w:rPr>
          <w:lang w:val="en-GB"/>
        </w:rPr>
        <w:lastRenderedPageBreak/>
        <w:t>Appendices</w:t>
      </w:r>
      <w:bookmarkEnd w:id="73"/>
    </w:p>
    <w:p w14:paraId="51923F51" w14:textId="77777777" w:rsidR="00714BE2" w:rsidRPr="00EB412B" w:rsidRDefault="00000000" w:rsidP="00EB412B">
      <w:pPr>
        <w:pStyle w:val="Heading2"/>
        <w:keepNext w:val="0"/>
        <w:keepLines w:val="0"/>
        <w:rPr>
          <w:lang w:val="en-GB"/>
        </w:rPr>
      </w:pPr>
      <w:bookmarkStart w:id="74" w:name="_j53ixrl0r6z4" w:colFirst="0" w:colLast="0"/>
      <w:bookmarkStart w:id="75" w:name="_Toc217295798"/>
      <w:bookmarkEnd w:id="74"/>
      <w:r w:rsidRPr="00EB412B">
        <w:rPr>
          <w:lang w:val="en-GB"/>
        </w:rPr>
        <w:t>Appendix A: Full ratio tables (5 years)</w:t>
      </w:r>
      <w:bookmarkEnd w:id="75"/>
    </w:p>
    <w:p w14:paraId="7052192D" w14:textId="6FA7A1E4" w:rsidR="00A36657" w:rsidRPr="00EB412B" w:rsidRDefault="00BF4CBB" w:rsidP="00EB412B">
      <w:pPr>
        <w:jc w:val="center"/>
        <w:rPr>
          <w:lang w:val="en-GB"/>
        </w:rPr>
      </w:pPr>
      <w:r w:rsidRPr="00EB412B">
        <w:rPr>
          <w:noProof/>
          <w:lang w:val="en-GB"/>
        </w:rPr>
        <w:drawing>
          <wp:inline distT="0" distB="0" distL="0" distR="0" wp14:anchorId="0CFAAD21" wp14:editId="2924B85F">
            <wp:extent cx="5986135" cy="3105150"/>
            <wp:effectExtent l="0" t="0" r="0" b="0"/>
            <wp:docPr id="117676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65603" name=""/>
                    <pic:cNvPicPr/>
                  </pic:nvPicPr>
                  <pic:blipFill>
                    <a:blip r:embed="rId51"/>
                    <a:stretch>
                      <a:fillRect/>
                    </a:stretch>
                  </pic:blipFill>
                  <pic:spPr>
                    <a:xfrm>
                      <a:off x="0" y="0"/>
                      <a:ext cx="5988499" cy="3106376"/>
                    </a:xfrm>
                    <a:prstGeom prst="rect">
                      <a:avLst/>
                    </a:prstGeom>
                  </pic:spPr>
                </pic:pic>
              </a:graphicData>
            </a:graphic>
          </wp:inline>
        </w:drawing>
      </w:r>
    </w:p>
    <w:p w14:paraId="2D7CC8F9" w14:textId="7B991D22" w:rsidR="00714BE2" w:rsidRPr="00EB412B" w:rsidRDefault="00714BE2" w:rsidP="00EB412B">
      <w:pPr>
        <w:jc w:val="center"/>
        <w:rPr>
          <w:b/>
          <w:bCs/>
          <w:lang w:val="en-GB"/>
        </w:rPr>
      </w:pPr>
    </w:p>
    <w:p w14:paraId="04D2D19D" w14:textId="00C1DB79" w:rsidR="00A36657" w:rsidRPr="00EB412B" w:rsidRDefault="00B51BB3" w:rsidP="00EB412B">
      <w:pPr>
        <w:jc w:val="center"/>
        <w:rPr>
          <w:b/>
          <w:bCs/>
          <w:lang w:val="en-GB"/>
        </w:rPr>
      </w:pPr>
      <w:r w:rsidRPr="00EB412B">
        <w:rPr>
          <w:b/>
          <w:bCs/>
          <w:noProof/>
          <w:lang w:val="en-GB"/>
        </w:rPr>
        <w:drawing>
          <wp:inline distT="0" distB="0" distL="0" distR="0" wp14:anchorId="2382275B" wp14:editId="1886F254">
            <wp:extent cx="5405524" cy="2499665"/>
            <wp:effectExtent l="0" t="0" r="5080" b="0"/>
            <wp:docPr id="171117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70125" name=""/>
                    <pic:cNvPicPr/>
                  </pic:nvPicPr>
                  <pic:blipFill>
                    <a:blip r:embed="rId52"/>
                    <a:stretch>
                      <a:fillRect/>
                    </a:stretch>
                  </pic:blipFill>
                  <pic:spPr>
                    <a:xfrm>
                      <a:off x="0" y="0"/>
                      <a:ext cx="5417229" cy="2505078"/>
                    </a:xfrm>
                    <a:prstGeom prst="rect">
                      <a:avLst/>
                    </a:prstGeom>
                  </pic:spPr>
                </pic:pic>
              </a:graphicData>
            </a:graphic>
          </wp:inline>
        </w:drawing>
      </w:r>
      <w:bookmarkStart w:id="76" w:name="_ft9ibhb729dr" w:colFirst="0" w:colLast="0"/>
      <w:bookmarkEnd w:id="76"/>
      <w:r w:rsidR="00A36657" w:rsidRPr="00EB412B">
        <w:rPr>
          <w:lang w:val="en-GB"/>
        </w:rPr>
        <w:br w:type="page"/>
      </w:r>
    </w:p>
    <w:p w14:paraId="20904D2B" w14:textId="775605AE" w:rsidR="00714BE2" w:rsidRPr="00EB412B" w:rsidRDefault="00000000" w:rsidP="00EB412B">
      <w:pPr>
        <w:pStyle w:val="Heading2"/>
        <w:keepNext w:val="0"/>
        <w:keepLines w:val="0"/>
        <w:rPr>
          <w:lang w:val="en-GB"/>
        </w:rPr>
      </w:pPr>
      <w:bookmarkStart w:id="77" w:name="_Toc217295799"/>
      <w:r w:rsidRPr="00EB412B">
        <w:rPr>
          <w:lang w:val="en-GB"/>
        </w:rPr>
        <w:lastRenderedPageBreak/>
        <w:t xml:space="preserve">Appendix B: </w:t>
      </w:r>
      <w:r w:rsidR="00A36657" w:rsidRPr="00EB412B">
        <w:rPr>
          <w:lang w:val="en-GB"/>
        </w:rPr>
        <w:t xml:space="preserve">Calculation of </w:t>
      </w:r>
      <w:r w:rsidRPr="00EB412B">
        <w:rPr>
          <w:lang w:val="en-GB"/>
        </w:rPr>
        <w:t>Altman Z-Score</w:t>
      </w:r>
      <w:bookmarkEnd w:id="77"/>
      <w:r w:rsidRPr="00EB412B">
        <w:rPr>
          <w:lang w:val="en-GB"/>
        </w:rPr>
        <w:t xml:space="preserve"> </w:t>
      </w:r>
    </w:p>
    <w:p w14:paraId="5AED291C" w14:textId="5FDD452C" w:rsidR="00714BE2" w:rsidRPr="00EB412B" w:rsidRDefault="009E6E72" w:rsidP="00EB412B">
      <w:pPr>
        <w:jc w:val="center"/>
        <w:rPr>
          <w:b/>
          <w:bCs/>
          <w:lang w:val="en-GB"/>
        </w:rPr>
      </w:pPr>
      <w:r w:rsidRPr="00EB412B">
        <w:rPr>
          <w:b/>
          <w:bCs/>
          <w:noProof/>
          <w:lang w:val="en-GB"/>
        </w:rPr>
        <w:drawing>
          <wp:inline distT="0" distB="0" distL="0" distR="0" wp14:anchorId="46B39F25" wp14:editId="434DCC75">
            <wp:extent cx="5778328" cy="828675"/>
            <wp:effectExtent l="0" t="0" r="0" b="0"/>
            <wp:docPr id="57364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40429" name=""/>
                    <pic:cNvPicPr/>
                  </pic:nvPicPr>
                  <pic:blipFill>
                    <a:blip r:embed="rId53"/>
                    <a:stretch>
                      <a:fillRect/>
                    </a:stretch>
                  </pic:blipFill>
                  <pic:spPr>
                    <a:xfrm>
                      <a:off x="0" y="0"/>
                      <a:ext cx="5789874" cy="830331"/>
                    </a:xfrm>
                    <a:prstGeom prst="rect">
                      <a:avLst/>
                    </a:prstGeom>
                  </pic:spPr>
                </pic:pic>
              </a:graphicData>
            </a:graphic>
          </wp:inline>
        </w:drawing>
      </w:r>
    </w:p>
    <w:p w14:paraId="60CE5EBD" w14:textId="77777777" w:rsidR="009E6E72" w:rsidRPr="00EB412B" w:rsidRDefault="009E6E72" w:rsidP="00EB412B">
      <w:pPr>
        <w:jc w:val="left"/>
        <w:rPr>
          <w:lang w:val="en-GB"/>
        </w:rPr>
      </w:pPr>
    </w:p>
    <w:p w14:paraId="788B436D" w14:textId="77777777" w:rsidR="009E6E72" w:rsidRPr="00EB412B" w:rsidRDefault="009E6E72" w:rsidP="00EB412B">
      <w:pPr>
        <w:rPr>
          <w:lang w:val="en-GB"/>
        </w:rPr>
      </w:pPr>
      <w:r w:rsidRPr="00EB412B">
        <w:rPr>
          <w:lang w:val="en-GB"/>
        </w:rPr>
        <w:t>Year 2020</w:t>
      </w:r>
    </w:p>
    <w:p w14:paraId="11A699FF" w14:textId="77777777" w:rsidR="009E6E72" w:rsidRPr="00EB412B" w:rsidRDefault="009E6E72" w:rsidP="00EB412B">
      <w:pPr>
        <w:rPr>
          <w:lang w:val="en-GB"/>
        </w:rPr>
      </w:pPr>
      <w:r w:rsidRPr="00EB412B">
        <w:rPr>
          <w:lang w:val="en-GB"/>
        </w:rPr>
        <w:t>Inputs: Current assets = 326,843; Current liabilities = 179,510; Working capital = 147,333</w:t>
      </w:r>
    </w:p>
    <w:p w14:paraId="3F6E869B" w14:textId="77777777" w:rsidR="009E6E72" w:rsidRPr="00EB412B" w:rsidRDefault="009E6E72" w:rsidP="00EB412B">
      <w:pPr>
        <w:rPr>
          <w:lang w:val="en-GB"/>
        </w:rPr>
      </w:pPr>
      <w:r w:rsidRPr="00EB412B">
        <w:rPr>
          <w:lang w:val="en-GB"/>
        </w:rPr>
        <w:t>Retained earnings = 324,990; EBIT = 37,267; Total assets = 510,290; Sales = 614,680; Total liabilities = 196,989; Book equity = 313,301</w:t>
      </w:r>
    </w:p>
    <w:p w14:paraId="0E2EC047" w14:textId="77777777" w:rsidR="009E6E72" w:rsidRPr="00EB412B" w:rsidRDefault="009E6E72" w:rsidP="00EB412B">
      <w:pPr>
        <w:rPr>
          <w:lang w:val="en-GB"/>
        </w:rPr>
      </w:pPr>
      <w:r w:rsidRPr="00EB412B">
        <w:rPr>
          <w:lang w:val="en-GB"/>
        </w:rPr>
        <w:t>X:</w:t>
      </w:r>
    </w:p>
    <w:p w14:paraId="329320B6" w14:textId="77777777" w:rsidR="009E6E72" w:rsidRPr="00EB412B" w:rsidRDefault="009E6E72" w:rsidP="00EB412B">
      <w:pPr>
        <w:rPr>
          <w:lang w:val="en-GB"/>
        </w:rPr>
      </w:pPr>
      <w:r w:rsidRPr="00EB412B">
        <w:rPr>
          <w:lang w:val="en-GB"/>
        </w:rPr>
        <w:t>X1 = 147,333 ÷ 510,290 = 0.288637</w:t>
      </w:r>
    </w:p>
    <w:p w14:paraId="515AB371" w14:textId="77777777" w:rsidR="009E6E72" w:rsidRPr="00EB412B" w:rsidRDefault="009E6E72" w:rsidP="00EB412B">
      <w:pPr>
        <w:rPr>
          <w:lang w:val="en-GB"/>
        </w:rPr>
      </w:pPr>
      <w:r w:rsidRPr="00EB412B">
        <w:rPr>
          <w:lang w:val="en-GB"/>
        </w:rPr>
        <w:t>X2 = 324,990 ÷ 510,290 = 0.636585</w:t>
      </w:r>
    </w:p>
    <w:p w14:paraId="1FA2E147" w14:textId="77777777" w:rsidR="009E6E72" w:rsidRPr="00EB412B" w:rsidRDefault="009E6E72" w:rsidP="00EB412B">
      <w:pPr>
        <w:rPr>
          <w:lang w:val="en-GB"/>
        </w:rPr>
      </w:pPr>
      <w:r w:rsidRPr="00EB412B">
        <w:rPr>
          <w:lang w:val="en-GB"/>
        </w:rPr>
        <w:t>X3 = 37,267 ÷ 510,290 = 0.073000</w:t>
      </w:r>
    </w:p>
    <w:p w14:paraId="46A9117F" w14:textId="77777777" w:rsidR="009E6E72" w:rsidRPr="00EB412B" w:rsidRDefault="009E6E72" w:rsidP="00EB412B">
      <w:pPr>
        <w:rPr>
          <w:lang w:val="en-GB"/>
        </w:rPr>
      </w:pPr>
      <w:r w:rsidRPr="00EB412B">
        <w:rPr>
          <w:lang w:val="en-GB"/>
        </w:rPr>
        <w:t>X4 = 313,301 ÷ 196,989 = 1.590759</w:t>
      </w:r>
    </w:p>
    <w:p w14:paraId="5F111186" w14:textId="77777777" w:rsidR="009E6E72" w:rsidRPr="00EB412B" w:rsidRDefault="009E6E72" w:rsidP="00EB412B">
      <w:pPr>
        <w:rPr>
          <w:lang w:val="en-GB"/>
        </w:rPr>
      </w:pPr>
      <w:r w:rsidRPr="00EB412B">
        <w:rPr>
          <w:lang w:val="en-GB"/>
        </w:rPr>
        <w:t>X5 = 614,680 ÷ 510,290 = 1.204257</w:t>
      </w:r>
    </w:p>
    <w:p w14:paraId="2CDA1A19" w14:textId="77777777" w:rsidR="009E6E72" w:rsidRPr="00EB412B" w:rsidRDefault="009E6E72" w:rsidP="00EB412B">
      <w:pPr>
        <w:rPr>
          <w:lang w:val="en-GB"/>
        </w:rPr>
      </w:pPr>
      <w:r w:rsidRPr="00EB412B">
        <w:rPr>
          <w:lang w:val="en-GB"/>
        </w:rPr>
        <w:t>Z components:</w:t>
      </w:r>
    </w:p>
    <w:p w14:paraId="4627F172" w14:textId="77777777" w:rsidR="009E6E72" w:rsidRPr="00EB412B" w:rsidRDefault="009E6E72" w:rsidP="00EB412B">
      <w:pPr>
        <w:rPr>
          <w:lang w:val="en-GB"/>
        </w:rPr>
      </w:pPr>
      <w:r w:rsidRPr="00EB412B">
        <w:rPr>
          <w:lang w:val="en-GB"/>
        </w:rPr>
        <w:t>1.2·X1 = 0.346364</w:t>
      </w:r>
    </w:p>
    <w:p w14:paraId="05667D62" w14:textId="77777777" w:rsidR="009E6E72" w:rsidRPr="00EB412B" w:rsidRDefault="009E6E72" w:rsidP="00EB412B">
      <w:pPr>
        <w:rPr>
          <w:lang w:val="en-GB"/>
        </w:rPr>
      </w:pPr>
      <w:r w:rsidRPr="00EB412B">
        <w:rPr>
          <w:lang w:val="en-GB"/>
        </w:rPr>
        <w:t>1.4·X2 = 0.891219</w:t>
      </w:r>
    </w:p>
    <w:p w14:paraId="47E4B958" w14:textId="77777777" w:rsidR="009E6E72" w:rsidRPr="00EB412B" w:rsidRDefault="009E6E72" w:rsidP="00EB412B">
      <w:pPr>
        <w:rPr>
          <w:lang w:val="en-GB"/>
        </w:rPr>
      </w:pPr>
      <w:r w:rsidRPr="00EB412B">
        <w:rPr>
          <w:lang w:val="en-GB"/>
        </w:rPr>
        <w:t>3.3·X3 = 0.240900</w:t>
      </w:r>
    </w:p>
    <w:p w14:paraId="2CA74D45" w14:textId="77777777" w:rsidR="009E6E72" w:rsidRPr="00EB412B" w:rsidRDefault="009E6E72" w:rsidP="00EB412B">
      <w:pPr>
        <w:rPr>
          <w:lang w:val="en-GB"/>
        </w:rPr>
      </w:pPr>
      <w:r w:rsidRPr="00EB412B">
        <w:rPr>
          <w:lang w:val="en-GB"/>
        </w:rPr>
        <w:t>0.6·X4 = 0.954455</w:t>
      </w:r>
    </w:p>
    <w:p w14:paraId="294C23EA" w14:textId="77777777" w:rsidR="009E6E72" w:rsidRPr="00EB412B" w:rsidRDefault="009E6E72" w:rsidP="00EB412B">
      <w:pPr>
        <w:rPr>
          <w:lang w:val="en-GB"/>
        </w:rPr>
      </w:pPr>
      <w:r w:rsidRPr="00EB412B">
        <w:rPr>
          <w:lang w:val="en-GB"/>
        </w:rPr>
        <w:t>1.0·X5 = 1.204257</w:t>
      </w:r>
    </w:p>
    <w:p w14:paraId="690A854C" w14:textId="77777777" w:rsidR="009E6E72" w:rsidRPr="00EB412B" w:rsidRDefault="009E6E72" w:rsidP="00EB412B">
      <w:pPr>
        <w:rPr>
          <w:lang w:val="en-GB"/>
        </w:rPr>
      </w:pPr>
      <w:r w:rsidRPr="00EB412B">
        <w:rPr>
          <w:lang w:val="en-GB"/>
        </w:rPr>
        <w:t>Sum: Z = 0.346364 + 0.891219 + 0.240900 + 0.954455 + 1.204257 = 3.637195</w:t>
      </w:r>
    </w:p>
    <w:p w14:paraId="53A8A4C7" w14:textId="77777777" w:rsidR="009E6E72" w:rsidRPr="00EB412B" w:rsidRDefault="009E6E72" w:rsidP="00EB412B">
      <w:pPr>
        <w:rPr>
          <w:lang w:val="en-GB"/>
        </w:rPr>
      </w:pPr>
      <w:r w:rsidRPr="00EB412B">
        <w:rPr>
          <w:lang w:val="en-GB"/>
        </w:rPr>
        <w:t>Z(2020) = 3.637 </w:t>
      </w:r>
    </w:p>
    <w:p w14:paraId="07C63CEA" w14:textId="77777777" w:rsidR="009E6E72" w:rsidRPr="00EB412B" w:rsidRDefault="009E6E72" w:rsidP="00EB412B"/>
    <w:p w14:paraId="5B1B8F95" w14:textId="77777777" w:rsidR="009E6E72" w:rsidRPr="00EB412B" w:rsidRDefault="009E6E72" w:rsidP="00EB412B">
      <w:pPr>
        <w:rPr>
          <w:lang w:val="en-GB"/>
        </w:rPr>
      </w:pPr>
      <w:r w:rsidRPr="00EB412B">
        <w:rPr>
          <w:lang w:val="en-GB"/>
        </w:rPr>
        <w:t>Year 2021</w:t>
      </w:r>
    </w:p>
    <w:p w14:paraId="4B603845" w14:textId="77777777" w:rsidR="009E6E72" w:rsidRPr="00EB412B" w:rsidRDefault="009E6E72" w:rsidP="00EB412B">
      <w:pPr>
        <w:rPr>
          <w:lang w:val="en-GB"/>
        </w:rPr>
      </w:pPr>
      <w:r w:rsidRPr="00EB412B">
        <w:rPr>
          <w:lang w:val="en-GB"/>
        </w:rPr>
        <w:t>Inputs: Current assets = 337,146; Current liabilities = 216,787; Working capital = 120,359</w:t>
      </w:r>
    </w:p>
    <w:p w14:paraId="455B938C" w14:textId="77777777" w:rsidR="009E6E72" w:rsidRPr="00EB412B" w:rsidRDefault="009E6E72" w:rsidP="00EB412B">
      <w:pPr>
        <w:rPr>
          <w:lang w:val="en-GB"/>
        </w:rPr>
      </w:pPr>
      <w:r w:rsidRPr="00EB412B">
        <w:rPr>
          <w:lang w:val="en-GB"/>
        </w:rPr>
        <w:t>Retained earnings = 330,291; EBIT = 23,253; Total assets = 510,348; Sales = 601,602; Total liabilities = 234,399; Book equity = 275,949</w:t>
      </w:r>
    </w:p>
    <w:p w14:paraId="65382B96" w14:textId="77777777" w:rsidR="009E6E72" w:rsidRPr="00EB412B" w:rsidRDefault="009E6E72" w:rsidP="00EB412B">
      <w:pPr>
        <w:rPr>
          <w:lang w:val="en-GB"/>
        </w:rPr>
      </w:pPr>
      <w:r w:rsidRPr="00EB412B">
        <w:rPr>
          <w:lang w:val="en-GB"/>
        </w:rPr>
        <w:t>X:</w:t>
      </w:r>
    </w:p>
    <w:p w14:paraId="36ED0F81" w14:textId="77777777" w:rsidR="009E6E72" w:rsidRPr="00EB412B" w:rsidRDefault="009E6E72" w:rsidP="00EB412B">
      <w:pPr>
        <w:rPr>
          <w:lang w:val="en-GB"/>
        </w:rPr>
      </w:pPr>
      <w:r w:rsidRPr="00EB412B">
        <w:rPr>
          <w:lang w:val="en-GB"/>
        </w:rPr>
        <w:t>X1 = 120,359 ÷ 510,348 = 0.235879</w:t>
      </w:r>
    </w:p>
    <w:p w14:paraId="3F78A4ED" w14:textId="77777777" w:rsidR="009E6E72" w:rsidRPr="00EB412B" w:rsidRDefault="009E6E72" w:rsidP="00EB412B">
      <w:pPr>
        <w:rPr>
          <w:lang w:val="en-GB"/>
        </w:rPr>
      </w:pPr>
      <w:r w:rsidRPr="00EB412B">
        <w:rPr>
          <w:lang w:val="en-GB"/>
        </w:rPr>
        <w:t>X2 = 330,291 ÷ 510,348 = 0.647167</w:t>
      </w:r>
    </w:p>
    <w:p w14:paraId="125BE281" w14:textId="77777777" w:rsidR="009E6E72" w:rsidRPr="00EB412B" w:rsidRDefault="009E6E72" w:rsidP="00EB412B">
      <w:pPr>
        <w:rPr>
          <w:lang w:val="en-GB"/>
        </w:rPr>
      </w:pPr>
      <w:r w:rsidRPr="00EB412B">
        <w:rPr>
          <w:lang w:val="en-GB"/>
        </w:rPr>
        <w:lastRenderedPageBreak/>
        <w:t>X3 = 23,253 ÷ 510,348 = 0.045557</w:t>
      </w:r>
    </w:p>
    <w:p w14:paraId="6A0D3080" w14:textId="77777777" w:rsidR="009E6E72" w:rsidRPr="00EB412B" w:rsidRDefault="009E6E72" w:rsidP="00EB412B">
      <w:pPr>
        <w:rPr>
          <w:lang w:val="en-GB"/>
        </w:rPr>
      </w:pPr>
      <w:r w:rsidRPr="00EB412B">
        <w:rPr>
          <w:lang w:val="en-GB"/>
        </w:rPr>
        <w:t>X4 = 275,949 ÷ 234,399 = 1.177744</w:t>
      </w:r>
    </w:p>
    <w:p w14:paraId="170A7CD6" w14:textId="77777777" w:rsidR="009E6E72" w:rsidRPr="00EB412B" w:rsidRDefault="009E6E72" w:rsidP="00EB412B">
      <w:pPr>
        <w:rPr>
          <w:lang w:val="en-GB"/>
        </w:rPr>
      </w:pPr>
      <w:r w:rsidRPr="00EB412B">
        <w:rPr>
          <w:lang w:val="en-GB"/>
        </w:rPr>
        <w:t>X5 = 601,602 ÷ 510,348 = 1.178996</w:t>
      </w:r>
    </w:p>
    <w:p w14:paraId="0863EB85" w14:textId="77777777" w:rsidR="009E6E72" w:rsidRPr="00EB412B" w:rsidRDefault="009E6E72" w:rsidP="00EB412B">
      <w:pPr>
        <w:rPr>
          <w:lang w:val="en-GB"/>
        </w:rPr>
      </w:pPr>
      <w:r w:rsidRPr="00EB412B">
        <w:rPr>
          <w:lang w:val="en-GB"/>
        </w:rPr>
        <w:t>Z components:</w:t>
      </w:r>
    </w:p>
    <w:p w14:paraId="7C4F159E" w14:textId="77777777" w:rsidR="009E6E72" w:rsidRPr="00EB412B" w:rsidRDefault="009E6E72" w:rsidP="00EB412B">
      <w:pPr>
        <w:rPr>
          <w:lang w:val="en-GB"/>
        </w:rPr>
      </w:pPr>
      <w:r w:rsidRPr="00EB412B">
        <w:rPr>
          <w:lang w:val="en-GB"/>
        </w:rPr>
        <w:t>1.2·X1 = 0.283055</w:t>
      </w:r>
    </w:p>
    <w:p w14:paraId="00FD5978" w14:textId="77777777" w:rsidR="009E6E72" w:rsidRPr="00EB412B" w:rsidRDefault="009E6E72" w:rsidP="00EB412B">
      <w:pPr>
        <w:rPr>
          <w:lang w:val="en-GB"/>
        </w:rPr>
      </w:pPr>
      <w:r w:rsidRPr="00EB412B">
        <w:rPr>
          <w:lang w:val="en-GB"/>
        </w:rPr>
        <w:t>1.4·X2 = 0.905034</w:t>
      </w:r>
    </w:p>
    <w:p w14:paraId="125E08DE" w14:textId="77777777" w:rsidR="009E6E72" w:rsidRPr="00EB412B" w:rsidRDefault="009E6E72" w:rsidP="00EB412B">
      <w:pPr>
        <w:rPr>
          <w:lang w:val="en-GB"/>
        </w:rPr>
      </w:pPr>
      <w:r w:rsidRPr="00EB412B">
        <w:rPr>
          <w:lang w:val="en-GB"/>
        </w:rPr>
        <w:t>3.3·X3 = 0.150337</w:t>
      </w:r>
    </w:p>
    <w:p w14:paraId="3C86EFF0" w14:textId="77777777" w:rsidR="009E6E72" w:rsidRPr="00EB412B" w:rsidRDefault="009E6E72" w:rsidP="00EB412B">
      <w:pPr>
        <w:rPr>
          <w:lang w:val="en-GB"/>
        </w:rPr>
      </w:pPr>
      <w:r w:rsidRPr="00EB412B">
        <w:rPr>
          <w:lang w:val="en-GB"/>
        </w:rPr>
        <w:t>0.6·X4 = 0.706646</w:t>
      </w:r>
    </w:p>
    <w:p w14:paraId="1FAF8D83" w14:textId="77777777" w:rsidR="009E6E72" w:rsidRPr="00EB412B" w:rsidRDefault="009E6E72" w:rsidP="00EB412B">
      <w:pPr>
        <w:rPr>
          <w:lang w:val="en-GB"/>
        </w:rPr>
      </w:pPr>
      <w:r w:rsidRPr="00EB412B">
        <w:rPr>
          <w:lang w:val="en-GB"/>
        </w:rPr>
        <w:t>1.0·X5 = 1.178996</w:t>
      </w:r>
    </w:p>
    <w:p w14:paraId="2CD4A91E" w14:textId="77777777" w:rsidR="009E6E72" w:rsidRPr="00EB412B" w:rsidRDefault="009E6E72" w:rsidP="00EB412B">
      <w:pPr>
        <w:rPr>
          <w:lang w:val="en-GB"/>
        </w:rPr>
      </w:pPr>
      <w:r w:rsidRPr="00EB412B">
        <w:rPr>
          <w:lang w:val="en-GB"/>
        </w:rPr>
        <w:t>Sum: Z = 0.283055 + 0.905034 + 0.150337 + 0.706646 + 1.178996 = 3.223]</w:t>
      </w:r>
    </w:p>
    <w:p w14:paraId="7568A528" w14:textId="77777777" w:rsidR="009E6E72" w:rsidRPr="00EB412B" w:rsidRDefault="009E6E72" w:rsidP="00EB412B">
      <w:pPr>
        <w:rPr>
          <w:rFonts w:eastAsia="Arial Unicode MS"/>
          <w:lang w:val="en-GB"/>
        </w:rPr>
      </w:pPr>
      <w:r w:rsidRPr="00EB412B">
        <w:rPr>
          <w:rFonts w:eastAsia="Arial Unicode MS"/>
          <w:lang w:val="en-GB"/>
        </w:rPr>
        <w:t>(rounded) Z(2021) ≈ 3.223</w:t>
      </w:r>
    </w:p>
    <w:p w14:paraId="4A94F7C0" w14:textId="77777777" w:rsidR="009E6E72" w:rsidRPr="00EB412B" w:rsidRDefault="009E6E72" w:rsidP="00EB412B"/>
    <w:p w14:paraId="4FF16348" w14:textId="77777777" w:rsidR="009E6E72" w:rsidRPr="00EB412B" w:rsidRDefault="009E6E72" w:rsidP="00EB412B">
      <w:pPr>
        <w:rPr>
          <w:lang w:val="en-GB"/>
        </w:rPr>
      </w:pPr>
      <w:r w:rsidRPr="00EB412B">
        <w:rPr>
          <w:lang w:val="en-GB"/>
        </w:rPr>
        <w:t>Year 2022</w:t>
      </w:r>
    </w:p>
    <w:p w14:paraId="7A7A9586" w14:textId="77777777" w:rsidR="009E6E72" w:rsidRPr="00EB412B" w:rsidRDefault="009E6E72" w:rsidP="00EB412B">
      <w:pPr>
        <w:rPr>
          <w:lang w:val="en-GB"/>
        </w:rPr>
      </w:pPr>
      <w:r w:rsidRPr="00EB412B">
        <w:rPr>
          <w:lang w:val="en-GB"/>
        </w:rPr>
        <w:t>Inputs: Current assets = 338,040; Current liabilities = 216,473; Working capital = 121,567</w:t>
      </w:r>
    </w:p>
    <w:p w14:paraId="4BC723C0" w14:textId="77777777" w:rsidR="009E6E72" w:rsidRPr="00EB412B" w:rsidRDefault="009E6E72" w:rsidP="00EB412B">
      <w:pPr>
        <w:rPr>
          <w:lang w:val="en-GB"/>
        </w:rPr>
      </w:pPr>
      <w:r w:rsidRPr="00EB412B">
        <w:rPr>
          <w:lang w:val="en-GB"/>
        </w:rPr>
        <w:t>Retained earnings = 330,698; EBIT = 14,548; Total assets = 504,163; Sales = 542,751; Total liabilities = 235,757; Book equity = 268,406</w:t>
      </w:r>
    </w:p>
    <w:p w14:paraId="31B35025" w14:textId="77777777" w:rsidR="009E6E72" w:rsidRPr="00EB412B" w:rsidRDefault="009E6E72" w:rsidP="00EB412B">
      <w:pPr>
        <w:rPr>
          <w:lang w:val="en-GB"/>
        </w:rPr>
      </w:pPr>
      <w:r w:rsidRPr="00EB412B">
        <w:rPr>
          <w:lang w:val="en-GB"/>
        </w:rPr>
        <w:t>X:</w:t>
      </w:r>
    </w:p>
    <w:p w14:paraId="47167BA6" w14:textId="77777777" w:rsidR="009E6E72" w:rsidRPr="00EB412B" w:rsidRDefault="009E6E72" w:rsidP="00EB412B">
      <w:pPr>
        <w:rPr>
          <w:lang w:val="en-GB"/>
        </w:rPr>
      </w:pPr>
      <w:r w:rsidRPr="00EB412B">
        <w:rPr>
          <w:lang w:val="en-GB"/>
        </w:rPr>
        <w:t>X1 = 121,567 ÷ 504,163 = 0.241096</w:t>
      </w:r>
    </w:p>
    <w:p w14:paraId="449271D6" w14:textId="77777777" w:rsidR="009E6E72" w:rsidRPr="00EB412B" w:rsidRDefault="009E6E72" w:rsidP="00EB412B">
      <w:pPr>
        <w:rPr>
          <w:lang w:val="en-GB"/>
        </w:rPr>
      </w:pPr>
      <w:r w:rsidRPr="00EB412B">
        <w:rPr>
          <w:lang w:val="en-GB"/>
        </w:rPr>
        <w:t>X2 = 330,698 ÷ 504,163 = 0.655723</w:t>
      </w:r>
    </w:p>
    <w:p w14:paraId="4125F31D" w14:textId="77777777" w:rsidR="009E6E72" w:rsidRPr="00EB412B" w:rsidRDefault="009E6E72" w:rsidP="00EB412B">
      <w:pPr>
        <w:rPr>
          <w:lang w:val="en-GB"/>
        </w:rPr>
      </w:pPr>
      <w:r w:rsidRPr="00EB412B">
        <w:rPr>
          <w:lang w:val="en-GB"/>
        </w:rPr>
        <w:t>X3 = 14,548 ÷ 504,163 = 0.02885</w:t>
      </w:r>
    </w:p>
    <w:p w14:paraId="67EC673D" w14:textId="77777777" w:rsidR="009E6E72" w:rsidRPr="00EB412B" w:rsidRDefault="009E6E72" w:rsidP="00EB412B">
      <w:pPr>
        <w:rPr>
          <w:lang w:val="en-GB"/>
        </w:rPr>
      </w:pPr>
      <w:r w:rsidRPr="00EB412B">
        <w:rPr>
          <w:lang w:val="en-GB"/>
        </w:rPr>
        <w:t>X4 = 268,406 ÷ 235,757 = 1.139069</w:t>
      </w:r>
    </w:p>
    <w:p w14:paraId="734188D7" w14:textId="77777777" w:rsidR="009E6E72" w:rsidRPr="00EB412B" w:rsidRDefault="009E6E72" w:rsidP="00EB412B">
      <w:pPr>
        <w:rPr>
          <w:lang w:val="en-GB"/>
        </w:rPr>
      </w:pPr>
      <w:r w:rsidRPr="00EB412B">
        <w:rPr>
          <w:lang w:val="en-GB"/>
        </w:rPr>
        <w:t>X5 = 542,751 ÷ 504,163 = 1.076118</w:t>
      </w:r>
    </w:p>
    <w:p w14:paraId="342B9FB6" w14:textId="77777777" w:rsidR="009E6E72" w:rsidRPr="00EB412B" w:rsidRDefault="009E6E72" w:rsidP="00EB412B">
      <w:pPr>
        <w:rPr>
          <w:lang w:val="en-GB"/>
        </w:rPr>
      </w:pPr>
      <w:r w:rsidRPr="00EB412B">
        <w:rPr>
          <w:lang w:val="en-GB"/>
        </w:rPr>
        <w:t>Z components:</w:t>
      </w:r>
    </w:p>
    <w:p w14:paraId="089AC97C" w14:textId="77777777" w:rsidR="009E6E72" w:rsidRPr="00EB412B" w:rsidRDefault="009E6E72" w:rsidP="00EB412B">
      <w:pPr>
        <w:rPr>
          <w:lang w:val="en-GB"/>
        </w:rPr>
      </w:pPr>
      <w:r w:rsidRPr="00EB412B">
        <w:rPr>
          <w:lang w:val="en-GB"/>
        </w:rPr>
        <w:t>1.2·X1 = 0.289315</w:t>
      </w:r>
    </w:p>
    <w:p w14:paraId="35304EA6" w14:textId="77777777" w:rsidR="009E6E72" w:rsidRPr="00EB412B" w:rsidRDefault="009E6E72" w:rsidP="00EB412B">
      <w:pPr>
        <w:rPr>
          <w:lang w:val="en-GB"/>
        </w:rPr>
      </w:pPr>
      <w:r w:rsidRPr="00EB412B">
        <w:rPr>
          <w:lang w:val="en-GB"/>
        </w:rPr>
        <w:t>1.4·X2 = 0.918012</w:t>
      </w:r>
    </w:p>
    <w:p w14:paraId="1945FD6A" w14:textId="77777777" w:rsidR="009E6E72" w:rsidRPr="00EB412B" w:rsidRDefault="009E6E72" w:rsidP="00EB412B">
      <w:pPr>
        <w:rPr>
          <w:lang w:val="en-GB"/>
        </w:rPr>
      </w:pPr>
      <w:r w:rsidRPr="00EB412B">
        <w:rPr>
          <w:lang w:val="en-GB"/>
        </w:rPr>
        <w:t>3.3·X3 = 0.095206</w:t>
      </w:r>
    </w:p>
    <w:p w14:paraId="2D178D72" w14:textId="77777777" w:rsidR="009E6E72" w:rsidRPr="00EB412B" w:rsidRDefault="009E6E72" w:rsidP="00EB412B">
      <w:pPr>
        <w:rPr>
          <w:lang w:val="en-GB"/>
        </w:rPr>
      </w:pPr>
      <w:r w:rsidRPr="00EB412B">
        <w:rPr>
          <w:lang w:val="en-GB"/>
        </w:rPr>
        <w:t>0.6·X4 = 0.683441</w:t>
      </w:r>
    </w:p>
    <w:p w14:paraId="7B9A2241" w14:textId="77777777" w:rsidR="009E6E72" w:rsidRPr="00EB412B" w:rsidRDefault="009E6E72" w:rsidP="00EB412B">
      <w:pPr>
        <w:rPr>
          <w:lang w:val="en-GB"/>
        </w:rPr>
      </w:pPr>
      <w:r w:rsidRPr="00EB412B">
        <w:rPr>
          <w:lang w:val="en-GB"/>
        </w:rPr>
        <w:t>1.0·X5 = 1.076118</w:t>
      </w:r>
    </w:p>
    <w:p w14:paraId="632121A1" w14:textId="77777777" w:rsidR="009E6E72" w:rsidRPr="00EB412B" w:rsidRDefault="009E6E72" w:rsidP="00EB412B">
      <w:pPr>
        <w:rPr>
          <w:lang w:val="en-GB"/>
        </w:rPr>
      </w:pPr>
      <w:r w:rsidRPr="00EB412B">
        <w:rPr>
          <w:lang w:val="en-GB"/>
        </w:rPr>
        <w:t>Sum: Z = 0.289315 + 0.918012 + 0.095206 + 0.683441 + 1.076118 = 3.062093</w:t>
      </w:r>
    </w:p>
    <w:p w14:paraId="09140DCF" w14:textId="77777777" w:rsidR="009E6E72" w:rsidRPr="00EB412B" w:rsidRDefault="009E6E72" w:rsidP="00EB412B">
      <w:pPr>
        <w:rPr>
          <w:lang w:val="en-GB"/>
        </w:rPr>
      </w:pPr>
      <w:r w:rsidRPr="00EB412B">
        <w:rPr>
          <w:lang w:val="en-GB"/>
        </w:rPr>
        <w:t>Z(2022) = 3.062</w:t>
      </w:r>
    </w:p>
    <w:p w14:paraId="61627C63" w14:textId="77777777" w:rsidR="009E6E72" w:rsidRPr="00EB412B" w:rsidRDefault="009E6E72" w:rsidP="00EB412B">
      <w:pPr>
        <w:rPr>
          <w:lang w:val="en-GB"/>
        </w:rPr>
      </w:pPr>
    </w:p>
    <w:p w14:paraId="1A4AD907" w14:textId="77777777" w:rsidR="009E6E72" w:rsidRPr="00EB412B" w:rsidRDefault="009E6E72" w:rsidP="00EB412B">
      <w:pPr>
        <w:rPr>
          <w:lang w:val="en-GB"/>
        </w:rPr>
      </w:pPr>
      <w:r w:rsidRPr="00EB412B">
        <w:rPr>
          <w:lang w:val="en-GB"/>
        </w:rPr>
        <w:t>Year 2023</w:t>
      </w:r>
    </w:p>
    <w:p w14:paraId="4474AD12" w14:textId="77777777" w:rsidR="009E6E72" w:rsidRPr="00EB412B" w:rsidRDefault="009E6E72" w:rsidP="00EB412B">
      <w:pPr>
        <w:rPr>
          <w:lang w:val="en-GB"/>
        </w:rPr>
      </w:pPr>
      <w:r w:rsidRPr="00EB412B">
        <w:rPr>
          <w:lang w:val="en-GB"/>
        </w:rPr>
        <w:lastRenderedPageBreak/>
        <w:t>Inputs: Current assets = 258,851; Current liabilities = 161,148; Working capital = 97,703</w:t>
      </w:r>
    </w:p>
    <w:p w14:paraId="4B2068F9" w14:textId="77777777" w:rsidR="009E6E72" w:rsidRPr="00EB412B" w:rsidRDefault="009E6E72" w:rsidP="00EB412B">
      <w:pPr>
        <w:rPr>
          <w:lang w:val="en-GB"/>
        </w:rPr>
      </w:pPr>
      <w:r w:rsidRPr="00EB412B">
        <w:rPr>
          <w:rFonts w:eastAsia="Arial Unicode MS"/>
          <w:lang w:val="en-GB"/>
        </w:rPr>
        <w:t>Retained earnings = 232,460; EBIT = −85,301; Total assets = 355,872; Sales = 420,457; Total liabilities = 176,952; Book equity = 178,920</w:t>
      </w:r>
    </w:p>
    <w:p w14:paraId="356805B4" w14:textId="77777777" w:rsidR="009E6E72" w:rsidRPr="00EB412B" w:rsidRDefault="009E6E72" w:rsidP="00EB412B">
      <w:pPr>
        <w:rPr>
          <w:lang w:val="en-GB"/>
        </w:rPr>
      </w:pPr>
      <w:r w:rsidRPr="00EB412B">
        <w:rPr>
          <w:lang w:val="en-GB"/>
        </w:rPr>
        <w:t>X calculations:</w:t>
      </w:r>
    </w:p>
    <w:p w14:paraId="72AF9DC8" w14:textId="77777777" w:rsidR="009E6E72" w:rsidRPr="00EB412B" w:rsidRDefault="009E6E72" w:rsidP="00EB412B">
      <w:pPr>
        <w:rPr>
          <w:lang w:val="en-GB"/>
        </w:rPr>
      </w:pPr>
      <w:r w:rsidRPr="00EB412B">
        <w:rPr>
          <w:lang w:val="en-GB"/>
        </w:rPr>
        <w:t>X1 = 97,703 ÷ 355,872 = 0.274588</w:t>
      </w:r>
    </w:p>
    <w:p w14:paraId="5645083A" w14:textId="77777777" w:rsidR="009E6E72" w:rsidRPr="00EB412B" w:rsidRDefault="009E6E72" w:rsidP="00EB412B">
      <w:pPr>
        <w:rPr>
          <w:lang w:val="en-GB"/>
        </w:rPr>
      </w:pPr>
      <w:r w:rsidRPr="00EB412B">
        <w:rPr>
          <w:lang w:val="en-GB"/>
        </w:rPr>
        <w:t>X2 = 232,460 ÷ 355,872 = 0.652949</w:t>
      </w:r>
    </w:p>
    <w:p w14:paraId="31597B9A" w14:textId="77777777" w:rsidR="009E6E72" w:rsidRPr="00EB412B" w:rsidRDefault="009E6E72" w:rsidP="00EB412B">
      <w:pPr>
        <w:rPr>
          <w:lang w:val="en-GB"/>
        </w:rPr>
      </w:pPr>
      <w:r w:rsidRPr="00EB412B">
        <w:rPr>
          <w:rFonts w:eastAsia="Arial Unicode MS"/>
          <w:lang w:val="en-GB"/>
        </w:rPr>
        <w:t>X3 = −85,301 ÷ 355,872 = −0.239633</w:t>
      </w:r>
    </w:p>
    <w:p w14:paraId="50E79750" w14:textId="77777777" w:rsidR="009E6E72" w:rsidRPr="00EB412B" w:rsidRDefault="009E6E72" w:rsidP="00EB412B">
      <w:pPr>
        <w:rPr>
          <w:lang w:val="en-GB"/>
        </w:rPr>
      </w:pPr>
      <w:r w:rsidRPr="00EB412B">
        <w:rPr>
          <w:lang w:val="en-GB"/>
        </w:rPr>
        <w:t>X4 = 178,920 ÷ 176,952 = 1.010797</w:t>
      </w:r>
    </w:p>
    <w:p w14:paraId="5FA4C621" w14:textId="77777777" w:rsidR="009E6E72" w:rsidRPr="00EB412B" w:rsidRDefault="009E6E72" w:rsidP="00EB412B">
      <w:pPr>
        <w:rPr>
          <w:lang w:val="en-GB"/>
        </w:rPr>
      </w:pPr>
      <w:r w:rsidRPr="00EB412B">
        <w:rPr>
          <w:lang w:val="en-GB"/>
        </w:rPr>
        <w:t>X5 = 420,457 ÷ 355,872 = 1.181859</w:t>
      </w:r>
    </w:p>
    <w:p w14:paraId="4F51D9AC" w14:textId="77777777" w:rsidR="009E6E72" w:rsidRPr="00EB412B" w:rsidRDefault="009E6E72" w:rsidP="00EB412B">
      <w:pPr>
        <w:rPr>
          <w:lang w:val="en-GB"/>
        </w:rPr>
      </w:pPr>
      <w:r w:rsidRPr="00EB412B">
        <w:rPr>
          <w:lang w:val="en-GB"/>
        </w:rPr>
        <w:t>Z components:</w:t>
      </w:r>
    </w:p>
    <w:p w14:paraId="121874BA" w14:textId="77777777" w:rsidR="009E6E72" w:rsidRPr="00EB412B" w:rsidRDefault="009E6E72" w:rsidP="00EB412B">
      <w:pPr>
        <w:rPr>
          <w:lang w:val="en-GB"/>
        </w:rPr>
      </w:pPr>
      <w:r w:rsidRPr="00EB412B">
        <w:rPr>
          <w:lang w:val="en-GB"/>
        </w:rPr>
        <w:t>1.2·X1 = 0.329506</w:t>
      </w:r>
    </w:p>
    <w:p w14:paraId="4F42C3DC" w14:textId="77777777" w:rsidR="009E6E72" w:rsidRPr="00EB412B" w:rsidRDefault="009E6E72" w:rsidP="00EB412B">
      <w:pPr>
        <w:rPr>
          <w:lang w:val="en-GB"/>
        </w:rPr>
      </w:pPr>
      <w:r w:rsidRPr="00EB412B">
        <w:rPr>
          <w:lang w:val="en-GB"/>
        </w:rPr>
        <w:t>1.4·X2 = 0.914129</w:t>
      </w:r>
    </w:p>
    <w:p w14:paraId="4F60A2EA" w14:textId="77777777" w:rsidR="009E6E72" w:rsidRPr="00EB412B" w:rsidRDefault="009E6E72" w:rsidP="00EB412B">
      <w:pPr>
        <w:rPr>
          <w:lang w:val="en-GB"/>
        </w:rPr>
      </w:pPr>
      <w:r w:rsidRPr="00EB412B">
        <w:rPr>
          <w:rFonts w:eastAsia="Arial Unicode MS"/>
          <w:lang w:val="en-GB"/>
        </w:rPr>
        <w:t>3.3·X3 = −0.790789</w:t>
      </w:r>
    </w:p>
    <w:p w14:paraId="4956DC99" w14:textId="77777777" w:rsidR="009E6E72" w:rsidRPr="00EB412B" w:rsidRDefault="009E6E72" w:rsidP="00EB412B">
      <w:pPr>
        <w:rPr>
          <w:lang w:val="en-GB"/>
        </w:rPr>
      </w:pPr>
      <w:r w:rsidRPr="00EB412B">
        <w:rPr>
          <w:lang w:val="en-GB"/>
        </w:rPr>
        <w:t>0.6·X4 = 0.606478</w:t>
      </w:r>
    </w:p>
    <w:p w14:paraId="2459C182" w14:textId="77777777" w:rsidR="009E6E72" w:rsidRPr="00EB412B" w:rsidRDefault="009E6E72" w:rsidP="00EB412B">
      <w:pPr>
        <w:rPr>
          <w:lang w:val="en-GB"/>
        </w:rPr>
      </w:pPr>
      <w:r w:rsidRPr="00EB412B">
        <w:rPr>
          <w:lang w:val="en-GB"/>
        </w:rPr>
        <w:t>1.0·X5 = 1.181859</w:t>
      </w:r>
    </w:p>
    <w:p w14:paraId="22616F98" w14:textId="77777777" w:rsidR="009E6E72" w:rsidRPr="00EB412B" w:rsidRDefault="009E6E72" w:rsidP="00EB412B">
      <w:pPr>
        <w:rPr>
          <w:lang w:val="en-GB"/>
        </w:rPr>
      </w:pPr>
      <w:r w:rsidRPr="00EB412B">
        <w:rPr>
          <w:rFonts w:eastAsia="Arial Unicode MS"/>
          <w:lang w:val="en-GB"/>
        </w:rPr>
        <w:t>Sum: Z = 0.329506 + 0.914129 − 0.790789 + 0.606478 + 1.181859 = 2.241183</w:t>
      </w:r>
    </w:p>
    <w:p w14:paraId="5C95C3F4" w14:textId="55EE8D48" w:rsidR="009E6E72" w:rsidRPr="00EB412B" w:rsidRDefault="009E6E72" w:rsidP="00EB412B">
      <w:pPr>
        <w:rPr>
          <w:lang w:val="en-GB"/>
        </w:rPr>
      </w:pPr>
      <w:r w:rsidRPr="00EB412B">
        <w:rPr>
          <w:lang w:val="en-GB"/>
        </w:rPr>
        <w:t>Z(2023) = 2.241</w:t>
      </w:r>
    </w:p>
    <w:p w14:paraId="1A20EF97" w14:textId="77777777" w:rsidR="009E6E72" w:rsidRPr="00EB412B" w:rsidRDefault="009E6E72" w:rsidP="00EB412B">
      <w:pPr>
        <w:jc w:val="left"/>
        <w:rPr>
          <w:lang w:val="en-GB"/>
        </w:rPr>
      </w:pPr>
    </w:p>
    <w:p w14:paraId="574F03BE" w14:textId="68157471" w:rsidR="00714BE2" w:rsidRPr="00EB412B" w:rsidRDefault="00000000" w:rsidP="00EB412B">
      <w:pPr>
        <w:jc w:val="left"/>
        <w:rPr>
          <w:lang w:val="en-GB"/>
        </w:rPr>
      </w:pPr>
      <w:r w:rsidRPr="00EB412B">
        <w:rPr>
          <w:lang w:val="en-GB"/>
        </w:rPr>
        <w:t>Year 2024</w:t>
      </w:r>
    </w:p>
    <w:p w14:paraId="0D4F716F" w14:textId="77777777" w:rsidR="00714BE2" w:rsidRPr="00EB412B" w:rsidRDefault="00000000" w:rsidP="00EB412B">
      <w:pPr>
        <w:jc w:val="left"/>
        <w:rPr>
          <w:lang w:val="en-GB"/>
        </w:rPr>
      </w:pPr>
      <w:r w:rsidRPr="00EB412B">
        <w:rPr>
          <w:lang w:val="en-GB"/>
        </w:rPr>
        <w:t>Current assets = 242,494</w:t>
      </w:r>
    </w:p>
    <w:p w14:paraId="3BBF67E5" w14:textId="77777777" w:rsidR="00714BE2" w:rsidRPr="00EB412B" w:rsidRDefault="00000000" w:rsidP="00EB412B">
      <w:pPr>
        <w:jc w:val="left"/>
        <w:rPr>
          <w:lang w:val="en-GB"/>
        </w:rPr>
      </w:pPr>
      <w:r w:rsidRPr="00EB412B">
        <w:rPr>
          <w:lang w:val="en-GB"/>
        </w:rPr>
        <w:t>Current liabilities = 158,291</w:t>
      </w:r>
    </w:p>
    <w:p w14:paraId="39019B5A" w14:textId="77777777" w:rsidR="00714BE2" w:rsidRPr="00EB412B" w:rsidRDefault="00000000" w:rsidP="00EB412B">
      <w:pPr>
        <w:jc w:val="left"/>
        <w:rPr>
          <w:lang w:val="en-GB"/>
        </w:rPr>
      </w:pPr>
      <w:r w:rsidRPr="00EB412B">
        <w:rPr>
          <w:rFonts w:eastAsia="Arial Unicode MS"/>
          <w:lang w:val="en-GB"/>
        </w:rPr>
        <w:t>Working capital = 242,494 − 158,291 = 84,203</w:t>
      </w:r>
    </w:p>
    <w:p w14:paraId="0DB19966" w14:textId="77777777" w:rsidR="00714BE2" w:rsidRPr="00EB412B" w:rsidRDefault="00000000" w:rsidP="00EB412B">
      <w:pPr>
        <w:jc w:val="left"/>
        <w:rPr>
          <w:lang w:val="en-GB"/>
        </w:rPr>
      </w:pPr>
      <w:r w:rsidRPr="00EB412B">
        <w:rPr>
          <w:lang w:val="en-GB"/>
        </w:rPr>
        <w:t>Retained earnings = 208,431</w:t>
      </w:r>
    </w:p>
    <w:p w14:paraId="71569F64" w14:textId="77777777" w:rsidR="00714BE2" w:rsidRPr="00EB412B" w:rsidRDefault="00000000" w:rsidP="00EB412B">
      <w:pPr>
        <w:jc w:val="left"/>
        <w:rPr>
          <w:lang w:val="en-GB"/>
        </w:rPr>
      </w:pPr>
      <w:r w:rsidRPr="00EB412B">
        <w:rPr>
          <w:rFonts w:eastAsia="Arial Unicode MS"/>
          <w:lang w:val="en-GB"/>
        </w:rPr>
        <w:t>EBIT (Operating income) = −15,297</w:t>
      </w:r>
    </w:p>
    <w:p w14:paraId="232DA828" w14:textId="77777777" w:rsidR="00714BE2" w:rsidRPr="00EB412B" w:rsidRDefault="00000000" w:rsidP="00EB412B">
      <w:pPr>
        <w:jc w:val="left"/>
        <w:rPr>
          <w:lang w:val="en-GB"/>
        </w:rPr>
      </w:pPr>
      <w:r w:rsidRPr="00EB412B">
        <w:rPr>
          <w:lang w:val="en-GB"/>
        </w:rPr>
        <w:t>Total assets = 323,354</w:t>
      </w:r>
    </w:p>
    <w:p w14:paraId="2998BE81" w14:textId="77777777" w:rsidR="00714BE2" w:rsidRPr="00EB412B" w:rsidRDefault="00000000" w:rsidP="00EB412B">
      <w:pPr>
        <w:jc w:val="left"/>
        <w:rPr>
          <w:lang w:val="en-GB"/>
        </w:rPr>
      </w:pPr>
      <w:r w:rsidRPr="00EB412B">
        <w:rPr>
          <w:lang w:val="en-GB"/>
        </w:rPr>
        <w:t>Sales = 394,879</w:t>
      </w:r>
    </w:p>
    <w:p w14:paraId="63D128A3" w14:textId="77777777" w:rsidR="00714BE2" w:rsidRPr="00EB412B" w:rsidRDefault="00000000" w:rsidP="00EB412B">
      <w:pPr>
        <w:jc w:val="left"/>
        <w:rPr>
          <w:lang w:val="en-GB"/>
        </w:rPr>
      </w:pPr>
      <w:r w:rsidRPr="00EB412B">
        <w:rPr>
          <w:lang w:val="en-GB"/>
        </w:rPr>
        <w:t>Total liabilities = 170,249</w:t>
      </w:r>
    </w:p>
    <w:p w14:paraId="6A10E3E2" w14:textId="77777777" w:rsidR="00714BE2" w:rsidRPr="00EB412B" w:rsidRDefault="00000000" w:rsidP="00EB412B">
      <w:pPr>
        <w:jc w:val="left"/>
        <w:rPr>
          <w:lang w:val="en-GB"/>
        </w:rPr>
      </w:pPr>
      <w:r w:rsidRPr="00EB412B">
        <w:rPr>
          <w:lang w:val="en-GB"/>
        </w:rPr>
        <w:t>Book equity = 153,105</w:t>
      </w:r>
    </w:p>
    <w:p w14:paraId="250339CF" w14:textId="77777777" w:rsidR="00714BE2" w:rsidRPr="00EB412B" w:rsidRDefault="00000000" w:rsidP="00EB412B">
      <w:pPr>
        <w:jc w:val="left"/>
        <w:rPr>
          <w:lang w:val="en-GB"/>
        </w:rPr>
      </w:pPr>
      <w:r w:rsidRPr="00EB412B">
        <w:rPr>
          <w:lang w:val="en-GB"/>
        </w:rPr>
        <w:t>Calculate X components:</w:t>
      </w:r>
    </w:p>
    <w:p w14:paraId="07CD7279" w14:textId="77777777" w:rsidR="00714BE2" w:rsidRPr="00EB412B" w:rsidRDefault="00000000" w:rsidP="00EB412B">
      <w:pPr>
        <w:jc w:val="left"/>
        <w:rPr>
          <w:lang w:val="en-GB"/>
        </w:rPr>
      </w:pPr>
      <w:r w:rsidRPr="00EB412B">
        <w:rPr>
          <w:lang w:val="en-GB"/>
        </w:rPr>
        <w:t>X1 = Working capital / Total assets = 84,203 ÷ 323,354 = 0.260484</w:t>
      </w:r>
    </w:p>
    <w:p w14:paraId="6FAD4F3D" w14:textId="77777777" w:rsidR="00714BE2" w:rsidRPr="00EB412B" w:rsidRDefault="00000000" w:rsidP="00EB412B">
      <w:pPr>
        <w:jc w:val="left"/>
        <w:rPr>
          <w:lang w:val="en-GB"/>
        </w:rPr>
      </w:pPr>
      <w:r w:rsidRPr="00EB412B">
        <w:rPr>
          <w:lang w:val="en-GB"/>
        </w:rPr>
        <w:t>X2 = Retained earnings / Total assets = 208,431 ÷ 323,354 = 0.644782</w:t>
      </w:r>
    </w:p>
    <w:p w14:paraId="66C5DBB5" w14:textId="77777777" w:rsidR="00714BE2" w:rsidRPr="00EB412B" w:rsidRDefault="00000000" w:rsidP="00EB412B">
      <w:pPr>
        <w:jc w:val="left"/>
        <w:rPr>
          <w:lang w:val="en-GB"/>
        </w:rPr>
      </w:pPr>
      <w:r w:rsidRPr="00EB412B">
        <w:rPr>
          <w:rFonts w:eastAsia="Arial Unicode MS"/>
          <w:lang w:val="en-GB"/>
        </w:rPr>
        <w:t>X3 = EBIT / Total assets = (−15,297) ÷ 323,354 = −0.047303</w:t>
      </w:r>
    </w:p>
    <w:p w14:paraId="4F8A9508" w14:textId="77777777" w:rsidR="00714BE2" w:rsidRPr="00EB412B" w:rsidRDefault="00000000" w:rsidP="00EB412B">
      <w:pPr>
        <w:jc w:val="left"/>
        <w:rPr>
          <w:lang w:val="en-GB"/>
        </w:rPr>
      </w:pPr>
      <w:r w:rsidRPr="00EB412B">
        <w:rPr>
          <w:rFonts w:eastAsia="Arial Unicode MS"/>
          <w:lang w:val="en-GB"/>
        </w:rPr>
        <w:lastRenderedPageBreak/>
        <w:t>X4 = Market value of equity / Total liabilities ≈ Book equity / Total liabilities = 153,105 ÷ 170,249 = 0.899394</w:t>
      </w:r>
    </w:p>
    <w:p w14:paraId="12842B6D" w14:textId="77777777" w:rsidR="00714BE2" w:rsidRPr="00EB412B" w:rsidRDefault="00000000" w:rsidP="00EB412B">
      <w:pPr>
        <w:jc w:val="left"/>
        <w:rPr>
          <w:lang w:val="en-GB"/>
        </w:rPr>
      </w:pPr>
      <w:r w:rsidRPr="00EB412B">
        <w:rPr>
          <w:lang w:val="en-GB"/>
        </w:rPr>
        <w:t>X5 = Sales / Total assets = 394,879 ÷ 323,354 = 1.221590</w:t>
      </w:r>
    </w:p>
    <w:p w14:paraId="7382AE11" w14:textId="77777777" w:rsidR="00714BE2" w:rsidRPr="00EB412B" w:rsidRDefault="00000000" w:rsidP="00EB412B">
      <w:pPr>
        <w:jc w:val="left"/>
        <w:rPr>
          <w:lang w:val="en-GB"/>
        </w:rPr>
      </w:pPr>
      <w:r w:rsidRPr="00EB412B">
        <w:rPr>
          <w:lang w:val="en-GB"/>
        </w:rPr>
        <w:t>Compute Z:</w:t>
      </w:r>
    </w:p>
    <w:p w14:paraId="775CA83A" w14:textId="77777777" w:rsidR="00714BE2" w:rsidRPr="00EB412B" w:rsidRDefault="00000000" w:rsidP="00EB412B">
      <w:pPr>
        <w:jc w:val="left"/>
        <w:rPr>
          <w:lang w:val="en-GB"/>
        </w:rPr>
      </w:pPr>
      <w:r w:rsidRPr="00EB412B">
        <w:rPr>
          <w:lang w:val="en-GB"/>
        </w:rPr>
        <w:t>1.2·X1 = 1.2 × 0.260484 = 0.312581</w:t>
      </w:r>
    </w:p>
    <w:p w14:paraId="38AEA232" w14:textId="77777777" w:rsidR="00714BE2" w:rsidRPr="00EB412B" w:rsidRDefault="00000000" w:rsidP="00EB412B">
      <w:pPr>
        <w:jc w:val="left"/>
        <w:rPr>
          <w:lang w:val="en-GB"/>
        </w:rPr>
      </w:pPr>
      <w:r w:rsidRPr="00EB412B">
        <w:rPr>
          <w:lang w:val="en-GB"/>
        </w:rPr>
        <w:t>1.4·X2 = 1.4 × 0.644782 = 0.902695</w:t>
      </w:r>
    </w:p>
    <w:p w14:paraId="1E912C03" w14:textId="77777777" w:rsidR="00714BE2" w:rsidRPr="00EB412B" w:rsidRDefault="00000000" w:rsidP="00EB412B">
      <w:pPr>
        <w:jc w:val="left"/>
        <w:rPr>
          <w:lang w:val="en-GB"/>
        </w:rPr>
      </w:pPr>
      <w:r w:rsidRPr="00EB412B">
        <w:rPr>
          <w:rFonts w:eastAsia="Arial Unicode MS"/>
          <w:lang w:val="en-GB"/>
        </w:rPr>
        <w:t>3.3·X3 = 3.3 × (−0.047303) = −0.156100</w:t>
      </w:r>
    </w:p>
    <w:p w14:paraId="42522C62" w14:textId="77777777" w:rsidR="00714BE2" w:rsidRPr="00EB412B" w:rsidRDefault="00000000" w:rsidP="00EB412B">
      <w:pPr>
        <w:jc w:val="left"/>
        <w:rPr>
          <w:lang w:val="en-GB"/>
        </w:rPr>
      </w:pPr>
      <w:r w:rsidRPr="00EB412B">
        <w:rPr>
          <w:lang w:val="en-GB"/>
        </w:rPr>
        <w:t>0.6·X4 = 0.6 × 0.899394 = 0.539636</w:t>
      </w:r>
    </w:p>
    <w:p w14:paraId="657D7567" w14:textId="77777777" w:rsidR="00714BE2" w:rsidRPr="00EB412B" w:rsidRDefault="00000000" w:rsidP="00EB412B">
      <w:pPr>
        <w:jc w:val="left"/>
        <w:rPr>
          <w:lang w:val="en-GB"/>
        </w:rPr>
      </w:pPr>
      <w:r w:rsidRPr="00EB412B">
        <w:rPr>
          <w:lang w:val="en-GB"/>
        </w:rPr>
        <w:t>1.0·X5 = 1.0 × 1.221590 = 1.221590</w:t>
      </w:r>
    </w:p>
    <w:p w14:paraId="190DED67" w14:textId="77777777" w:rsidR="00714BE2" w:rsidRPr="00EB412B" w:rsidRDefault="00000000" w:rsidP="00EB412B">
      <w:pPr>
        <w:jc w:val="left"/>
        <w:rPr>
          <w:lang w:val="en-GB"/>
        </w:rPr>
      </w:pPr>
      <w:r w:rsidRPr="00EB412B">
        <w:rPr>
          <w:rFonts w:eastAsia="Arial Unicode MS"/>
          <w:lang w:val="en-GB"/>
        </w:rPr>
        <w:t>Sum: Z = 0.312581 + 0.902695 − 0.156100 + 0.539636 + 1.221590 = 2.820402</w:t>
      </w:r>
    </w:p>
    <w:p w14:paraId="1520B1DE" w14:textId="056DE645" w:rsidR="001B582B" w:rsidRPr="00EB412B" w:rsidRDefault="00000000" w:rsidP="00EB412B">
      <w:pPr>
        <w:jc w:val="left"/>
        <w:rPr>
          <w:lang w:val="en-GB"/>
        </w:rPr>
      </w:pPr>
      <w:r w:rsidRPr="00EB412B">
        <w:rPr>
          <w:lang w:val="en-GB"/>
        </w:rPr>
        <w:t>Z(2024) = 2.820 (using book equity as proxy).</w:t>
      </w:r>
    </w:p>
    <w:p w14:paraId="14E43A33" w14:textId="77777777" w:rsidR="001B582B" w:rsidRPr="00EB412B" w:rsidRDefault="001B582B" w:rsidP="00EB412B">
      <w:pPr>
        <w:jc w:val="left"/>
        <w:rPr>
          <w:lang w:val="en-GB"/>
        </w:rPr>
      </w:pPr>
    </w:p>
    <w:p w14:paraId="21C6C293" w14:textId="77777777" w:rsidR="001B582B" w:rsidRPr="00EB412B" w:rsidRDefault="001B582B" w:rsidP="00EB412B">
      <w:pPr>
        <w:jc w:val="left"/>
        <w:rPr>
          <w:lang w:val="en-GB"/>
        </w:rPr>
      </w:pPr>
    </w:p>
    <w:p w14:paraId="1F23683D" w14:textId="77777777" w:rsidR="001B582B" w:rsidRPr="00EB412B" w:rsidRDefault="001B582B" w:rsidP="00EB412B">
      <w:pPr>
        <w:rPr>
          <w:b/>
          <w:bCs/>
          <w:lang w:val="en-GB"/>
        </w:rPr>
      </w:pPr>
      <w:bookmarkStart w:id="78" w:name="_tho8mo8459m9" w:colFirst="0" w:colLast="0"/>
      <w:bookmarkEnd w:id="78"/>
      <w:r w:rsidRPr="00EB412B">
        <w:rPr>
          <w:lang w:val="en-GB"/>
        </w:rPr>
        <w:br w:type="page"/>
      </w:r>
    </w:p>
    <w:p w14:paraId="529EBEBF" w14:textId="213ADC65" w:rsidR="00714BE2" w:rsidRPr="00EB412B" w:rsidRDefault="00000000" w:rsidP="00EB412B">
      <w:pPr>
        <w:pStyle w:val="Heading2"/>
        <w:keepNext w:val="0"/>
        <w:keepLines w:val="0"/>
        <w:rPr>
          <w:lang w:val="en-GB"/>
        </w:rPr>
      </w:pPr>
      <w:bookmarkStart w:id="79" w:name="_Toc217295800"/>
      <w:r w:rsidRPr="00EB412B">
        <w:rPr>
          <w:lang w:val="en-GB"/>
        </w:rPr>
        <w:lastRenderedPageBreak/>
        <w:t xml:space="preserve">Appendix C: Investment appraisal </w:t>
      </w:r>
      <w:r w:rsidR="00982368" w:rsidRPr="00EB412B">
        <w:rPr>
          <w:lang w:val="en-GB"/>
        </w:rPr>
        <w:t>calculations</w:t>
      </w:r>
      <w:bookmarkEnd w:id="79"/>
      <w:r w:rsidR="00982368" w:rsidRPr="00EB412B">
        <w:rPr>
          <w:lang w:val="en-GB"/>
        </w:rPr>
        <w:t xml:space="preserve"> </w:t>
      </w:r>
    </w:p>
    <w:p w14:paraId="2F087B08" w14:textId="77777777" w:rsidR="00714BE2" w:rsidRPr="00EB412B" w:rsidRDefault="00000000" w:rsidP="00EB412B">
      <w:pPr>
        <w:jc w:val="center"/>
        <w:rPr>
          <w:b/>
          <w:bCs/>
          <w:lang w:val="en-GB"/>
        </w:rPr>
      </w:pPr>
      <w:r w:rsidRPr="00EB412B">
        <w:rPr>
          <w:b/>
          <w:bCs/>
          <w:noProof/>
          <w:lang w:val="en-GB"/>
        </w:rPr>
        <w:drawing>
          <wp:inline distT="114300" distB="114300" distL="114300" distR="114300" wp14:anchorId="3FA61A5A" wp14:editId="5BE6F27E">
            <wp:extent cx="4845050" cy="847725"/>
            <wp:effectExtent l="0" t="0" r="0" b="9525"/>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4"/>
                    <a:srcRect/>
                    <a:stretch>
                      <a:fillRect/>
                    </a:stretch>
                  </pic:blipFill>
                  <pic:spPr>
                    <a:xfrm>
                      <a:off x="0" y="0"/>
                      <a:ext cx="4865816" cy="851358"/>
                    </a:xfrm>
                    <a:prstGeom prst="rect">
                      <a:avLst/>
                    </a:prstGeom>
                    <a:ln/>
                  </pic:spPr>
                </pic:pic>
              </a:graphicData>
            </a:graphic>
          </wp:inline>
        </w:drawing>
      </w:r>
    </w:p>
    <w:p w14:paraId="7364ACFB" w14:textId="3FBB5294" w:rsidR="00714BE2" w:rsidRPr="00EB412B" w:rsidRDefault="00982368" w:rsidP="00EB412B">
      <w:pPr>
        <w:jc w:val="center"/>
        <w:rPr>
          <w:b/>
          <w:bCs/>
          <w:lang w:val="en-GB"/>
        </w:rPr>
      </w:pPr>
      <w:r w:rsidRPr="00EB412B">
        <w:rPr>
          <w:b/>
          <w:bCs/>
          <w:noProof/>
          <w:lang w:val="en-GB"/>
        </w:rPr>
        <w:drawing>
          <wp:inline distT="0" distB="0" distL="0" distR="0" wp14:anchorId="105BBC1A" wp14:editId="549F870D">
            <wp:extent cx="6334125" cy="742950"/>
            <wp:effectExtent l="0" t="0" r="9525" b="0"/>
            <wp:docPr id="103762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28112" name=""/>
                    <pic:cNvPicPr/>
                  </pic:nvPicPr>
                  <pic:blipFill>
                    <a:blip r:embed="rId55"/>
                    <a:stretch>
                      <a:fillRect/>
                    </a:stretch>
                  </pic:blipFill>
                  <pic:spPr>
                    <a:xfrm>
                      <a:off x="0" y="0"/>
                      <a:ext cx="6414155" cy="752337"/>
                    </a:xfrm>
                    <a:prstGeom prst="rect">
                      <a:avLst/>
                    </a:prstGeom>
                  </pic:spPr>
                </pic:pic>
              </a:graphicData>
            </a:graphic>
          </wp:inline>
        </w:drawing>
      </w:r>
    </w:p>
    <w:p w14:paraId="40D97C74" w14:textId="628C941B" w:rsidR="00714BE2" w:rsidRPr="00EB412B" w:rsidRDefault="00714BE2" w:rsidP="00EB412B">
      <w:pPr>
        <w:rPr>
          <w:lang w:val="en-GB"/>
        </w:rPr>
      </w:pPr>
      <w:bookmarkStart w:id="80" w:name="_2m7boeio6w3k" w:colFirst="0" w:colLast="0"/>
      <w:bookmarkEnd w:id="80"/>
    </w:p>
    <w:sectPr w:rsidR="00714BE2" w:rsidRPr="00EB412B" w:rsidSect="00762AFF">
      <w:headerReference w:type="even" r:id="rId56"/>
      <w:headerReference w:type="default" r:id="rId57"/>
      <w:footerReference w:type="even" r:id="rId58"/>
      <w:footerReference w:type="default" r:id="rId59"/>
      <w:headerReference w:type="first" r:id="rId60"/>
      <w:footerReference w:type="first" r:id="rId6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45C67" w14:textId="77777777" w:rsidR="001A672D" w:rsidRDefault="001A672D" w:rsidP="008D221F">
      <w:pPr>
        <w:spacing w:line="240" w:lineRule="auto"/>
      </w:pPr>
      <w:r>
        <w:separator/>
      </w:r>
    </w:p>
  </w:endnote>
  <w:endnote w:type="continuationSeparator" w:id="0">
    <w:p w14:paraId="76F6EFFA" w14:textId="77777777" w:rsidR="001A672D" w:rsidRDefault="001A672D" w:rsidP="008D22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A12CB93-FBEE-4832-B9F9-0B8DF2C5B2FD}"/>
    <w:embedBold r:id="rId2" w:fontKey="{9575CD58-9A27-412C-B6DB-F0A5457BF4D0}"/>
  </w:font>
  <w:font w:name="Cambria">
    <w:panose1 w:val="02040503050406030204"/>
    <w:charset w:val="00"/>
    <w:family w:val="roman"/>
    <w:pitch w:val="variable"/>
    <w:sig w:usb0="E00006FF" w:usb1="420024FF" w:usb2="02000000" w:usb3="00000000" w:csb0="0000019F" w:csb1="00000000"/>
    <w:embedRegular r:id="rId3" w:fontKey="{347FE252-A2EC-4C56-883E-181CAA8113B6}"/>
    <w:embedBold r:id="rId4" w:fontKey="{9D57EE9D-8258-4C0C-82CB-CE1AD485384F}"/>
    <w:embedBoldItalic r:id="rId5" w:fontKey="{5AF6E234-0262-4696-BE96-405D7BFA5F17}"/>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3711199"/>
      <w:docPartObj>
        <w:docPartGallery w:val="Page Numbers (Bottom of Page)"/>
        <w:docPartUnique/>
      </w:docPartObj>
    </w:sdtPr>
    <w:sdtContent>
      <w:p w14:paraId="497B79E7" w14:textId="77777777" w:rsidR="008D221F" w:rsidRDefault="008D221F" w:rsidP="00F237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005F92" w14:textId="77777777" w:rsidR="008D221F" w:rsidRDefault="008D221F" w:rsidP="008D22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1466641"/>
      <w:docPartObj>
        <w:docPartGallery w:val="Page Numbers (Bottom of Page)"/>
        <w:docPartUnique/>
      </w:docPartObj>
    </w:sdtPr>
    <w:sdtContent>
      <w:p w14:paraId="2DCA5E70" w14:textId="77777777" w:rsidR="008D221F" w:rsidRDefault="008D221F" w:rsidP="00F237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95C7B4" w14:textId="77777777" w:rsidR="008D221F" w:rsidRDefault="008D221F" w:rsidP="008D221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214DB" w14:textId="77777777" w:rsidR="000C2D36" w:rsidRDefault="000C2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99291" w14:textId="77777777" w:rsidR="001A672D" w:rsidRDefault="001A672D" w:rsidP="008D221F">
      <w:pPr>
        <w:spacing w:line="240" w:lineRule="auto"/>
      </w:pPr>
      <w:r>
        <w:separator/>
      </w:r>
    </w:p>
  </w:footnote>
  <w:footnote w:type="continuationSeparator" w:id="0">
    <w:p w14:paraId="72E8889F" w14:textId="77777777" w:rsidR="001A672D" w:rsidRDefault="001A672D" w:rsidP="008D22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AC638" w14:textId="77777777" w:rsidR="008D221F" w:rsidRDefault="008D22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05425" w14:textId="77777777" w:rsidR="008D221F" w:rsidRDefault="008D22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D1D13" w14:textId="77777777" w:rsidR="008D221F" w:rsidRDefault="008D22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BE2"/>
    <w:rsid w:val="00034BD5"/>
    <w:rsid w:val="00061264"/>
    <w:rsid w:val="00095302"/>
    <w:rsid w:val="000C2B01"/>
    <w:rsid w:val="000C2D36"/>
    <w:rsid w:val="000D1468"/>
    <w:rsid w:val="0012233E"/>
    <w:rsid w:val="00147693"/>
    <w:rsid w:val="001A672D"/>
    <w:rsid w:val="001B582B"/>
    <w:rsid w:val="001C4518"/>
    <w:rsid w:val="0021282B"/>
    <w:rsid w:val="00232D6E"/>
    <w:rsid w:val="00241BBA"/>
    <w:rsid w:val="0027548D"/>
    <w:rsid w:val="002902C2"/>
    <w:rsid w:val="003238EB"/>
    <w:rsid w:val="003C7FB3"/>
    <w:rsid w:val="00407EEC"/>
    <w:rsid w:val="00423C05"/>
    <w:rsid w:val="00477EFC"/>
    <w:rsid w:val="004833B0"/>
    <w:rsid w:val="00506F9F"/>
    <w:rsid w:val="00526406"/>
    <w:rsid w:val="005B201A"/>
    <w:rsid w:val="00611C51"/>
    <w:rsid w:val="00620BEC"/>
    <w:rsid w:val="006524E7"/>
    <w:rsid w:val="0065412D"/>
    <w:rsid w:val="00682F0C"/>
    <w:rsid w:val="006900AD"/>
    <w:rsid w:val="006D3E0C"/>
    <w:rsid w:val="006F5271"/>
    <w:rsid w:val="00714BE2"/>
    <w:rsid w:val="00762AFF"/>
    <w:rsid w:val="00774B20"/>
    <w:rsid w:val="00777EDE"/>
    <w:rsid w:val="007B4109"/>
    <w:rsid w:val="007E1669"/>
    <w:rsid w:val="007F1A4E"/>
    <w:rsid w:val="00801F3B"/>
    <w:rsid w:val="008230CE"/>
    <w:rsid w:val="00897F29"/>
    <w:rsid w:val="008D19DD"/>
    <w:rsid w:val="008D221F"/>
    <w:rsid w:val="008F4197"/>
    <w:rsid w:val="00906F69"/>
    <w:rsid w:val="00907BD4"/>
    <w:rsid w:val="00982368"/>
    <w:rsid w:val="009E6E72"/>
    <w:rsid w:val="00A173FD"/>
    <w:rsid w:val="00A35FC4"/>
    <w:rsid w:val="00A36657"/>
    <w:rsid w:val="00A40222"/>
    <w:rsid w:val="00A40559"/>
    <w:rsid w:val="00A91409"/>
    <w:rsid w:val="00A93B8A"/>
    <w:rsid w:val="00B306C7"/>
    <w:rsid w:val="00B51BB3"/>
    <w:rsid w:val="00B82E50"/>
    <w:rsid w:val="00BA26F1"/>
    <w:rsid w:val="00BA6205"/>
    <w:rsid w:val="00BF4CBB"/>
    <w:rsid w:val="00C1685F"/>
    <w:rsid w:val="00C3027E"/>
    <w:rsid w:val="00C66AAB"/>
    <w:rsid w:val="00C703B9"/>
    <w:rsid w:val="00D17A12"/>
    <w:rsid w:val="00D322A2"/>
    <w:rsid w:val="00D6480F"/>
    <w:rsid w:val="00D878D4"/>
    <w:rsid w:val="00DD3097"/>
    <w:rsid w:val="00E3443A"/>
    <w:rsid w:val="00E6109C"/>
    <w:rsid w:val="00EB412B"/>
    <w:rsid w:val="00F961C4"/>
    <w:rsid w:val="00F97368"/>
    <w:rsid w:val="00FA5A73"/>
    <w:rsid w:val="00FE7F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0E98D"/>
  <w15:docId w15:val="{1919E255-1F2A-974C-B429-58AAE1A81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221F"/>
    <w:pPr>
      <w:tabs>
        <w:tab w:val="center" w:pos="4680"/>
        <w:tab w:val="right" w:pos="9360"/>
      </w:tabs>
      <w:spacing w:line="240" w:lineRule="auto"/>
    </w:pPr>
  </w:style>
  <w:style w:type="character" w:customStyle="1" w:styleId="HeaderChar">
    <w:name w:val="Header Char"/>
    <w:basedOn w:val="DefaultParagraphFont"/>
    <w:link w:val="Header"/>
    <w:uiPriority w:val="99"/>
    <w:rsid w:val="008D221F"/>
  </w:style>
  <w:style w:type="paragraph" w:styleId="Footer">
    <w:name w:val="footer"/>
    <w:basedOn w:val="Normal"/>
    <w:link w:val="FooterChar"/>
    <w:uiPriority w:val="99"/>
    <w:unhideWhenUsed/>
    <w:rsid w:val="008D221F"/>
    <w:pPr>
      <w:tabs>
        <w:tab w:val="center" w:pos="4680"/>
        <w:tab w:val="right" w:pos="9360"/>
      </w:tabs>
      <w:spacing w:line="240" w:lineRule="auto"/>
    </w:pPr>
  </w:style>
  <w:style w:type="character" w:customStyle="1" w:styleId="FooterChar">
    <w:name w:val="Footer Char"/>
    <w:basedOn w:val="DefaultParagraphFont"/>
    <w:link w:val="Footer"/>
    <w:uiPriority w:val="99"/>
    <w:rsid w:val="008D221F"/>
  </w:style>
  <w:style w:type="character" w:styleId="PageNumber">
    <w:name w:val="page number"/>
    <w:basedOn w:val="DefaultParagraphFont"/>
    <w:uiPriority w:val="99"/>
    <w:semiHidden/>
    <w:unhideWhenUsed/>
    <w:rsid w:val="008D221F"/>
  </w:style>
  <w:style w:type="character" w:styleId="Hyperlink">
    <w:name w:val="Hyperlink"/>
    <w:basedOn w:val="DefaultParagraphFont"/>
    <w:uiPriority w:val="99"/>
    <w:unhideWhenUsed/>
    <w:rsid w:val="008D221F"/>
    <w:rPr>
      <w:color w:val="0000FF" w:themeColor="hyperlink"/>
      <w:u w:val="single"/>
    </w:rPr>
  </w:style>
  <w:style w:type="paragraph" w:styleId="TOCHeading">
    <w:name w:val="TOC Heading"/>
    <w:basedOn w:val="Heading1"/>
    <w:next w:val="Normal"/>
    <w:uiPriority w:val="39"/>
    <w:unhideWhenUsed/>
    <w:qFormat/>
    <w:rsid w:val="00232D6E"/>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232D6E"/>
    <w:pPr>
      <w:spacing w:before="120"/>
      <w:jc w:val="left"/>
    </w:pPr>
    <w:rPr>
      <w:rFonts w:asciiTheme="minorHAnsi" w:hAnsiTheme="minorHAnsi"/>
      <w:b/>
      <w:bCs/>
      <w:i/>
      <w:iCs/>
    </w:rPr>
  </w:style>
  <w:style w:type="paragraph" w:styleId="TOC2">
    <w:name w:val="toc 2"/>
    <w:basedOn w:val="Normal"/>
    <w:next w:val="Normal"/>
    <w:autoRedefine/>
    <w:uiPriority w:val="39"/>
    <w:unhideWhenUsed/>
    <w:rsid w:val="00232D6E"/>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232D6E"/>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232D6E"/>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32D6E"/>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32D6E"/>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32D6E"/>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32D6E"/>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32D6E"/>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www.tandfonline.com/doi/abs/10.1080/00472778.2025.2515072" TargetMode="External"/><Relationship Id="rId39" Type="http://schemas.openxmlformats.org/officeDocument/2006/relationships/hyperlink" Target="https://www.emerald.com/jed/article-pdf/27/3/264/10079017/jed-08-2024-0281en.pdf" TargetMode="External"/><Relationship Id="rId21" Type="http://schemas.openxmlformats.org/officeDocument/2006/relationships/hyperlink" Target="https://www.elgaronline.com/abstract/book/9781035315901/chapter3.xml" TargetMode="External"/><Relationship Id="rId34" Type="http://schemas.openxmlformats.org/officeDocument/2006/relationships/hyperlink" Target="https://e-journal.penerbit-altafcorp.com/index.php/jemba/article/view/10" TargetMode="External"/><Relationship Id="rId42" Type="http://schemas.openxmlformats.org/officeDocument/2006/relationships/hyperlink" Target="https://papers.ssrn.com/sol3/papers.cfm?abstract_id=5241872" TargetMode="External"/><Relationship Id="rId47" Type="http://schemas.openxmlformats.org/officeDocument/2006/relationships/hyperlink" Target="https://papers.ssrn.com/sol3/papers.cfm?abstract_id=5403522" TargetMode="External"/><Relationship Id="rId50" Type="http://schemas.openxmlformats.org/officeDocument/2006/relationships/hyperlink" Target="https://papers.ssrn.com/sol3/papers.cfm?abstract_id=5159976" TargetMode="External"/><Relationship Id="rId55" Type="http://schemas.openxmlformats.org/officeDocument/2006/relationships/image" Target="media/image6.png"/><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hyperlink" Target="https://policyjournalofms.com/index.php/6/article/view/844" TargetMode="External"/><Relationship Id="rId11" Type="http://schemas.openxmlformats.org/officeDocument/2006/relationships/chart" Target="charts/chart4.xml"/><Relationship Id="rId24" Type="http://schemas.openxmlformats.org/officeDocument/2006/relationships/hyperlink" Target="https://proceedings.antispublisher.org/index.php/icossh/article/view/62" TargetMode="External"/><Relationship Id="rId32" Type="http://schemas.openxmlformats.org/officeDocument/2006/relationships/hyperlink" Target="https://www.tandfonline.com/doi/abs/10.1080/23322039.2025.2521466" TargetMode="External"/><Relationship Id="rId37" Type="http://schemas.openxmlformats.org/officeDocument/2006/relationships/hyperlink" Target="https://journal.yayasanpad.org/index.php/sajmr/article/view/409" TargetMode="External"/><Relationship Id="rId40" Type="http://schemas.openxmlformats.org/officeDocument/2006/relationships/hyperlink" Target="http://41.89.128.53/index.php/tummj/article/download/86/104" TargetMode="External"/><Relationship Id="rId45" Type="http://schemas.openxmlformats.org/officeDocument/2006/relationships/hyperlink" Target="https://www.researchgate.net/profile/Aleksandra-Staskiewicz/publication/357967235_The_Role_of_SKU_Management_in_SKU_Rationalisation_Projects/links/61f5636f4393577abefadfc8/The-Role-of-SKU-Management-in-SKU-Rationalisation-Projects.pdf" TargetMode="External"/><Relationship Id="rId53" Type="http://schemas.openxmlformats.org/officeDocument/2006/relationships/image" Target="media/image4.png"/><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footer" Target="footer3.xml"/><Relationship Id="rId19" Type="http://schemas.openxmlformats.org/officeDocument/2006/relationships/hyperlink" Target="https://www.tandfonline.com/doi/abs/10.1080/00472778.2024.2415302" TargetMode="External"/><Relationship Id="rId14" Type="http://schemas.openxmlformats.org/officeDocument/2006/relationships/chart" Target="charts/chart7.xml"/><Relationship Id="rId22" Type="http://schemas.openxmlformats.org/officeDocument/2006/relationships/hyperlink" Target="https://noyam.org/wp-content/uploads/2025/06/EHASS20256719.pdf" TargetMode="External"/><Relationship Id="rId27" Type="http://schemas.openxmlformats.org/officeDocument/2006/relationships/hyperlink" Target="https://onlinelibrary.wiley.com/doi/abs/10.1111/1467-8551.12882" TargetMode="External"/><Relationship Id="rId30" Type="http://schemas.openxmlformats.org/officeDocument/2006/relationships/hyperlink" Target="http://ajeaf.com/index.php/Journal/article/view/106" TargetMode="External"/><Relationship Id="rId35" Type="http://schemas.openxmlformats.org/officeDocument/2006/relationships/hyperlink" Target="https://www.sciencedirect.com/science/article/pii/S0007681325001727" TargetMode="External"/><Relationship Id="rId43" Type="http://schemas.openxmlformats.org/officeDocument/2006/relationships/hyperlink" Target="https://journals.sagepub.com/doi/abs/10.1177/23409444221120053" TargetMode="External"/><Relationship Id="rId48" Type="http://schemas.openxmlformats.org/officeDocument/2006/relationships/hyperlink" Target="https://www.sciencedirect.com/science/article/pii/S0090261625000233" TargetMode="External"/><Relationship Id="rId56" Type="http://schemas.openxmlformats.org/officeDocument/2006/relationships/header" Target="header1.xml"/><Relationship Id="rId8" Type="http://schemas.openxmlformats.org/officeDocument/2006/relationships/chart" Target="charts/chart1.xml"/><Relationship Id="rId51"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www.emerald.com/ejim/article-abstract/28/11/1/1267119" TargetMode="External"/><Relationship Id="rId33" Type="http://schemas.openxmlformats.org/officeDocument/2006/relationships/hyperlink" Target="https://www.researchgate.net/profile/Chetachi-Mammah/publication/396384490_Strategic_branch_management_in_commercial_banks_Driving_profitability_through_operational_efficiency/links/68e91399e7f5f867e6de93fe/Strategic-branch-management-in-commercial-banks-Driving-profitability-through-operational-efficiency.pdf" TargetMode="External"/><Relationship Id="rId38" Type="http://schemas.openxmlformats.org/officeDocument/2006/relationships/hyperlink" Target="https://www.mdpi.com/2076-3387/15/2/63" TargetMode="External"/><Relationship Id="rId46" Type="http://schemas.openxmlformats.org/officeDocument/2006/relationships/hyperlink" Target="http://jurnaljipsya.org/index.php/jipsya/article/view/313" TargetMode="External"/><Relationship Id="rId59" Type="http://schemas.openxmlformats.org/officeDocument/2006/relationships/footer" Target="footer2.xml"/><Relationship Id="rId20" Type="http://schemas.openxmlformats.org/officeDocument/2006/relationships/hyperlink" Target="https://www.mdpi.com/1911-8074/18/8/465" TargetMode="External"/><Relationship Id="rId41" Type="http://schemas.openxmlformats.org/officeDocument/2006/relationships/hyperlink" Target="https://papers.ssrn.com/sol3/papers.cfm?abstract_id=5294575" TargetMode="External"/><Relationship Id="rId54" Type="http://schemas.openxmlformats.org/officeDocument/2006/relationships/image" Target="media/image5.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hyperlink" Target="https://www.cambridge.org/core/journals/journal-of-management-and-organization/article/its-a-matter-of-time-ceo-turnover-and-corporate-turnarounds-in-italy/E581B2388B0773298949342D2FE26796" TargetMode="External"/><Relationship Id="rId28" Type="http://schemas.openxmlformats.org/officeDocument/2006/relationships/hyperlink" Target="https://journals.co.za/doi/abs/10.35683/jcm23.005.285" TargetMode="External"/><Relationship Id="rId36" Type="http://schemas.openxmlformats.org/officeDocument/2006/relationships/hyperlink" Target="https://www.mdpi.com/2071-1050/17/4/1535" TargetMode="External"/><Relationship Id="rId49" Type="http://schemas.openxmlformats.org/officeDocument/2006/relationships/hyperlink" Target="https://ir-library.ku.ac.ke/server/api/core/bitstreams/78baabc3-5c42-4c54-9a97-11a8d71781d7/content" TargetMode="External"/><Relationship Id="rId57" Type="http://schemas.openxmlformats.org/officeDocument/2006/relationships/header" Target="header2.xml"/><Relationship Id="rId10" Type="http://schemas.openxmlformats.org/officeDocument/2006/relationships/chart" Target="charts/chart3.xml"/><Relationship Id="rId31" Type="http://schemas.openxmlformats.org/officeDocument/2006/relationships/hyperlink" Target="https://www.elgaronline.com/abstract/book/9781035315901/chapter8.xml" TargetMode="External"/><Relationship Id="rId44" Type="http://schemas.openxmlformats.org/officeDocument/2006/relationships/hyperlink" Target="https://journals.sagepub.com/doi/abs/10.1177/25166042241304554" TargetMode="External"/><Relationship Id="rId52" Type="http://schemas.openxmlformats.org/officeDocument/2006/relationships/image" Target="media/image3.png"/><Relationship Id="rId6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chart" Target="charts/chart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calculations'!$A$2</c:f>
              <c:strCache>
                <c:ptCount val="1"/>
                <c:pt idx="0">
                  <c:v>Gross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calculations'!$B$2:$F$2</c:f>
              <c:numCache>
                <c:formatCode>0.000</c:formatCode>
                <c:ptCount val="5"/>
                <c:pt idx="0">
                  <c:v>0.28674432224897506</c:v>
                </c:pt>
                <c:pt idx="1">
                  <c:v>0.28759212901552855</c:v>
                </c:pt>
                <c:pt idx="2">
                  <c:v>0.28059275800505207</c:v>
                </c:pt>
                <c:pt idx="3">
                  <c:v>0.23203324002216635</c:v>
                </c:pt>
                <c:pt idx="4">
                  <c:v>0.28868083640811487</c:v>
                </c:pt>
              </c:numCache>
            </c:numRef>
          </c:val>
          <c:extLst>
            <c:ext xmlns:c16="http://schemas.microsoft.com/office/drawing/2014/chart" uri="{C3380CC4-5D6E-409C-BE32-E72D297353CC}">
              <c16:uniqueId val="{00000000-39A6-45A8-A617-C763D82D5AAE}"/>
            </c:ext>
          </c:extLst>
        </c:ser>
        <c:dLbls>
          <c:showLegendKey val="0"/>
          <c:showVal val="0"/>
          <c:showCatName val="0"/>
          <c:showSerName val="0"/>
          <c:showPercent val="0"/>
          <c:showBubbleSize val="0"/>
        </c:dLbls>
        <c:gapWidth val="182"/>
        <c:axId val="1130914335"/>
        <c:axId val="1130915775"/>
      </c:barChart>
      <c:catAx>
        <c:axId val="11309143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915775"/>
        <c:crosses val="autoZero"/>
        <c:auto val="1"/>
        <c:lblAlgn val="ctr"/>
        <c:lblOffset val="100"/>
        <c:noMultiLvlLbl val="0"/>
      </c:catAx>
      <c:valAx>
        <c:axId val="113091577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9143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calculations'!$A$3</c:f>
              <c:strCache>
                <c:ptCount val="1"/>
                <c:pt idx="0">
                  <c:v>Operating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calculations'!$B$3:$F$3</c:f>
              <c:numCache>
                <c:formatCode>0.000</c:formatCode>
                <c:ptCount val="5"/>
                <c:pt idx="0">
                  <c:v>6.0628294397084663E-2</c:v>
                </c:pt>
                <c:pt idx="1">
                  <c:v>3.8651799694814845E-2</c:v>
                </c:pt>
                <c:pt idx="2">
                  <c:v>2.6804188292605634E-2</c:v>
                </c:pt>
                <c:pt idx="3">
                  <c:v>-0.20287686969178775</c:v>
                </c:pt>
                <c:pt idx="4">
                  <c:v>-3.8738448993235905E-2</c:v>
                </c:pt>
              </c:numCache>
            </c:numRef>
          </c:val>
          <c:extLst>
            <c:ext xmlns:c16="http://schemas.microsoft.com/office/drawing/2014/chart" uri="{C3380CC4-5D6E-409C-BE32-E72D297353CC}">
              <c16:uniqueId val="{00000000-AF67-4E6D-81A0-E7E6EBFEF2A4}"/>
            </c:ext>
          </c:extLst>
        </c:ser>
        <c:dLbls>
          <c:showLegendKey val="0"/>
          <c:showVal val="0"/>
          <c:showCatName val="0"/>
          <c:showSerName val="0"/>
          <c:showPercent val="0"/>
          <c:showBubbleSize val="0"/>
        </c:dLbls>
        <c:gapWidth val="182"/>
        <c:axId val="1630186655"/>
        <c:axId val="1630170335"/>
      </c:barChart>
      <c:catAx>
        <c:axId val="16301866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70335"/>
        <c:crosses val="autoZero"/>
        <c:auto val="1"/>
        <c:lblAlgn val="ctr"/>
        <c:lblOffset val="100"/>
        <c:noMultiLvlLbl val="0"/>
      </c:catAx>
      <c:valAx>
        <c:axId val="163017033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866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calculations'!$A$4</c:f>
              <c:strCache>
                <c:ptCount val="1"/>
                <c:pt idx="0">
                  <c:v>Net Margin</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calculations'!$B$4:$F$4</c:f>
              <c:numCache>
                <c:formatCode>0.000</c:formatCode>
                <c:ptCount val="5"/>
                <c:pt idx="0">
                  <c:v>6.2751350296089026E-2</c:v>
                </c:pt>
                <c:pt idx="1">
                  <c:v>8.8114733661124791E-3</c:v>
                </c:pt>
                <c:pt idx="2">
                  <c:v>7.4988346405626153E-4</c:v>
                </c:pt>
                <c:pt idx="3">
                  <c:v>-0.23364577114901167</c:v>
                </c:pt>
                <c:pt idx="4">
                  <c:v>-6.0851551994408414E-2</c:v>
                </c:pt>
              </c:numCache>
            </c:numRef>
          </c:val>
          <c:extLst>
            <c:ext xmlns:c16="http://schemas.microsoft.com/office/drawing/2014/chart" uri="{C3380CC4-5D6E-409C-BE32-E72D297353CC}">
              <c16:uniqueId val="{00000000-91CA-4D90-B54F-4B6288AA45A1}"/>
            </c:ext>
          </c:extLst>
        </c:ser>
        <c:dLbls>
          <c:showLegendKey val="0"/>
          <c:showVal val="0"/>
          <c:showCatName val="0"/>
          <c:showSerName val="0"/>
          <c:showPercent val="0"/>
          <c:showBubbleSize val="0"/>
        </c:dLbls>
        <c:gapWidth val="150"/>
        <c:shape val="box"/>
        <c:axId val="1630213055"/>
        <c:axId val="1630199135"/>
        <c:axId val="0"/>
      </c:bar3DChart>
      <c:catAx>
        <c:axId val="16302130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99135"/>
        <c:crosses val="autoZero"/>
        <c:auto val="1"/>
        <c:lblAlgn val="ctr"/>
        <c:lblOffset val="100"/>
        <c:noMultiLvlLbl val="0"/>
      </c:catAx>
      <c:valAx>
        <c:axId val="163019913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2130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calculations'!$A$10</c:f>
              <c:strCache>
                <c:ptCount val="1"/>
                <c:pt idx="0">
                  <c:v>ROA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calculations'!$B$10:$F$10</c:f>
              <c:numCache>
                <c:formatCode>0.000</c:formatCode>
                <c:ptCount val="5"/>
                <c:pt idx="0">
                  <c:v>7.5588390914969925E-2</c:v>
                </c:pt>
                <c:pt idx="1">
                  <c:v>1.0387030026570106E-2</c:v>
                </c:pt>
                <c:pt idx="2">
                  <c:v>8.0727859838980649E-4</c:v>
                </c:pt>
                <c:pt idx="3">
                  <c:v>-0.27604869166441864</c:v>
                </c:pt>
                <c:pt idx="4">
                  <c:v>-7.4311745022483097E-2</c:v>
                </c:pt>
              </c:numCache>
            </c:numRef>
          </c:val>
          <c:extLst>
            <c:ext xmlns:c16="http://schemas.microsoft.com/office/drawing/2014/chart" uri="{C3380CC4-5D6E-409C-BE32-E72D297353CC}">
              <c16:uniqueId val="{00000000-8751-44EF-801B-C2E389DD2379}"/>
            </c:ext>
          </c:extLst>
        </c:ser>
        <c:dLbls>
          <c:showLegendKey val="0"/>
          <c:showVal val="0"/>
          <c:showCatName val="0"/>
          <c:showSerName val="0"/>
          <c:showPercent val="0"/>
          <c:showBubbleSize val="0"/>
        </c:dLbls>
        <c:gapWidth val="182"/>
        <c:axId val="1630137695"/>
        <c:axId val="1630147295"/>
      </c:barChart>
      <c:catAx>
        <c:axId val="16301376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47295"/>
        <c:crosses val="autoZero"/>
        <c:auto val="1"/>
        <c:lblAlgn val="ctr"/>
        <c:lblOffset val="100"/>
        <c:noMultiLvlLbl val="0"/>
      </c:catAx>
      <c:valAx>
        <c:axId val="163014729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3769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calculations'!$A$11</c:f>
              <c:strCache>
                <c:ptCount val="1"/>
                <c:pt idx="0">
                  <c:v>ROE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calculations'!$B$11:$F$11</c:f>
              <c:numCache>
                <c:formatCode>0.000</c:formatCode>
                <c:ptCount val="5"/>
                <c:pt idx="0">
                  <c:v>0.1231148320624575</c:v>
                </c:pt>
                <c:pt idx="1">
                  <c:v>1.9210071426241804E-2</c:v>
                </c:pt>
                <c:pt idx="2">
                  <c:v>1.5163595448685946E-3</c:v>
                </c:pt>
                <c:pt idx="3">
                  <c:v>-0.54906103286384977</c:v>
                </c:pt>
                <c:pt idx="4">
                  <c:v>-0.1569445805166389</c:v>
                </c:pt>
              </c:numCache>
            </c:numRef>
          </c:val>
          <c:extLst>
            <c:ext xmlns:c16="http://schemas.microsoft.com/office/drawing/2014/chart" uri="{C3380CC4-5D6E-409C-BE32-E72D297353CC}">
              <c16:uniqueId val="{00000000-0633-474A-913F-6997072E60AA}"/>
            </c:ext>
          </c:extLst>
        </c:ser>
        <c:dLbls>
          <c:showLegendKey val="0"/>
          <c:showVal val="0"/>
          <c:showCatName val="0"/>
          <c:showSerName val="0"/>
          <c:showPercent val="0"/>
          <c:showBubbleSize val="0"/>
        </c:dLbls>
        <c:gapWidth val="182"/>
        <c:axId val="1630186175"/>
        <c:axId val="1630187615"/>
      </c:barChart>
      <c:catAx>
        <c:axId val="16301861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87615"/>
        <c:crosses val="autoZero"/>
        <c:auto val="1"/>
        <c:lblAlgn val="ctr"/>
        <c:lblOffset val="100"/>
        <c:noMultiLvlLbl val="0"/>
      </c:catAx>
      <c:valAx>
        <c:axId val="163018761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861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calculations'!$A$5</c:f>
              <c:strCache>
                <c:ptCount val="1"/>
                <c:pt idx="0">
                  <c:v>Current Ratio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calculations'!$B$5:$F$5</c:f>
              <c:numCache>
                <c:formatCode>0.000</c:formatCode>
                <c:ptCount val="5"/>
                <c:pt idx="0">
                  <c:v>1.8207509330956493</c:v>
                </c:pt>
                <c:pt idx="1">
                  <c:v>1.5551947303113194</c:v>
                </c:pt>
                <c:pt idx="2">
                  <c:v>1.5615804280441441</c:v>
                </c:pt>
                <c:pt idx="3">
                  <c:v>1.6062935934668752</c:v>
                </c:pt>
                <c:pt idx="4">
                  <c:v>1.5319506478574272</c:v>
                </c:pt>
              </c:numCache>
            </c:numRef>
          </c:val>
          <c:extLst>
            <c:ext xmlns:c16="http://schemas.microsoft.com/office/drawing/2014/chart" uri="{C3380CC4-5D6E-409C-BE32-E72D297353CC}">
              <c16:uniqueId val="{00000000-CC1A-403F-A9EA-37B54290F8A5}"/>
            </c:ext>
          </c:extLst>
        </c:ser>
        <c:dLbls>
          <c:showLegendKey val="0"/>
          <c:showVal val="0"/>
          <c:showCatName val="0"/>
          <c:showSerName val="0"/>
          <c:showPercent val="0"/>
          <c:showBubbleSize val="0"/>
        </c:dLbls>
        <c:gapWidth val="150"/>
        <c:shape val="box"/>
        <c:axId val="1630123295"/>
        <c:axId val="1630115135"/>
        <c:axId val="0"/>
      </c:bar3DChart>
      <c:catAx>
        <c:axId val="16301232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15135"/>
        <c:crosses val="autoZero"/>
        <c:auto val="1"/>
        <c:lblAlgn val="ctr"/>
        <c:lblOffset val="100"/>
        <c:noMultiLvlLbl val="0"/>
      </c:catAx>
      <c:valAx>
        <c:axId val="163011513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2329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calculations'!$A$6</c:f>
              <c:strCache>
                <c:ptCount val="1"/>
                <c:pt idx="0">
                  <c:v>Quick Ratio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calculations'!$B$6:$F$6</c:f>
              <c:numCache>
                <c:formatCode>0.000</c:formatCode>
                <c:ptCount val="5"/>
                <c:pt idx="0">
                  <c:v>1.1498690880730877</c:v>
                </c:pt>
                <c:pt idx="1">
                  <c:v>0.93491307135575474</c:v>
                </c:pt>
                <c:pt idx="2">
                  <c:v>0.9140123710578224</c:v>
                </c:pt>
                <c:pt idx="3">
                  <c:v>1.0585176359619728</c:v>
                </c:pt>
                <c:pt idx="4">
                  <c:v>1.0306271360974408</c:v>
                </c:pt>
              </c:numCache>
            </c:numRef>
          </c:val>
          <c:extLst>
            <c:ext xmlns:c16="http://schemas.microsoft.com/office/drawing/2014/chart" uri="{C3380CC4-5D6E-409C-BE32-E72D297353CC}">
              <c16:uniqueId val="{00000000-6121-4319-83B8-E793625A5107}"/>
            </c:ext>
          </c:extLst>
        </c:ser>
        <c:dLbls>
          <c:showLegendKey val="0"/>
          <c:showVal val="0"/>
          <c:showCatName val="0"/>
          <c:showSerName val="0"/>
          <c:showPercent val="0"/>
          <c:showBubbleSize val="0"/>
        </c:dLbls>
        <c:gapWidth val="150"/>
        <c:shape val="box"/>
        <c:axId val="1630235135"/>
        <c:axId val="1630118975"/>
        <c:axId val="0"/>
      </c:bar3DChart>
      <c:catAx>
        <c:axId val="163023513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18975"/>
        <c:crosses val="autoZero"/>
        <c:auto val="1"/>
        <c:lblAlgn val="ctr"/>
        <c:lblOffset val="100"/>
        <c:noMultiLvlLbl val="0"/>
      </c:catAx>
      <c:valAx>
        <c:axId val="163011897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2351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calculations'!$A$7</c:f>
              <c:strCache>
                <c:ptCount val="1"/>
                <c:pt idx="0">
                  <c:v>Inventory Days</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calculations'!$B$7:$F$7</c:f>
              <c:numCache>
                <c:formatCode>0.000</c:formatCode>
                <c:ptCount val="5"/>
                <c:pt idx="0">
                  <c:v>71.511924904015089</c:v>
                </c:pt>
                <c:pt idx="1">
                  <c:v>81.584145331963654</c:v>
                </c:pt>
                <c:pt idx="2">
                  <c:v>94.271710231763748</c:v>
                </c:pt>
                <c:pt idx="3">
                  <c:v>76.63005967316515</c:v>
                </c:pt>
                <c:pt idx="4">
                  <c:v>73.350507370612263</c:v>
                </c:pt>
              </c:numCache>
            </c:numRef>
          </c:val>
          <c:extLst>
            <c:ext xmlns:c16="http://schemas.microsoft.com/office/drawing/2014/chart" uri="{C3380CC4-5D6E-409C-BE32-E72D297353CC}">
              <c16:uniqueId val="{00000000-2FF4-4342-948A-AC8775DC089A}"/>
            </c:ext>
          </c:extLst>
        </c:ser>
        <c:dLbls>
          <c:showLegendKey val="0"/>
          <c:showVal val="0"/>
          <c:showCatName val="0"/>
          <c:showSerName val="0"/>
          <c:showPercent val="0"/>
          <c:showBubbleSize val="0"/>
        </c:dLbls>
        <c:gapWidth val="150"/>
        <c:shape val="box"/>
        <c:axId val="1630221215"/>
        <c:axId val="1630219295"/>
        <c:axId val="0"/>
      </c:bar3DChart>
      <c:catAx>
        <c:axId val="16302212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219295"/>
        <c:crosses val="autoZero"/>
        <c:auto val="1"/>
        <c:lblAlgn val="ctr"/>
        <c:lblOffset val="100"/>
        <c:noMultiLvlLbl val="0"/>
      </c:catAx>
      <c:valAx>
        <c:axId val="163021929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2212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calculations'!$A$8</c:f>
              <c:strCache>
                <c:ptCount val="1"/>
                <c:pt idx="0">
                  <c:v>Receivable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calculations'!$B$8:$F$8</c:f>
              <c:numCache>
                <c:formatCode>0.000</c:formatCode>
                <c:ptCount val="5"/>
                <c:pt idx="0">
                  <c:v>76.857950478297639</c:v>
                </c:pt>
                <c:pt idx="1">
                  <c:v>78.396473083533635</c:v>
                </c:pt>
                <c:pt idx="2">
                  <c:v>75.552675167802548</c:v>
                </c:pt>
                <c:pt idx="3">
                  <c:v>97.744929921490183</c:v>
                </c:pt>
                <c:pt idx="4">
                  <c:v>105.54228004021485</c:v>
                </c:pt>
              </c:numCache>
            </c:numRef>
          </c:val>
          <c:extLst>
            <c:ext xmlns:c16="http://schemas.microsoft.com/office/drawing/2014/chart" uri="{C3380CC4-5D6E-409C-BE32-E72D297353CC}">
              <c16:uniqueId val="{00000000-26C9-44CC-8728-93636344E297}"/>
            </c:ext>
          </c:extLst>
        </c:ser>
        <c:dLbls>
          <c:showLegendKey val="0"/>
          <c:showVal val="0"/>
          <c:showCatName val="0"/>
          <c:showSerName val="0"/>
          <c:showPercent val="0"/>
          <c:showBubbleSize val="0"/>
        </c:dLbls>
        <c:gapWidth val="182"/>
        <c:axId val="1630128575"/>
        <c:axId val="1630135775"/>
      </c:barChart>
      <c:catAx>
        <c:axId val="16301285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35775"/>
        <c:crosses val="autoZero"/>
        <c:auto val="1"/>
        <c:lblAlgn val="ctr"/>
        <c:lblOffset val="100"/>
        <c:noMultiLvlLbl val="0"/>
      </c:catAx>
      <c:valAx>
        <c:axId val="163013577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1285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 calculations'!$A$9</c:f>
              <c:strCache>
                <c:ptCount val="1"/>
                <c:pt idx="0">
                  <c:v>Payable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calculations'!$B$9:$F$9</c:f>
              <c:numCache>
                <c:formatCode>0.000</c:formatCode>
                <c:ptCount val="5"/>
                <c:pt idx="0">
                  <c:v>49.421788572915986</c:v>
                </c:pt>
                <c:pt idx="1">
                  <c:v>56.246579964827248</c:v>
                </c:pt>
                <c:pt idx="2">
                  <c:v>47.998336253641178</c:v>
                </c:pt>
                <c:pt idx="3">
                  <c:v>49.510520695338641</c:v>
                </c:pt>
                <c:pt idx="4">
                  <c:v>66.580686742014649</c:v>
                </c:pt>
              </c:numCache>
            </c:numRef>
          </c:val>
          <c:extLst>
            <c:ext xmlns:c16="http://schemas.microsoft.com/office/drawing/2014/chart" uri="{C3380CC4-5D6E-409C-BE32-E72D297353CC}">
              <c16:uniqueId val="{00000000-E5EE-444C-AE50-0598C6B581E9}"/>
            </c:ext>
          </c:extLst>
        </c:ser>
        <c:dLbls>
          <c:showLegendKey val="0"/>
          <c:showVal val="0"/>
          <c:showCatName val="0"/>
          <c:showSerName val="0"/>
          <c:showPercent val="0"/>
          <c:showBubbleSize val="0"/>
        </c:dLbls>
        <c:gapWidth val="182"/>
        <c:axId val="1052641455"/>
        <c:axId val="1052648175"/>
      </c:barChart>
      <c:catAx>
        <c:axId val="10526414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648175"/>
        <c:crosses val="autoZero"/>
        <c:auto val="1"/>
        <c:lblAlgn val="ctr"/>
        <c:lblOffset val="100"/>
        <c:noMultiLvlLbl val="0"/>
      </c:catAx>
      <c:valAx>
        <c:axId val="1052648175"/>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6414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 calculations'!$A$12</c:f>
              <c:strCache>
                <c:ptCount val="1"/>
                <c:pt idx="0">
                  <c:v>Debt-to-Equity</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'Ratio calculations'!$B$1:$F$1</c:f>
              <c:strCache>
                <c:ptCount val="5"/>
                <c:pt idx="0">
                  <c:v>2020</c:v>
                </c:pt>
                <c:pt idx="1">
                  <c:v>2021</c:v>
                </c:pt>
                <c:pt idx="2">
                  <c:v>2022</c:v>
                </c:pt>
                <c:pt idx="3">
                  <c:v>2023</c:v>
                </c:pt>
                <c:pt idx="4">
                  <c:v>2024</c:v>
                </c:pt>
              </c:strCache>
            </c:strRef>
          </c:cat>
          <c:val>
            <c:numRef>
              <c:f>'Ratio calculations'!$B$12:$F$12</c:f>
              <c:numCache>
                <c:formatCode>0.000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0-2F10-44DC-B3BE-D260BC886E51}"/>
            </c:ext>
          </c:extLst>
        </c:ser>
        <c:dLbls>
          <c:showLegendKey val="0"/>
          <c:showVal val="0"/>
          <c:showCatName val="0"/>
          <c:showSerName val="0"/>
          <c:showPercent val="0"/>
          <c:showBubbleSize val="0"/>
        </c:dLbls>
        <c:gapWidth val="150"/>
        <c:shape val="box"/>
        <c:axId val="1052645775"/>
        <c:axId val="1052650575"/>
        <c:axId val="0"/>
      </c:bar3DChart>
      <c:catAx>
        <c:axId val="10526457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650575"/>
        <c:crosses val="autoZero"/>
        <c:auto val="1"/>
        <c:lblAlgn val="ctr"/>
        <c:lblOffset val="100"/>
        <c:noMultiLvlLbl val="0"/>
      </c:catAx>
      <c:valAx>
        <c:axId val="1052650575"/>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6457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53C2E-5B8E-344F-AFF9-1BA80AE7C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35</Pages>
  <Words>7984</Words>
  <Characters>45511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shubhmodi06@gmail.com</cp:lastModifiedBy>
  <cp:revision>69</cp:revision>
  <dcterms:created xsi:type="dcterms:W3CDTF">2025-12-17T20:17:00Z</dcterms:created>
  <dcterms:modified xsi:type="dcterms:W3CDTF">2025-12-22T10:41:00Z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f9b330d1-9db1-4b4b-b9a4-9b909e86ce47</vt:lpwstr>
  </property>
</Properties>
</file>