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2E0D47">
      <w:pPr>
        <w:jc w:val="center"/>
        <w:rPr>
          <w:b/>
          <w:sz w:val="32"/>
          <w:szCs w:val="32"/>
        </w:rPr>
      </w:pPr>
    </w:p>
    <w:p w:rsidR="002E0D47" w:rsidRPr="00794B3A" w:rsidRDefault="00841911">
      <w:pPr>
        <w:jc w:val="center"/>
      </w:pPr>
      <w:r w:rsidRPr="00794B3A">
        <w:rPr>
          <w:b/>
          <w:sz w:val="32"/>
          <w:szCs w:val="32"/>
        </w:rPr>
        <w:t>ACCOUNTING FUNDAMENTALS</w:t>
      </w:r>
      <w:r w:rsidRPr="00794B3A">
        <w:br w:type="page"/>
      </w:r>
    </w:p>
    <w:sdt>
      <w:sdtPr>
        <w:rPr>
          <w:rFonts w:ascii="Times New Roman" w:eastAsia="Times New Roman" w:hAnsi="Times New Roman" w:cs="Times New Roman"/>
          <w:b/>
          <w:bCs/>
          <w:color w:val="auto"/>
          <w:sz w:val="24"/>
          <w:szCs w:val="24"/>
          <w:lang/>
        </w:rPr>
        <w:id w:val="-1978055087"/>
        <w:docPartObj>
          <w:docPartGallery w:val="Table of Contents"/>
          <w:docPartUnique/>
        </w:docPartObj>
      </w:sdtPr>
      <w:sdtEndPr>
        <w:rPr>
          <w:noProof/>
        </w:rPr>
      </w:sdtEndPr>
      <w:sdtContent>
        <w:p w:rsidR="00E612BE" w:rsidRPr="00794B3A" w:rsidRDefault="00E612BE" w:rsidP="00E612BE">
          <w:pPr>
            <w:pStyle w:val="TOCHeading"/>
            <w:spacing w:line="360" w:lineRule="auto"/>
            <w:jc w:val="center"/>
            <w:rPr>
              <w:rFonts w:ascii="Times New Roman" w:hAnsi="Times New Roman" w:cs="Times New Roman"/>
              <w:b/>
              <w:bCs/>
              <w:color w:val="auto"/>
              <w:sz w:val="24"/>
              <w:szCs w:val="24"/>
            </w:rPr>
          </w:pPr>
          <w:r w:rsidRPr="00794B3A">
            <w:rPr>
              <w:rFonts w:ascii="Times New Roman" w:hAnsi="Times New Roman" w:cs="Times New Roman"/>
              <w:b/>
              <w:bCs/>
              <w:color w:val="auto"/>
              <w:sz w:val="24"/>
              <w:szCs w:val="24"/>
            </w:rPr>
            <w:t>Table of Contents</w:t>
          </w:r>
        </w:p>
        <w:p w:rsidR="005630F2" w:rsidRDefault="00B16F08">
          <w:pPr>
            <w:pStyle w:val="TOC1"/>
            <w:tabs>
              <w:tab w:val="right" w:leader="dot" w:pos="9350"/>
            </w:tabs>
            <w:rPr>
              <w:rFonts w:asciiTheme="minorHAnsi" w:eastAsiaTheme="minorEastAsia" w:hAnsiTheme="minorHAnsi" w:cstheme="minorBidi"/>
              <w:noProof/>
              <w:sz w:val="22"/>
              <w:szCs w:val="22"/>
              <w:lang w:val="en-US"/>
            </w:rPr>
          </w:pPr>
          <w:r w:rsidRPr="00B16F08">
            <w:fldChar w:fldCharType="begin"/>
          </w:r>
          <w:r w:rsidR="00E612BE" w:rsidRPr="00794B3A">
            <w:instrText xml:space="preserve"> TOC \o "1-3" \h \z \u </w:instrText>
          </w:r>
          <w:r w:rsidRPr="00B16F08">
            <w:fldChar w:fldCharType="separate"/>
          </w:r>
          <w:hyperlink w:anchor="_Toc109731448" w:history="1">
            <w:r w:rsidR="005630F2" w:rsidRPr="00A84870">
              <w:rPr>
                <w:rStyle w:val="Hyperlink"/>
                <w:noProof/>
              </w:rPr>
              <w:t>Introduction</w:t>
            </w:r>
            <w:r w:rsidR="005630F2">
              <w:rPr>
                <w:noProof/>
                <w:webHidden/>
              </w:rPr>
              <w:tab/>
            </w:r>
            <w:r>
              <w:rPr>
                <w:noProof/>
                <w:webHidden/>
              </w:rPr>
              <w:fldChar w:fldCharType="begin"/>
            </w:r>
            <w:r w:rsidR="005630F2">
              <w:rPr>
                <w:noProof/>
                <w:webHidden/>
              </w:rPr>
              <w:instrText xml:space="preserve"> PAGEREF _Toc109731448 \h </w:instrText>
            </w:r>
            <w:r>
              <w:rPr>
                <w:noProof/>
                <w:webHidden/>
              </w:rPr>
            </w:r>
            <w:r>
              <w:rPr>
                <w:noProof/>
                <w:webHidden/>
              </w:rPr>
              <w:fldChar w:fldCharType="separate"/>
            </w:r>
            <w:r w:rsidR="005630F2">
              <w:rPr>
                <w:noProof/>
                <w:webHidden/>
              </w:rPr>
              <w:t>3</w:t>
            </w:r>
            <w:r>
              <w:rPr>
                <w:noProof/>
                <w:webHidden/>
              </w:rPr>
              <w:fldChar w:fldCharType="end"/>
            </w:r>
          </w:hyperlink>
        </w:p>
        <w:p w:rsidR="005630F2" w:rsidRDefault="00B16F08">
          <w:pPr>
            <w:pStyle w:val="TOC1"/>
            <w:tabs>
              <w:tab w:val="right" w:leader="dot" w:pos="9350"/>
            </w:tabs>
            <w:rPr>
              <w:rFonts w:asciiTheme="minorHAnsi" w:eastAsiaTheme="minorEastAsia" w:hAnsiTheme="minorHAnsi" w:cstheme="minorBidi"/>
              <w:noProof/>
              <w:sz w:val="22"/>
              <w:szCs w:val="22"/>
              <w:lang w:val="en-US"/>
            </w:rPr>
          </w:pPr>
          <w:hyperlink w:anchor="_Toc109731449" w:history="1">
            <w:r w:rsidR="005630F2" w:rsidRPr="00A84870">
              <w:rPr>
                <w:rStyle w:val="Hyperlink"/>
                <w:noProof/>
                <w:shd w:val="clear" w:color="auto" w:fill="FFFFFF"/>
                <w:lang w:eastAsia="en-GB"/>
              </w:rPr>
              <w:t>PART 1</w:t>
            </w:r>
            <w:r w:rsidR="005630F2">
              <w:rPr>
                <w:noProof/>
                <w:webHidden/>
              </w:rPr>
              <w:tab/>
            </w:r>
            <w:r>
              <w:rPr>
                <w:noProof/>
                <w:webHidden/>
              </w:rPr>
              <w:fldChar w:fldCharType="begin"/>
            </w:r>
            <w:r w:rsidR="005630F2">
              <w:rPr>
                <w:noProof/>
                <w:webHidden/>
              </w:rPr>
              <w:instrText xml:space="preserve"> PAGEREF _Toc109731449 \h </w:instrText>
            </w:r>
            <w:r>
              <w:rPr>
                <w:noProof/>
                <w:webHidden/>
              </w:rPr>
            </w:r>
            <w:r>
              <w:rPr>
                <w:noProof/>
                <w:webHidden/>
              </w:rPr>
              <w:fldChar w:fldCharType="separate"/>
            </w:r>
            <w:r w:rsidR="005630F2">
              <w:rPr>
                <w:noProof/>
                <w:webHidden/>
              </w:rPr>
              <w:t>3</w:t>
            </w:r>
            <w:r>
              <w:rPr>
                <w:noProof/>
                <w:webHidden/>
              </w:rPr>
              <w:fldChar w:fldCharType="end"/>
            </w:r>
          </w:hyperlink>
        </w:p>
        <w:p w:rsidR="005630F2" w:rsidRDefault="00B16F08">
          <w:pPr>
            <w:pStyle w:val="TOC1"/>
            <w:tabs>
              <w:tab w:val="right" w:leader="dot" w:pos="9350"/>
            </w:tabs>
            <w:rPr>
              <w:rFonts w:asciiTheme="minorHAnsi" w:eastAsiaTheme="minorEastAsia" w:hAnsiTheme="minorHAnsi" w:cstheme="minorBidi"/>
              <w:noProof/>
              <w:sz w:val="22"/>
              <w:szCs w:val="22"/>
              <w:lang w:val="en-US"/>
            </w:rPr>
          </w:pPr>
          <w:hyperlink w:anchor="_Toc109731450" w:history="1">
            <w:r w:rsidR="005630F2" w:rsidRPr="00A84870">
              <w:rPr>
                <w:rStyle w:val="Hyperlink"/>
                <w:noProof/>
                <w:shd w:val="clear" w:color="auto" w:fill="FFFFFF"/>
                <w:lang w:eastAsia="en-GB"/>
              </w:rPr>
              <w:t>1. Financial Statements</w:t>
            </w:r>
            <w:r w:rsidR="005630F2">
              <w:rPr>
                <w:noProof/>
                <w:webHidden/>
              </w:rPr>
              <w:tab/>
            </w:r>
            <w:r>
              <w:rPr>
                <w:noProof/>
                <w:webHidden/>
              </w:rPr>
              <w:fldChar w:fldCharType="begin"/>
            </w:r>
            <w:r w:rsidR="005630F2">
              <w:rPr>
                <w:noProof/>
                <w:webHidden/>
              </w:rPr>
              <w:instrText xml:space="preserve"> PAGEREF _Toc109731450 \h </w:instrText>
            </w:r>
            <w:r>
              <w:rPr>
                <w:noProof/>
                <w:webHidden/>
              </w:rPr>
            </w:r>
            <w:r>
              <w:rPr>
                <w:noProof/>
                <w:webHidden/>
              </w:rPr>
              <w:fldChar w:fldCharType="separate"/>
            </w:r>
            <w:r w:rsidR="005630F2">
              <w:rPr>
                <w:noProof/>
                <w:webHidden/>
              </w:rPr>
              <w:t>3</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1" w:history="1">
            <w:r w:rsidR="005630F2" w:rsidRPr="00A84870">
              <w:rPr>
                <w:rStyle w:val="Hyperlink"/>
                <w:noProof/>
                <w:shd w:val="clear" w:color="auto" w:fill="FFFFFF"/>
                <w:lang w:eastAsia="en-GB"/>
              </w:rPr>
              <w:t>A. Preparation of the income statement</w:t>
            </w:r>
            <w:r w:rsidR="005630F2">
              <w:rPr>
                <w:noProof/>
                <w:webHidden/>
              </w:rPr>
              <w:tab/>
            </w:r>
            <w:r>
              <w:rPr>
                <w:noProof/>
                <w:webHidden/>
              </w:rPr>
              <w:fldChar w:fldCharType="begin"/>
            </w:r>
            <w:r w:rsidR="005630F2">
              <w:rPr>
                <w:noProof/>
                <w:webHidden/>
              </w:rPr>
              <w:instrText xml:space="preserve"> PAGEREF _Toc109731451 \h </w:instrText>
            </w:r>
            <w:r>
              <w:rPr>
                <w:noProof/>
                <w:webHidden/>
              </w:rPr>
            </w:r>
            <w:r>
              <w:rPr>
                <w:noProof/>
                <w:webHidden/>
              </w:rPr>
              <w:fldChar w:fldCharType="separate"/>
            </w:r>
            <w:r w:rsidR="005630F2">
              <w:rPr>
                <w:noProof/>
                <w:webHidden/>
              </w:rPr>
              <w:t>3</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2" w:history="1">
            <w:r w:rsidR="005630F2" w:rsidRPr="00A84870">
              <w:rPr>
                <w:rStyle w:val="Hyperlink"/>
                <w:noProof/>
                <w:shd w:val="clear" w:color="auto" w:fill="FFFFFF"/>
                <w:lang w:eastAsia="en-GB"/>
              </w:rPr>
              <w:t>B. Preparation of balance sheet</w:t>
            </w:r>
            <w:r w:rsidR="005630F2">
              <w:rPr>
                <w:noProof/>
                <w:webHidden/>
              </w:rPr>
              <w:tab/>
            </w:r>
            <w:r>
              <w:rPr>
                <w:noProof/>
                <w:webHidden/>
              </w:rPr>
              <w:fldChar w:fldCharType="begin"/>
            </w:r>
            <w:r w:rsidR="005630F2">
              <w:rPr>
                <w:noProof/>
                <w:webHidden/>
              </w:rPr>
              <w:instrText xml:space="preserve"> PAGEREF _Toc109731452 \h </w:instrText>
            </w:r>
            <w:r>
              <w:rPr>
                <w:noProof/>
                <w:webHidden/>
              </w:rPr>
            </w:r>
            <w:r>
              <w:rPr>
                <w:noProof/>
                <w:webHidden/>
              </w:rPr>
              <w:fldChar w:fldCharType="separate"/>
            </w:r>
            <w:r w:rsidR="005630F2">
              <w:rPr>
                <w:noProof/>
                <w:webHidden/>
              </w:rPr>
              <w:t>5</w:t>
            </w:r>
            <w:r>
              <w:rPr>
                <w:noProof/>
                <w:webHidden/>
              </w:rPr>
              <w:fldChar w:fldCharType="end"/>
            </w:r>
          </w:hyperlink>
        </w:p>
        <w:p w:rsidR="005630F2" w:rsidRDefault="00B16F08">
          <w:pPr>
            <w:pStyle w:val="TOC1"/>
            <w:tabs>
              <w:tab w:val="right" w:leader="dot" w:pos="9350"/>
            </w:tabs>
            <w:rPr>
              <w:rFonts w:asciiTheme="minorHAnsi" w:eastAsiaTheme="minorEastAsia" w:hAnsiTheme="minorHAnsi" w:cstheme="minorBidi"/>
              <w:noProof/>
              <w:sz w:val="22"/>
              <w:szCs w:val="22"/>
              <w:lang w:val="en-US"/>
            </w:rPr>
          </w:pPr>
          <w:hyperlink w:anchor="_Toc109731453" w:history="1">
            <w:r w:rsidR="005630F2" w:rsidRPr="00A84870">
              <w:rPr>
                <w:rStyle w:val="Hyperlink"/>
                <w:noProof/>
              </w:rPr>
              <w:t xml:space="preserve">PART 2: Critical </w:t>
            </w:r>
            <w:r w:rsidR="005630F2" w:rsidRPr="00A84870">
              <w:rPr>
                <w:rStyle w:val="Hyperlink"/>
                <w:noProof/>
              </w:rPr>
              <w:t>discussion on the principles and also their importance in financial accounts</w:t>
            </w:r>
            <w:r w:rsidR="005630F2">
              <w:rPr>
                <w:noProof/>
                <w:webHidden/>
              </w:rPr>
              <w:tab/>
            </w:r>
            <w:r>
              <w:rPr>
                <w:noProof/>
                <w:webHidden/>
              </w:rPr>
              <w:fldChar w:fldCharType="begin"/>
            </w:r>
            <w:r w:rsidR="005630F2">
              <w:rPr>
                <w:noProof/>
                <w:webHidden/>
              </w:rPr>
              <w:instrText xml:space="preserve"> PAGEREF _Toc109731453 \h </w:instrText>
            </w:r>
            <w:r>
              <w:rPr>
                <w:noProof/>
                <w:webHidden/>
              </w:rPr>
            </w:r>
            <w:r>
              <w:rPr>
                <w:noProof/>
                <w:webHidden/>
              </w:rPr>
              <w:fldChar w:fldCharType="separate"/>
            </w:r>
            <w:r w:rsidR="005630F2">
              <w:rPr>
                <w:noProof/>
                <w:webHidden/>
              </w:rPr>
              <w:t>8</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4" w:history="1">
            <w:r w:rsidR="005630F2" w:rsidRPr="00A84870">
              <w:rPr>
                <w:rStyle w:val="Hyperlink"/>
                <w:noProof/>
              </w:rPr>
              <w:t>A. Consistency</w:t>
            </w:r>
            <w:r w:rsidR="005630F2">
              <w:rPr>
                <w:noProof/>
                <w:webHidden/>
              </w:rPr>
              <w:tab/>
            </w:r>
            <w:r>
              <w:rPr>
                <w:noProof/>
                <w:webHidden/>
              </w:rPr>
              <w:fldChar w:fldCharType="begin"/>
            </w:r>
            <w:r w:rsidR="005630F2">
              <w:rPr>
                <w:noProof/>
                <w:webHidden/>
              </w:rPr>
              <w:instrText xml:space="preserve"> PAGEREF _Toc109731454 \h </w:instrText>
            </w:r>
            <w:r>
              <w:rPr>
                <w:noProof/>
                <w:webHidden/>
              </w:rPr>
            </w:r>
            <w:r>
              <w:rPr>
                <w:noProof/>
                <w:webHidden/>
              </w:rPr>
              <w:fldChar w:fldCharType="separate"/>
            </w:r>
            <w:r w:rsidR="005630F2">
              <w:rPr>
                <w:noProof/>
                <w:webHidden/>
              </w:rPr>
              <w:t>8</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5" w:history="1">
            <w:r w:rsidR="005630F2" w:rsidRPr="00A84870">
              <w:rPr>
                <w:rStyle w:val="Hyperlink"/>
                <w:noProof/>
              </w:rPr>
              <w:t>B. Materiality</w:t>
            </w:r>
            <w:r w:rsidR="005630F2">
              <w:rPr>
                <w:noProof/>
                <w:webHidden/>
              </w:rPr>
              <w:tab/>
            </w:r>
            <w:r>
              <w:rPr>
                <w:noProof/>
                <w:webHidden/>
              </w:rPr>
              <w:fldChar w:fldCharType="begin"/>
            </w:r>
            <w:r w:rsidR="005630F2">
              <w:rPr>
                <w:noProof/>
                <w:webHidden/>
              </w:rPr>
              <w:instrText xml:space="preserve"> PAGEREF _Toc109731455 \h </w:instrText>
            </w:r>
            <w:r>
              <w:rPr>
                <w:noProof/>
                <w:webHidden/>
              </w:rPr>
            </w:r>
            <w:r>
              <w:rPr>
                <w:noProof/>
                <w:webHidden/>
              </w:rPr>
              <w:fldChar w:fldCharType="separate"/>
            </w:r>
            <w:r w:rsidR="005630F2">
              <w:rPr>
                <w:noProof/>
                <w:webHidden/>
              </w:rPr>
              <w:t>9</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6" w:history="1">
            <w:r w:rsidR="005630F2" w:rsidRPr="00A84870">
              <w:rPr>
                <w:rStyle w:val="Hyperlink"/>
                <w:noProof/>
              </w:rPr>
              <w:t>C. Monetary unit</w:t>
            </w:r>
            <w:r w:rsidR="005630F2">
              <w:rPr>
                <w:noProof/>
                <w:webHidden/>
              </w:rPr>
              <w:tab/>
            </w:r>
            <w:r>
              <w:rPr>
                <w:noProof/>
                <w:webHidden/>
              </w:rPr>
              <w:fldChar w:fldCharType="begin"/>
            </w:r>
            <w:r w:rsidR="005630F2">
              <w:rPr>
                <w:noProof/>
                <w:webHidden/>
              </w:rPr>
              <w:instrText xml:space="preserve"> PAGEREF _Toc109731456 \h </w:instrText>
            </w:r>
            <w:r>
              <w:rPr>
                <w:noProof/>
                <w:webHidden/>
              </w:rPr>
            </w:r>
            <w:r>
              <w:rPr>
                <w:noProof/>
                <w:webHidden/>
              </w:rPr>
              <w:fldChar w:fldCharType="separate"/>
            </w:r>
            <w:r w:rsidR="005630F2">
              <w:rPr>
                <w:noProof/>
                <w:webHidden/>
              </w:rPr>
              <w:t>10</w:t>
            </w:r>
            <w:r>
              <w:rPr>
                <w:noProof/>
                <w:webHidden/>
              </w:rPr>
              <w:fldChar w:fldCharType="end"/>
            </w:r>
          </w:hyperlink>
        </w:p>
        <w:p w:rsidR="005630F2" w:rsidRDefault="00B16F08">
          <w:pPr>
            <w:pStyle w:val="TOC2"/>
            <w:tabs>
              <w:tab w:val="right" w:leader="dot" w:pos="9350"/>
            </w:tabs>
            <w:rPr>
              <w:rFonts w:asciiTheme="minorHAnsi" w:eastAsiaTheme="minorEastAsia" w:hAnsiTheme="minorHAnsi" w:cstheme="minorBidi"/>
              <w:noProof/>
              <w:sz w:val="22"/>
              <w:szCs w:val="22"/>
              <w:lang w:val="en-US"/>
            </w:rPr>
          </w:pPr>
          <w:hyperlink w:anchor="_Toc109731457" w:history="1">
            <w:r w:rsidR="005630F2" w:rsidRPr="00A84870">
              <w:rPr>
                <w:rStyle w:val="Hyperlink"/>
                <w:noProof/>
              </w:rPr>
              <w:t>D. Going concerns</w:t>
            </w:r>
            <w:r w:rsidR="005630F2">
              <w:rPr>
                <w:noProof/>
                <w:webHidden/>
              </w:rPr>
              <w:tab/>
            </w:r>
            <w:r>
              <w:rPr>
                <w:noProof/>
                <w:webHidden/>
              </w:rPr>
              <w:fldChar w:fldCharType="begin"/>
            </w:r>
            <w:r w:rsidR="005630F2">
              <w:rPr>
                <w:noProof/>
                <w:webHidden/>
              </w:rPr>
              <w:instrText xml:space="preserve"> PAGEREF _Toc109731457 \h </w:instrText>
            </w:r>
            <w:r>
              <w:rPr>
                <w:noProof/>
                <w:webHidden/>
              </w:rPr>
            </w:r>
            <w:r>
              <w:rPr>
                <w:noProof/>
                <w:webHidden/>
              </w:rPr>
              <w:fldChar w:fldCharType="separate"/>
            </w:r>
            <w:r w:rsidR="005630F2">
              <w:rPr>
                <w:noProof/>
                <w:webHidden/>
              </w:rPr>
              <w:t>11</w:t>
            </w:r>
            <w:r>
              <w:rPr>
                <w:noProof/>
                <w:webHidden/>
              </w:rPr>
              <w:fldChar w:fldCharType="end"/>
            </w:r>
          </w:hyperlink>
        </w:p>
        <w:p w:rsidR="005630F2" w:rsidRDefault="00B16F08">
          <w:pPr>
            <w:pStyle w:val="TOC1"/>
            <w:tabs>
              <w:tab w:val="right" w:leader="dot" w:pos="9350"/>
            </w:tabs>
            <w:rPr>
              <w:rFonts w:asciiTheme="minorHAnsi" w:eastAsiaTheme="minorEastAsia" w:hAnsiTheme="minorHAnsi" w:cstheme="minorBidi"/>
              <w:noProof/>
              <w:sz w:val="22"/>
              <w:szCs w:val="22"/>
              <w:lang w:val="en-US"/>
            </w:rPr>
          </w:pPr>
          <w:hyperlink w:anchor="_Toc109731458" w:history="1">
            <w:r w:rsidR="005630F2" w:rsidRPr="00A84870">
              <w:rPr>
                <w:rStyle w:val="Hyperlink"/>
                <w:noProof/>
              </w:rPr>
              <w:t>Conclusion</w:t>
            </w:r>
            <w:r w:rsidR="005630F2">
              <w:rPr>
                <w:noProof/>
                <w:webHidden/>
              </w:rPr>
              <w:tab/>
            </w:r>
            <w:r>
              <w:rPr>
                <w:noProof/>
                <w:webHidden/>
              </w:rPr>
              <w:fldChar w:fldCharType="begin"/>
            </w:r>
            <w:r w:rsidR="005630F2">
              <w:rPr>
                <w:noProof/>
                <w:webHidden/>
              </w:rPr>
              <w:instrText xml:space="preserve"> PAGEREF _Toc109731458 \h </w:instrText>
            </w:r>
            <w:r>
              <w:rPr>
                <w:noProof/>
                <w:webHidden/>
              </w:rPr>
            </w:r>
            <w:r>
              <w:rPr>
                <w:noProof/>
                <w:webHidden/>
              </w:rPr>
              <w:fldChar w:fldCharType="separate"/>
            </w:r>
            <w:r w:rsidR="005630F2">
              <w:rPr>
                <w:noProof/>
                <w:webHidden/>
              </w:rPr>
              <w:t>12</w:t>
            </w:r>
            <w:r>
              <w:rPr>
                <w:noProof/>
                <w:webHidden/>
              </w:rPr>
              <w:fldChar w:fldCharType="end"/>
            </w:r>
          </w:hyperlink>
        </w:p>
        <w:p w:rsidR="005630F2" w:rsidRDefault="00B16F08">
          <w:pPr>
            <w:pStyle w:val="TOC1"/>
            <w:tabs>
              <w:tab w:val="right" w:leader="dot" w:pos="9350"/>
            </w:tabs>
            <w:rPr>
              <w:rFonts w:asciiTheme="minorHAnsi" w:eastAsiaTheme="minorEastAsia" w:hAnsiTheme="minorHAnsi" w:cstheme="minorBidi"/>
              <w:noProof/>
              <w:sz w:val="22"/>
              <w:szCs w:val="22"/>
              <w:lang w:val="en-US"/>
            </w:rPr>
          </w:pPr>
          <w:hyperlink w:anchor="_Toc109731459" w:history="1">
            <w:r w:rsidR="005630F2" w:rsidRPr="00A84870">
              <w:rPr>
                <w:rStyle w:val="Hyperlink"/>
                <w:noProof/>
              </w:rPr>
              <w:t>Reference list</w:t>
            </w:r>
            <w:r w:rsidR="005630F2">
              <w:rPr>
                <w:noProof/>
                <w:webHidden/>
              </w:rPr>
              <w:tab/>
            </w:r>
            <w:r>
              <w:rPr>
                <w:noProof/>
                <w:webHidden/>
              </w:rPr>
              <w:fldChar w:fldCharType="begin"/>
            </w:r>
            <w:r w:rsidR="005630F2">
              <w:rPr>
                <w:noProof/>
                <w:webHidden/>
              </w:rPr>
              <w:instrText xml:space="preserve"> PAGEREF _Toc109731459 \h </w:instrText>
            </w:r>
            <w:r>
              <w:rPr>
                <w:noProof/>
                <w:webHidden/>
              </w:rPr>
            </w:r>
            <w:r>
              <w:rPr>
                <w:noProof/>
                <w:webHidden/>
              </w:rPr>
              <w:fldChar w:fldCharType="separate"/>
            </w:r>
            <w:r w:rsidR="005630F2">
              <w:rPr>
                <w:noProof/>
                <w:webHidden/>
              </w:rPr>
              <w:t>14</w:t>
            </w:r>
            <w:r>
              <w:rPr>
                <w:noProof/>
                <w:webHidden/>
              </w:rPr>
              <w:fldChar w:fldCharType="end"/>
            </w:r>
          </w:hyperlink>
        </w:p>
        <w:p w:rsidR="00E612BE" w:rsidRPr="00794B3A" w:rsidRDefault="00B16F08" w:rsidP="00E612BE">
          <w:pPr>
            <w:jc w:val="center"/>
          </w:pPr>
          <w:r w:rsidRPr="00794B3A">
            <w:rPr>
              <w:b/>
              <w:bCs/>
              <w:noProof/>
            </w:rPr>
            <w:fldChar w:fldCharType="end"/>
          </w:r>
        </w:p>
      </w:sdtContent>
    </w:sdt>
    <w:p w:rsidR="00422539" w:rsidRPr="00794B3A" w:rsidRDefault="00422539">
      <w:pPr>
        <w:rPr>
          <w:b/>
        </w:rPr>
      </w:pPr>
      <w:r w:rsidRPr="00794B3A">
        <w:br w:type="page"/>
      </w:r>
    </w:p>
    <w:p w:rsidR="002E0D47" w:rsidRPr="00794B3A" w:rsidRDefault="00841911" w:rsidP="00442CFF">
      <w:pPr>
        <w:pStyle w:val="Heading1"/>
      </w:pPr>
      <w:bookmarkStart w:id="0" w:name="_Toc109731448"/>
      <w:r w:rsidRPr="00794B3A">
        <w:lastRenderedPageBreak/>
        <w:t>Introduction</w:t>
      </w:r>
      <w:bookmarkEnd w:id="0"/>
    </w:p>
    <w:p w:rsidR="002E0D47" w:rsidRPr="00794B3A" w:rsidRDefault="00841911">
      <w:r w:rsidRPr="00794B3A">
        <w:t xml:space="preserve">The fundamentals of accounting </w:t>
      </w:r>
      <w:r w:rsidR="00422539" w:rsidRPr="00794B3A">
        <w:t>are</w:t>
      </w:r>
      <w:r w:rsidRPr="00794B3A">
        <w:t xml:space="preserve"> assisting the business owners to understand the financial situation by transmitting the essential financial data. Along with that, it has been assisting to translate the accounting fundamentals into a completely tangible </w:t>
      </w:r>
      <w:r w:rsidRPr="00794B3A">
        <w:t>report. The main scope of accounting is to make it necessary for business owners and also for beginners to be concerned about the accounting meaning. This report mainly aims the analyze financial accounting principles such as materiality, monetary, consist</w:t>
      </w:r>
      <w:r w:rsidRPr="00794B3A">
        <w:t>ency, and going concerned and this report also includes the preparation of financial statements. It gives most major information that assists the organization to know its business growth, makes money, and also maintains its cash flows. Along with that it a</w:t>
      </w:r>
      <w:r w:rsidRPr="00794B3A">
        <w:t xml:space="preserve">lso adds the analysis and then financial data interpretation to make accurate and suitable judgments related to the business's financial position and profitability. </w:t>
      </w:r>
    </w:p>
    <w:p w:rsidR="00422539" w:rsidRPr="00794B3A" w:rsidRDefault="00422539" w:rsidP="00422539">
      <w:pPr>
        <w:pStyle w:val="Heading1"/>
        <w:spacing w:after="240"/>
        <w:rPr>
          <w:shd w:val="clear" w:color="auto" w:fill="FFFFFF"/>
          <w:lang w:eastAsia="en-GB"/>
        </w:rPr>
      </w:pPr>
      <w:bookmarkStart w:id="1" w:name="_Toc109731449"/>
      <w:r w:rsidRPr="00794B3A">
        <w:rPr>
          <w:shd w:val="clear" w:color="auto" w:fill="FFFFFF"/>
          <w:lang w:eastAsia="en-GB"/>
        </w:rPr>
        <w:t>PART 1</w:t>
      </w:r>
      <w:bookmarkEnd w:id="1"/>
    </w:p>
    <w:p w:rsidR="00422539" w:rsidRPr="00794B3A" w:rsidRDefault="00422539" w:rsidP="00422539">
      <w:pPr>
        <w:pStyle w:val="Heading1"/>
        <w:spacing w:after="240"/>
        <w:rPr>
          <w:lang w:eastAsia="en-GB"/>
        </w:rPr>
      </w:pPr>
      <w:bookmarkStart w:id="2" w:name="_Toc109731450"/>
      <w:r w:rsidRPr="00794B3A">
        <w:rPr>
          <w:shd w:val="clear" w:color="auto" w:fill="FFFFFF"/>
          <w:lang w:eastAsia="en-GB"/>
        </w:rPr>
        <w:t>1. Financial Statements</w:t>
      </w:r>
      <w:bookmarkEnd w:id="2"/>
      <w:r w:rsidRPr="00794B3A">
        <w:rPr>
          <w:shd w:val="clear" w:color="auto" w:fill="FFFFFF"/>
          <w:lang w:eastAsia="en-GB"/>
        </w:rPr>
        <w:t> </w:t>
      </w:r>
    </w:p>
    <w:p w:rsidR="00422539" w:rsidRPr="00794B3A" w:rsidRDefault="00422539" w:rsidP="00422539">
      <w:pPr>
        <w:pStyle w:val="Heading2"/>
        <w:spacing w:after="240"/>
        <w:rPr>
          <w:lang w:eastAsia="en-GB"/>
        </w:rPr>
      </w:pPr>
      <w:bookmarkStart w:id="3" w:name="_Toc109731451"/>
      <w:r w:rsidRPr="00794B3A">
        <w:rPr>
          <w:shd w:val="clear" w:color="auto" w:fill="FFFFFF"/>
          <w:lang w:eastAsia="en-GB"/>
        </w:rPr>
        <w:t>A. Preparation of the income statement</w:t>
      </w:r>
      <w:bookmarkEnd w:id="3"/>
    </w:p>
    <w:tbl>
      <w:tblPr>
        <w:tblW w:w="5000" w:type="pct"/>
        <w:tblLook w:val="04A0"/>
      </w:tblPr>
      <w:tblGrid>
        <w:gridCol w:w="4338"/>
        <w:gridCol w:w="2771"/>
        <w:gridCol w:w="2467"/>
      </w:tblGrid>
      <w:tr w:rsidR="00794B3A" w:rsidRPr="00794B3A" w:rsidTr="00545B5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In the books of Angela runs</w:t>
            </w:r>
          </w:p>
        </w:tc>
      </w:tr>
      <w:tr w:rsidR="00794B3A" w:rsidRPr="00794B3A" w:rsidTr="00545B5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Income Statement </w:t>
            </w:r>
          </w:p>
        </w:tc>
      </w:tr>
      <w:tr w:rsidR="00794B3A" w:rsidRPr="00794B3A" w:rsidTr="00545B5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For the year ended 31st December 2021</w:t>
            </w:r>
          </w:p>
        </w:tc>
      </w:tr>
      <w:tr w:rsidR="00794B3A" w:rsidRPr="00794B3A" w:rsidTr="00545B5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Particulars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Amount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Amount </w:t>
            </w:r>
          </w:p>
        </w:tc>
      </w:tr>
      <w:tr w:rsidR="00794B3A" w:rsidRPr="00794B3A" w:rsidTr="00545B51">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Sales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310,423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COGS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Opening stock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30,222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lastRenderedPageBreak/>
              <w:t xml:space="preserve">Add: Purchase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214,165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Closing stock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25,164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lang w:eastAsia="en-GB"/>
              </w:rPr>
            </w:pPr>
            <w:r w:rsidRPr="00794B3A">
              <w:rPr>
                <w:lang w:eastAsia="en-GB"/>
              </w:rPr>
              <w:t xml:space="preserve">Net COGS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219,223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Gross profit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91,200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Operating expenses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Sundry expenses</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2,250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Rental and insurance costs</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19,200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Administration expenses</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2,772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Salaries and wages</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35,804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Bad debt</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980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Depreciation on -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Delivery van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10,674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Shop fittings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1,220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Total operating expenses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72,900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EBIT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18,300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Tax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   </w:t>
            </w:r>
          </w:p>
        </w:tc>
      </w:tr>
      <w:tr w:rsidR="00794B3A" w:rsidRPr="00794B3A" w:rsidTr="00545B51">
        <w:trPr>
          <w:trHeight w:val="315"/>
        </w:trPr>
        <w:tc>
          <w:tcPr>
            <w:tcW w:w="2265"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b/>
                <w:bCs/>
                <w:i/>
                <w:iCs/>
                <w:lang w:eastAsia="en-GB"/>
              </w:rPr>
            </w:pPr>
            <w:r w:rsidRPr="00794B3A">
              <w:rPr>
                <w:b/>
                <w:bCs/>
                <w:i/>
                <w:iCs/>
                <w:lang w:eastAsia="en-GB"/>
              </w:rPr>
              <w:t xml:space="preserve">Net income </w:t>
            </w:r>
          </w:p>
        </w:tc>
        <w:tc>
          <w:tcPr>
            <w:tcW w:w="1447"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1289"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18,300 </w:t>
            </w:r>
          </w:p>
        </w:tc>
      </w:tr>
    </w:tbl>
    <w:p w:rsidR="00422539" w:rsidRPr="00794B3A" w:rsidRDefault="00422539" w:rsidP="00422539">
      <w:pPr>
        <w:spacing w:after="240"/>
        <w:jc w:val="center"/>
        <w:rPr>
          <w:b/>
          <w:bCs/>
          <w:lang w:eastAsia="en-GB"/>
        </w:rPr>
      </w:pPr>
      <w:r w:rsidRPr="00794B3A">
        <w:rPr>
          <w:b/>
          <w:bCs/>
          <w:lang w:eastAsia="en-GB"/>
        </w:rPr>
        <w:t>Table 1: Income statement</w:t>
      </w:r>
    </w:p>
    <w:p w:rsidR="00422539" w:rsidRPr="00794B3A" w:rsidRDefault="00422539" w:rsidP="00422539">
      <w:pPr>
        <w:spacing w:after="240"/>
        <w:jc w:val="center"/>
        <w:rPr>
          <w:lang w:eastAsia="en-GB"/>
        </w:rPr>
      </w:pPr>
      <w:r w:rsidRPr="00794B3A">
        <w:rPr>
          <w:lang w:eastAsia="en-GB"/>
        </w:rPr>
        <w:t>(Source: Self-made)</w:t>
      </w:r>
    </w:p>
    <w:p w:rsidR="00422539" w:rsidRPr="00794B3A" w:rsidRDefault="00422539" w:rsidP="00422539">
      <w:pPr>
        <w:spacing w:after="240"/>
        <w:rPr>
          <w:lang w:eastAsia="en-GB"/>
        </w:rPr>
      </w:pPr>
      <w:r w:rsidRPr="00794B3A">
        <w:rPr>
          <w:b/>
          <w:bCs/>
          <w:lang w:eastAsia="en-GB"/>
        </w:rPr>
        <w:t>Discussion</w:t>
      </w:r>
    </w:p>
    <w:p w:rsidR="00422539" w:rsidRPr="00794B3A" w:rsidRDefault="00422539" w:rsidP="00422539">
      <w:pPr>
        <w:spacing w:before="200" w:after="240"/>
        <w:rPr>
          <w:lang w:val="en-US" w:eastAsia="en-GB"/>
        </w:rPr>
      </w:pPr>
      <w:r w:rsidRPr="00794B3A">
        <w:rPr>
          <w:lang w:eastAsia="en-GB"/>
        </w:rPr>
        <w:lastRenderedPageBreak/>
        <w:t>The above table possesses an estimation of its income statement of Angela that shows the financial health of its business in 2021. The main importance of income statements is it depicts the business performance of the company by reflecting the position of GP, BP, direct, and indirect income and expenditures of the business (</w:t>
      </w:r>
      <w:r w:rsidRPr="00794B3A">
        <w:rPr>
          <w:lang w:val="en-US" w:eastAsia="en-GB"/>
        </w:rPr>
        <w:t>Jurakulovna, 2021, p. 89</w:t>
      </w:r>
      <w:r w:rsidRPr="00794B3A">
        <w:rPr>
          <w:lang w:eastAsia="en-GB"/>
        </w:rPr>
        <w:t xml:space="preserve">). Therefore, the above table shows a positive net income i.e., £18,300 for Angela due to having higher revenue in comparison to the cost and expenses of a business. Hence, it is a positive indication for the company that the financial health of a business is quite impressive. This will attract a large number of investors in business for investing their money for achieving a higher return on their investments.  </w:t>
      </w:r>
    </w:p>
    <w:p w:rsidR="00422539" w:rsidRPr="00794B3A" w:rsidRDefault="00422539" w:rsidP="00422539">
      <w:pPr>
        <w:pStyle w:val="Heading2"/>
        <w:spacing w:after="240"/>
        <w:rPr>
          <w:lang w:eastAsia="en-GB"/>
        </w:rPr>
      </w:pPr>
      <w:bookmarkStart w:id="4" w:name="_Toc109731452"/>
      <w:r w:rsidRPr="00794B3A">
        <w:rPr>
          <w:shd w:val="clear" w:color="auto" w:fill="FFFFFF"/>
          <w:lang w:eastAsia="en-GB"/>
        </w:rPr>
        <w:t>B. Preparation of balance sheet</w:t>
      </w:r>
      <w:bookmarkEnd w:id="4"/>
      <w:r w:rsidRPr="00794B3A">
        <w:rPr>
          <w:shd w:val="clear" w:color="auto" w:fill="FFFFFF"/>
          <w:lang w:eastAsia="en-GB"/>
        </w:rPr>
        <w:t> </w:t>
      </w:r>
    </w:p>
    <w:tbl>
      <w:tblPr>
        <w:tblW w:w="5000" w:type="pct"/>
        <w:tblLook w:val="04A0"/>
      </w:tblPr>
      <w:tblGrid>
        <w:gridCol w:w="3802"/>
        <w:gridCol w:w="2108"/>
        <w:gridCol w:w="1864"/>
        <w:gridCol w:w="1802"/>
      </w:tblGrid>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In the books of Angela runs</w:t>
            </w:r>
          </w:p>
        </w:tc>
      </w:tr>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Statement of Financial Position </w:t>
            </w:r>
          </w:p>
        </w:tc>
      </w:tr>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For the year ended 31st December 2021</w:t>
            </w:r>
          </w:p>
        </w:tc>
      </w:tr>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Particulars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Details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Amount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Amount </w:t>
            </w:r>
          </w:p>
        </w:tc>
      </w:tr>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Fixed 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Delivery van at a cost</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35,580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Depreciation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10,674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lang w:eastAsia="en-GB"/>
              </w:rPr>
            </w:pPr>
            <w:r w:rsidRPr="00794B3A">
              <w:rPr>
                <w:lang w:eastAsia="en-GB"/>
              </w:rPr>
              <w:t xml:space="preserve">Net delivery van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24,906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Shop fittings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12,200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lastRenderedPageBreak/>
              <w:t xml:space="preserve">Less: Depreciation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1,220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lang w:eastAsia="en-GB"/>
              </w:rPr>
            </w:pPr>
            <w:r w:rsidRPr="00794B3A">
              <w:rPr>
                <w:lang w:eastAsia="en-GB"/>
              </w:rPr>
              <w:t xml:space="preserve">Net shop fittings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10,980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Total fixed 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35,886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Current 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Trade Debtors</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6,860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Less: Bad debt</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980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lang w:eastAsia="en-GB"/>
              </w:rPr>
            </w:pPr>
            <w:r w:rsidRPr="00794B3A">
              <w:rPr>
                <w:lang w:eastAsia="en-GB"/>
              </w:rPr>
              <w:t xml:space="preserve">Net debtors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5,880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Cash at bank</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82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Closing stock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25,164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b/>
                <w:bCs/>
                <w:i/>
                <w:iCs/>
                <w:lang w:eastAsia="en-GB"/>
              </w:rPr>
            </w:pPr>
            <w:r w:rsidRPr="00794B3A">
              <w:rPr>
                <w:b/>
                <w:bCs/>
                <w:i/>
                <w:iCs/>
                <w:lang w:eastAsia="en-GB"/>
              </w:rPr>
              <w:t xml:space="preserve">Total current 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31,126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b/>
                <w:bCs/>
                <w:lang w:eastAsia="en-GB"/>
              </w:rPr>
            </w:pPr>
            <w:r w:rsidRPr="00794B3A">
              <w:rPr>
                <w:b/>
                <w:bCs/>
                <w:lang w:eastAsia="en-GB"/>
              </w:rPr>
              <w:t xml:space="preserve">Total assets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 £            67,012 </w:t>
            </w:r>
          </w:p>
        </w:tc>
      </w:tr>
      <w:tr w:rsidR="00794B3A" w:rsidRPr="00794B3A" w:rsidTr="00545B51">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Equity and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Non-current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Current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Accumulated depreciation on the van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12,520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Accumulated depreciation on Shop</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7,320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Creditor for VAT</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7,729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Trade creditors</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34,420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lastRenderedPageBreak/>
              <w:t xml:space="preserve">Total current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61,989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Total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 £            61,989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rPr>
                <w:b/>
                <w:bCs/>
                <w:lang w:eastAsia="en-GB"/>
              </w:rPr>
            </w:pPr>
            <w:r w:rsidRPr="00794B3A">
              <w:rPr>
                <w:b/>
                <w:bCs/>
                <w:lang w:eastAsia="en-GB"/>
              </w:rPr>
              <w:t xml:space="preserve">Equity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Capital</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4,993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Less: Drawings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18,270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Net income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xml:space="preserve"> £             18,300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lang w:eastAsia="en-GB"/>
              </w:rPr>
            </w:pPr>
            <w:r w:rsidRPr="00794B3A">
              <w:rPr>
                <w:lang w:eastAsia="en-GB"/>
              </w:rPr>
              <w:t>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Total equity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i/>
                <w:iCs/>
                <w:lang w:eastAsia="en-GB"/>
              </w:rPr>
            </w:pPr>
            <w:r w:rsidRPr="00794B3A">
              <w:rPr>
                <w:b/>
                <w:bCs/>
                <w:i/>
                <w:iCs/>
                <w:lang w:eastAsia="en-GB"/>
              </w:rPr>
              <w:t xml:space="preserve"> £             5,023 </w:t>
            </w:r>
          </w:p>
        </w:tc>
      </w:tr>
      <w:tr w:rsidR="00794B3A" w:rsidRPr="00794B3A" w:rsidTr="00545B51">
        <w:trPr>
          <w:trHeight w:val="315"/>
        </w:trPr>
        <w:tc>
          <w:tcPr>
            <w:tcW w:w="1958" w:type="pct"/>
            <w:tcBorders>
              <w:top w:val="nil"/>
              <w:left w:val="single" w:sz="4" w:space="0" w:color="auto"/>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right"/>
              <w:rPr>
                <w:b/>
                <w:bCs/>
                <w:lang w:eastAsia="en-GB"/>
              </w:rPr>
            </w:pPr>
            <w:r w:rsidRPr="00794B3A">
              <w:rPr>
                <w:b/>
                <w:bCs/>
                <w:lang w:eastAsia="en-GB"/>
              </w:rPr>
              <w:t xml:space="preserve">Total equity and Liabilities </w:t>
            </w:r>
          </w:p>
        </w:tc>
        <w:tc>
          <w:tcPr>
            <w:tcW w:w="111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82"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w:t>
            </w:r>
          </w:p>
        </w:tc>
        <w:tc>
          <w:tcPr>
            <w:tcW w:w="950" w:type="pct"/>
            <w:tcBorders>
              <w:top w:val="nil"/>
              <w:left w:val="nil"/>
              <w:bottom w:val="single" w:sz="4" w:space="0" w:color="auto"/>
              <w:right w:val="single" w:sz="4" w:space="0" w:color="auto"/>
            </w:tcBorders>
            <w:shd w:val="clear" w:color="auto" w:fill="auto"/>
            <w:noWrap/>
            <w:vAlign w:val="center"/>
            <w:hideMark/>
          </w:tcPr>
          <w:p w:rsidR="00422539" w:rsidRPr="00794B3A" w:rsidRDefault="00422539" w:rsidP="00545B51">
            <w:pPr>
              <w:spacing w:after="240"/>
              <w:jc w:val="center"/>
              <w:rPr>
                <w:b/>
                <w:bCs/>
                <w:lang w:eastAsia="en-GB"/>
              </w:rPr>
            </w:pPr>
            <w:r w:rsidRPr="00794B3A">
              <w:rPr>
                <w:b/>
                <w:bCs/>
                <w:lang w:eastAsia="en-GB"/>
              </w:rPr>
              <w:t xml:space="preserve"> £            67,012 </w:t>
            </w:r>
          </w:p>
        </w:tc>
      </w:tr>
    </w:tbl>
    <w:p w:rsidR="00422539" w:rsidRPr="00794B3A" w:rsidRDefault="00422539" w:rsidP="00422539">
      <w:pPr>
        <w:spacing w:after="240"/>
        <w:jc w:val="center"/>
        <w:rPr>
          <w:b/>
          <w:bCs/>
          <w:lang w:eastAsia="en-GB"/>
        </w:rPr>
      </w:pPr>
      <w:r w:rsidRPr="00794B3A">
        <w:rPr>
          <w:b/>
          <w:bCs/>
          <w:lang w:eastAsia="en-GB"/>
        </w:rPr>
        <w:t xml:space="preserve">Table 2: Balance sheet </w:t>
      </w:r>
    </w:p>
    <w:p w:rsidR="00422539" w:rsidRPr="00794B3A" w:rsidRDefault="00422539" w:rsidP="00422539">
      <w:pPr>
        <w:spacing w:after="240"/>
        <w:jc w:val="center"/>
        <w:rPr>
          <w:lang w:eastAsia="en-GB"/>
        </w:rPr>
      </w:pPr>
      <w:r w:rsidRPr="00794B3A">
        <w:rPr>
          <w:lang w:eastAsia="en-GB"/>
        </w:rPr>
        <w:t>(Source: Self-made)</w:t>
      </w:r>
    </w:p>
    <w:p w:rsidR="00422539" w:rsidRPr="00794B3A" w:rsidRDefault="00422539" w:rsidP="00422539">
      <w:pPr>
        <w:spacing w:after="240"/>
        <w:rPr>
          <w:lang w:eastAsia="en-GB"/>
        </w:rPr>
      </w:pPr>
      <w:r w:rsidRPr="00794B3A">
        <w:rPr>
          <w:b/>
          <w:bCs/>
          <w:lang w:eastAsia="en-GB"/>
        </w:rPr>
        <w:t>Discussion</w:t>
      </w:r>
    </w:p>
    <w:p w:rsidR="00422539" w:rsidRPr="00794B3A" w:rsidRDefault="00422539" w:rsidP="00422539">
      <w:pPr>
        <w:spacing w:after="240"/>
      </w:pPr>
      <w:r w:rsidRPr="00794B3A">
        <w:t>The balance sheet is also known as the statement of the financial position of a business, which depicts the combination of assets and liabilities for Angela in 2021 (</w:t>
      </w:r>
      <w:r w:rsidRPr="00794B3A">
        <w:rPr>
          <w:lang w:val="en-US"/>
        </w:rPr>
        <w:t xml:space="preserve">Easton </w:t>
      </w:r>
      <w:r w:rsidRPr="00794B3A">
        <w:rPr>
          <w:i/>
          <w:iCs/>
          <w:lang w:val="en-US"/>
        </w:rPr>
        <w:t>et al.</w:t>
      </w:r>
      <w:r w:rsidRPr="00794B3A">
        <w:rPr>
          <w:lang w:val="en-US"/>
        </w:rPr>
        <w:t xml:space="preserve"> 2018, p. 15</w:t>
      </w:r>
      <w:r w:rsidRPr="00794B3A">
        <w:t xml:space="preserve">). The main importance of the balance sheet is it depicts whether the company possesses a balance in </w:t>
      </w:r>
      <w:r w:rsidR="008068EB" w:rsidRPr="00794B3A">
        <w:t>its</w:t>
      </w:r>
      <w:r w:rsidRPr="00794B3A">
        <w:t xml:space="preserve"> assets and liabilities or not. This is because the accounting equation concept has stated that the assets and liabilities of the firm must be the same for making a balance in business. In addition, the balance sheet is also showing the level of debt and equity capital in the business (</w:t>
      </w:r>
      <w:r w:rsidRPr="00794B3A">
        <w:rPr>
          <w:lang w:val="en-US"/>
        </w:rPr>
        <w:t xml:space="preserve">Thuy </w:t>
      </w:r>
      <w:r w:rsidRPr="00794B3A">
        <w:rPr>
          <w:i/>
          <w:iCs/>
          <w:lang w:val="en-US"/>
        </w:rPr>
        <w:t>et al.</w:t>
      </w:r>
      <w:r w:rsidRPr="00794B3A">
        <w:rPr>
          <w:lang w:val="en-US"/>
        </w:rPr>
        <w:t xml:space="preserve"> 2021, p. 10</w:t>
      </w:r>
      <w:r w:rsidRPr="00794B3A">
        <w:t xml:space="preserve">). Lastly, based on the above balance sheet, it has been found that optimal capital structure is not associated with the business due to having a large debt position in comparison to equity capital.  </w:t>
      </w:r>
    </w:p>
    <w:p w:rsidR="002E0D47" w:rsidRPr="00794B3A" w:rsidRDefault="00422539" w:rsidP="00A83C20">
      <w:pPr>
        <w:pStyle w:val="Heading1"/>
      </w:pPr>
      <w:bookmarkStart w:id="5" w:name="_womkacsej34f" w:colFirst="0" w:colLast="0"/>
      <w:bookmarkStart w:id="6" w:name="_Toc109731453"/>
      <w:bookmarkEnd w:id="5"/>
      <w:r w:rsidRPr="00794B3A">
        <w:lastRenderedPageBreak/>
        <w:t xml:space="preserve">PART 2: </w:t>
      </w:r>
      <w:r w:rsidR="00A83C20" w:rsidRPr="00794B3A">
        <w:t>Critical discussion on the principles and also their importance in financial accounts</w:t>
      </w:r>
      <w:bookmarkEnd w:id="6"/>
    </w:p>
    <w:p w:rsidR="002E0D47" w:rsidRPr="00794B3A" w:rsidRDefault="006E0A5E" w:rsidP="00A83C20">
      <w:pPr>
        <w:pStyle w:val="Heading2"/>
      </w:pPr>
      <w:bookmarkStart w:id="7" w:name="_Toc109731454"/>
      <w:r>
        <w:t xml:space="preserve">A. </w:t>
      </w:r>
      <w:r w:rsidRPr="00794B3A">
        <w:t>Consistency</w:t>
      </w:r>
      <w:bookmarkEnd w:id="7"/>
    </w:p>
    <w:p w:rsidR="002E0D47" w:rsidRPr="00794B3A" w:rsidRDefault="00841911">
      <w:r w:rsidRPr="00794B3A">
        <w:t>The principle of consistency stated the organization that should maintain the same methods of accounting or also principles. Moreover, by the way of accounting periods, the financial statement users or the information are capable to make meaningful data co</w:t>
      </w:r>
      <w:r w:rsidRPr="00794B3A">
        <w:t xml:space="preserve">nclusions. As per the view of (Munjal </w:t>
      </w:r>
      <w:r w:rsidRPr="00794B3A">
        <w:rPr>
          <w:i/>
        </w:rPr>
        <w:t xml:space="preserve">et al. </w:t>
      </w:r>
      <w:r w:rsidRPr="00794B3A">
        <w:t xml:space="preserve">2021, p.15), The consistency principle is also used for measuring the trends in the business which is spread all over the many accounting periods. Therefore, if the organization keeps on altering the methods of </w:t>
      </w:r>
      <w:r w:rsidRPr="00794B3A">
        <w:t>accounting, it will generate confusion, and also the financial statement will not be comparable in all of the accounting periods.</w:t>
      </w:r>
    </w:p>
    <w:p w:rsidR="002E0D47" w:rsidRPr="00794B3A" w:rsidRDefault="00841911">
      <w:r w:rsidRPr="00794B3A">
        <w:t xml:space="preserve">The consistency principles have been used for measuring the organization’s trends and also enlarging in all </w:t>
      </w:r>
      <w:r w:rsidR="0081092C" w:rsidRPr="00794B3A">
        <w:t>o</w:t>
      </w:r>
      <w:r w:rsidRPr="00794B3A">
        <w:t>ver the many acco</w:t>
      </w:r>
      <w:r w:rsidRPr="00794B3A">
        <w:t>unting periods. However, As mentioned by (Jasim and Raewf, 2020, p.50), if the business keeps on altering the accounting methods. The main importance of the consistency principle is that it is major for the business for both auditing and accounting view as</w:t>
      </w:r>
      <w:r w:rsidRPr="00794B3A">
        <w:t xml:space="preserve"> having frequenting for the accounting principles sets. Along with that, it is the procedures that assist the accountant in recording the business transaction in the way of management. </w:t>
      </w:r>
    </w:p>
    <w:p w:rsidR="002E0D47" w:rsidRPr="00794B3A" w:rsidRDefault="00841911">
      <w:r w:rsidRPr="00794B3A">
        <w:t>It is also giving the information to the shareholders and stakeholders</w:t>
      </w:r>
      <w:r w:rsidRPr="00794B3A">
        <w:t xml:space="preserve"> with satisfaction that the business performance can be directed. It can be done by utilizing the tested accounting technology and tried which provides consistent outcomes. As commenced by (Avram </w:t>
      </w:r>
      <w:r w:rsidRPr="00794B3A">
        <w:rPr>
          <w:i/>
        </w:rPr>
        <w:t xml:space="preserve">et al. </w:t>
      </w:r>
      <w:r w:rsidRPr="00794B3A">
        <w:t>2018, p.340), the given information accuracy can be a</w:t>
      </w:r>
      <w:r w:rsidRPr="00794B3A">
        <w:t xml:space="preserve">ssured as there is no alter at the time of following principle consistency. In addition, it enables the management and shareholders in the way of making better decisions about the business. </w:t>
      </w:r>
    </w:p>
    <w:p w:rsidR="002E0D47" w:rsidRPr="00794B3A" w:rsidRDefault="00841911">
      <w:r w:rsidRPr="00794B3A">
        <w:t>The use of the consistency principle in the preparation and showi</w:t>
      </w:r>
      <w:r w:rsidRPr="00794B3A">
        <w:t xml:space="preserve">ng of financial accounts, the company entity follows the </w:t>
      </w:r>
      <w:r w:rsidRPr="00794B3A">
        <w:rPr>
          <w:b/>
          <w:i/>
        </w:rPr>
        <w:t xml:space="preserve">“Straight line method of depreciation” </w:t>
      </w:r>
      <w:r w:rsidRPr="00794B3A">
        <w:t>and also some time law changes, every entity must be followed the method of written down value related to the depreciation respectively. As per the view of (Cio</w:t>
      </w:r>
      <w:r w:rsidRPr="00794B3A">
        <w:t xml:space="preserve">can, 2019, p.15), the entity has given depreciation as per the basis of the </w:t>
      </w:r>
      <w:r w:rsidRPr="00794B3A">
        <w:rPr>
          <w:b/>
          <w:i/>
        </w:rPr>
        <w:t xml:space="preserve">“written down value method” </w:t>
      </w:r>
      <w:r w:rsidRPr="00794B3A">
        <w:t>retrospectively. As per the basis of charge in the depreciation, it affects the profit because of the change in the depreciation method which is disclos</w:t>
      </w:r>
      <w:r w:rsidRPr="00794B3A">
        <w:t xml:space="preserve">ed and also refers to the method of depreciation. Along with that, it has been needed to be changed because of the changing law that is to be disclosed in the financial </w:t>
      </w:r>
      <w:r w:rsidRPr="00794B3A">
        <w:lastRenderedPageBreak/>
        <w:t>statement. Thus, with the effect of that, the users or the management can able to under</w:t>
      </w:r>
      <w:r w:rsidRPr="00794B3A">
        <w:t>stand easily.</w:t>
      </w:r>
    </w:p>
    <w:p w:rsidR="002E0D47" w:rsidRPr="00794B3A" w:rsidRDefault="006E0A5E" w:rsidP="00A83C20">
      <w:pPr>
        <w:pStyle w:val="Heading2"/>
      </w:pPr>
      <w:bookmarkStart w:id="8" w:name="_Toc109731455"/>
      <w:r>
        <w:t xml:space="preserve">B. </w:t>
      </w:r>
      <w:r w:rsidRPr="00794B3A">
        <w:t>Materiality</w:t>
      </w:r>
      <w:bookmarkEnd w:id="8"/>
    </w:p>
    <w:p w:rsidR="002E0D47" w:rsidRPr="00794B3A" w:rsidRDefault="00841911">
      <w:r w:rsidRPr="00794B3A">
        <w:t>Materiality concepts is referring to the accounting that is the concept related to the material products. It should be reported accurately and suitable in the financial statement of the company. As per the information taken fro</w:t>
      </w:r>
      <w:r w:rsidRPr="00794B3A">
        <w:t xml:space="preserve">m (Torelli </w:t>
      </w:r>
      <w:r w:rsidRPr="00794B3A">
        <w:rPr>
          <w:i/>
        </w:rPr>
        <w:t xml:space="preserve">et al. </w:t>
      </w:r>
      <w:r w:rsidRPr="00794B3A">
        <w:t xml:space="preserve">2020, p.401), the material items are thinking about the items which exclusion or inclusion outcomes majorly alters the decision-making for the users of business information. However, it is the concepts that mainly permit the provision of </w:t>
      </w:r>
      <w:r w:rsidRPr="00794B3A">
        <w:t>avoiding other accounting principles. Therefore, doing so does not giving an impact on the business's financing statement. The information has been shown in the financial statement which must be completed in the way of material aspects. Thus, with the effe</w:t>
      </w:r>
      <w:r w:rsidRPr="00794B3A">
        <w:t xml:space="preserve">ct of that, it is capable to show an accurate and suitable image related to the business as per the basis of GAAP. </w:t>
      </w:r>
    </w:p>
    <w:p w:rsidR="002E0D47" w:rsidRPr="00794B3A" w:rsidRDefault="00841911">
      <w:r w:rsidRPr="00794B3A">
        <w:t>It is reporting all translations that are directly related to the material. It should be aimed at related to the reporting of the material t</w:t>
      </w:r>
      <w:r w:rsidRPr="00794B3A">
        <w:t xml:space="preserve">ransaction. They are </w:t>
      </w:r>
      <w:r w:rsidR="00BE7DE3" w:rsidRPr="00794B3A">
        <w:t>those transactions</w:t>
      </w:r>
      <w:r w:rsidRPr="00794B3A">
        <w:t xml:space="preserve"> whether omitted and can be altered in a business’s investors' analysis. As mentioned by (Flores and Garcia-Expósito, pp.5), In accounting, materially mainly refers to the impact of misstatement or omission of informa</w:t>
      </w:r>
      <w:r w:rsidRPr="00794B3A">
        <w:t>tion in the financial statement of the company. It is more probable to the financial statement users which would have changed in its operations. Along with that the information had not happened or been misstated then the product is considered to be materia</w:t>
      </w:r>
      <w:r w:rsidRPr="00794B3A">
        <w:t xml:space="preserve">l. </w:t>
      </w:r>
    </w:p>
    <w:p w:rsidR="002E0D47" w:rsidRPr="00794B3A" w:rsidRDefault="00841911">
      <w:r w:rsidRPr="00794B3A">
        <w:t xml:space="preserve">The material concept is utilized consequently in accounting, mainly in the following examples, </w:t>
      </w:r>
    </w:p>
    <w:p w:rsidR="002E0D47" w:rsidRPr="00794B3A" w:rsidRDefault="00841911">
      <w:r w:rsidRPr="00794B3A">
        <w:rPr>
          <w:b/>
          <w:i/>
        </w:rPr>
        <w:t xml:space="preserve">Accounting standards applications: </w:t>
      </w:r>
      <w:r w:rsidRPr="00794B3A">
        <w:t xml:space="preserve">The company require to be applied the accounting </w:t>
      </w:r>
      <w:r w:rsidR="00BE7DE3" w:rsidRPr="00794B3A">
        <w:t>standard’s</w:t>
      </w:r>
      <w:r w:rsidRPr="00794B3A">
        <w:t xml:space="preserve"> needs. Therefore, if such </w:t>
      </w:r>
      <w:r w:rsidR="00BE7DE3" w:rsidRPr="00794B3A">
        <w:t>in operations</w:t>
      </w:r>
      <w:r w:rsidRPr="00794B3A">
        <w:t xml:space="preserve"> are immaterial to the</w:t>
      </w:r>
      <w:r w:rsidRPr="00794B3A">
        <w:t xml:space="preserve"> financial statement.</w:t>
      </w:r>
    </w:p>
    <w:p w:rsidR="002E0D47" w:rsidRPr="00794B3A" w:rsidRDefault="00841911">
      <w:r w:rsidRPr="00794B3A">
        <w:rPr>
          <w:b/>
          <w:i/>
        </w:rPr>
        <w:t xml:space="preserve">Capitalization limit: </w:t>
      </w:r>
      <w:r w:rsidRPr="00794B3A">
        <w:t xml:space="preserve">The company can be charged the expenditure to expenses that would be capitalized and also deprecated all over time. As opined by (Ferrero-Ferrero </w:t>
      </w:r>
      <w:r w:rsidRPr="00794B3A">
        <w:rPr>
          <w:i/>
        </w:rPr>
        <w:t xml:space="preserve">et al. </w:t>
      </w:r>
      <w:r w:rsidRPr="00794B3A">
        <w:t xml:space="preserve">2021, p.460), It happens because the expenses are so small </w:t>
      </w:r>
      <w:r w:rsidRPr="00794B3A">
        <w:t>to be worth tracking the efforts. Along with that, the capitalization would have an impact immaterial on the financial statement.</w:t>
      </w:r>
    </w:p>
    <w:p w:rsidR="002E0D47" w:rsidRPr="00794B3A" w:rsidRDefault="00841911">
      <w:r w:rsidRPr="00794B3A">
        <w:rPr>
          <w:b/>
          <w:i/>
        </w:rPr>
        <w:t xml:space="preserve">Minor transactions: </w:t>
      </w:r>
      <w:r w:rsidRPr="00794B3A">
        <w:t>The directors who have closed the books for the periods of accounting. It can be avoided for minor journal</w:t>
      </w:r>
      <w:r w:rsidRPr="00794B3A">
        <w:t xml:space="preserve"> entries.</w:t>
      </w:r>
    </w:p>
    <w:p w:rsidR="002E0D47" w:rsidRPr="00794B3A" w:rsidRDefault="00841911">
      <w:r w:rsidRPr="00794B3A">
        <w:t xml:space="preserve">Thus, the materially permits the organization to avoid the chosen accounting standards, inside also improving the accounting operatives' efficiency. For example, the company experienced accounting errors that will need retrospective application. </w:t>
      </w:r>
      <w:r w:rsidRPr="00794B3A">
        <w:t xml:space="preserve">However, the amount is also so tiny </w:t>
      </w:r>
      <w:r w:rsidRPr="00794B3A">
        <w:lastRenderedPageBreak/>
        <w:t>that changing the prior financial statement will have no impact on the statement's readers. As per the view of (Kumor and Mackowiak, 2018, pp.201), another example can be made such as the controller could wait to get all</w:t>
      </w:r>
      <w:r w:rsidRPr="00794B3A">
        <w:t xml:space="preserve"> invoices related to the supplier before closing the books. However, it can be elected in the palace of accrue as invoices estimate yet to get in the way of the closing book more speedily. The accrual is more likely to be insufficiency but the variances fr</w:t>
      </w:r>
      <w:r w:rsidRPr="00794B3A">
        <w:t>om the actual amount will be material.</w:t>
      </w:r>
    </w:p>
    <w:p w:rsidR="002E0D47" w:rsidRPr="00794B3A" w:rsidRDefault="006E0A5E" w:rsidP="00A83C20">
      <w:pPr>
        <w:pStyle w:val="Heading2"/>
      </w:pPr>
      <w:bookmarkStart w:id="9" w:name="_Toc109731456"/>
      <w:r>
        <w:t xml:space="preserve">C. </w:t>
      </w:r>
      <w:r w:rsidRPr="00794B3A">
        <w:t>Monetary unit</w:t>
      </w:r>
      <w:bookmarkEnd w:id="9"/>
    </w:p>
    <w:p w:rsidR="002E0D47" w:rsidRPr="00794B3A" w:rsidRDefault="00841911">
      <w:r w:rsidRPr="00794B3A">
        <w:t xml:space="preserve">It is the principle that refers to the assumption that money itself is directed as the measurement unit. In </w:t>
      </w:r>
      <w:r w:rsidR="00BE7DE3" w:rsidRPr="00794B3A">
        <w:t>addition,</w:t>
      </w:r>
      <w:r w:rsidRPr="00794B3A">
        <w:t xml:space="preserve"> with all economic events and transactions are recorded in the business accounts wh</w:t>
      </w:r>
      <w:r w:rsidRPr="00794B3A">
        <w:t>ich can be measured and expressed in the money in terms of better accuracy. As mentioned by (Almagtome</w:t>
      </w:r>
      <w:r w:rsidRPr="00794B3A">
        <w:rPr>
          <w:i/>
        </w:rPr>
        <w:t xml:space="preserve">et al. </w:t>
      </w:r>
      <w:r w:rsidRPr="00794B3A">
        <w:t>2020, p.1020), the monetary principles assist the organization to record the transaction of business which can be expressed in the way of currency.</w:t>
      </w:r>
      <w:r w:rsidRPr="00794B3A">
        <w:t xml:space="preserve"> Thus, the effect of the organization </w:t>
      </w:r>
      <w:r w:rsidR="00BE7DE3" w:rsidRPr="00794B3A">
        <w:t>cannot</w:t>
      </w:r>
      <w:r w:rsidRPr="00794B3A">
        <w:t xml:space="preserve"> be recorded like non-quantifiable products as the level of employees' skills, the customers’ services quality, and also the engineering staff's ingenuity.</w:t>
      </w:r>
    </w:p>
    <w:p w:rsidR="002E0D47" w:rsidRPr="00794B3A" w:rsidRDefault="00841911">
      <w:r w:rsidRPr="00794B3A">
        <w:t xml:space="preserve">The assumption of the monetary unit argues that related </w:t>
      </w:r>
      <w:r w:rsidRPr="00794B3A">
        <w:t xml:space="preserve">to the currency's stability in the long run basis. As opined by (Weygandt </w:t>
      </w:r>
      <w:r w:rsidRPr="00794B3A">
        <w:rPr>
          <w:i/>
        </w:rPr>
        <w:t xml:space="preserve">et al. </w:t>
      </w:r>
      <w:r w:rsidRPr="00794B3A">
        <w:t xml:space="preserve">2018), the assumption assets the transaction so that it should be recorded in the business entity business which is referring to the entities for measuring monetary products. </w:t>
      </w:r>
      <w:r w:rsidRPr="00794B3A">
        <w:t>Thus, with the effect that an inexpressible transaction is mainly related to monetary terms, it should not appear on the books of accounting since they are not assisting or essential in the way of decision-making related to the purposes of financial accoun</w:t>
      </w:r>
      <w:r w:rsidRPr="00794B3A">
        <w:t xml:space="preserve">ting. As commented by (Wu </w:t>
      </w:r>
      <w:r w:rsidRPr="00794B3A">
        <w:rPr>
          <w:i/>
        </w:rPr>
        <w:t xml:space="preserve">et al. </w:t>
      </w:r>
      <w:r w:rsidRPr="00794B3A">
        <w:t>2019), the principles of moral principles make sure the recorded transaction is attributable related to the currency or money by using a stable currency such as the dollar. It can be done by using the principles of the mone</w:t>
      </w:r>
      <w:r w:rsidRPr="00794B3A">
        <w:t>tary unit which is advantageous. Some of the necessary ways which are suing the benefits of business are mentioned below:</w:t>
      </w:r>
    </w:p>
    <w:p w:rsidR="002E0D47" w:rsidRPr="00794B3A" w:rsidRDefault="00841911">
      <w:r w:rsidRPr="00794B3A">
        <w:t xml:space="preserve">It makes easy comparison outcomes, at the time two organizations require to align with the business transactions. Along with that, it </w:t>
      </w:r>
      <w:r w:rsidRPr="00794B3A">
        <w:t>makes it easy to differentiate the values since, the transaction is recorded in the terms of monetary, and also easy to understand by the chart.</w:t>
      </w:r>
    </w:p>
    <w:p w:rsidR="002E0D47" w:rsidRPr="00794B3A" w:rsidRDefault="00841911">
      <w:r w:rsidRPr="00794B3A">
        <w:t>It makes sure the string currency is used in recording the transaction of business. As per the view of (Merciai</w:t>
      </w:r>
      <w:r w:rsidRPr="00794B3A">
        <w:t xml:space="preserve"> and Schmidt, 2018), the business transaction has been used the availability and use of stable currency in the recording of the transaction. The dollar is highly suggested as stable and also available in every sight of the company. </w:t>
      </w:r>
    </w:p>
    <w:p w:rsidR="002E0D47" w:rsidRPr="00794B3A" w:rsidRDefault="006E0A5E" w:rsidP="00A83C20">
      <w:pPr>
        <w:pStyle w:val="Heading2"/>
      </w:pPr>
      <w:bookmarkStart w:id="10" w:name="_Toc109731457"/>
      <w:r>
        <w:lastRenderedPageBreak/>
        <w:t xml:space="preserve">D. </w:t>
      </w:r>
      <w:r w:rsidRPr="00794B3A">
        <w:t>Going concerns</w:t>
      </w:r>
      <w:bookmarkEnd w:id="10"/>
    </w:p>
    <w:p w:rsidR="002E0D47" w:rsidRPr="00794B3A" w:rsidRDefault="00841911">
      <w:r w:rsidRPr="00794B3A">
        <w:t>It is</w:t>
      </w:r>
      <w:r w:rsidRPr="00794B3A">
        <w:t xml:space="preserve"> the major concept related to the accounting principles of the business entity. It will proceed with running its operation in the foreseeable future and also will not force and liquidate to the proceed operation for any reasons. As per the view of (Wójcik-</w:t>
      </w:r>
      <w:r w:rsidRPr="00794B3A">
        <w:t xml:space="preserve">Jurkiewicz and Karczewska, 2019), going concerns assist the organization in running daily activities and has raw materials and capital to do so. The business has the capability to pay its debt at any time during accounting periods. It is major for the </w:t>
      </w:r>
      <w:r w:rsidRPr="00794B3A">
        <w:rPr>
          <w:b/>
          <w:i/>
        </w:rPr>
        <w:t>“Gen</w:t>
      </w:r>
      <w:r w:rsidRPr="00794B3A">
        <w:rPr>
          <w:b/>
          <w:i/>
        </w:rPr>
        <w:t xml:space="preserve">erally Accepted Accounting Principles (GAAP)” </w:t>
      </w:r>
      <w:r w:rsidRPr="00794B3A">
        <w:t xml:space="preserve">and </w:t>
      </w:r>
      <w:r w:rsidRPr="00794B3A">
        <w:rPr>
          <w:b/>
          <w:i/>
        </w:rPr>
        <w:t xml:space="preserve">“International Financial Reporting Standards (IFRS)”. </w:t>
      </w:r>
      <w:r w:rsidRPr="00794B3A">
        <w:t xml:space="preserve">The going concern concept plays a major role in the assets treated and the amortization and depreciation are based on the assumption. Along with that, it will proceed to perform its operation in the near forecast value. </w:t>
      </w:r>
    </w:p>
    <w:p w:rsidR="002E0D47" w:rsidRPr="00794B3A" w:rsidRDefault="00841911">
      <w:r w:rsidRPr="00794B3A">
        <w:t xml:space="preserve">The </w:t>
      </w:r>
      <w:r w:rsidRPr="00794B3A">
        <w:rPr>
          <w:b/>
          <w:i/>
        </w:rPr>
        <w:t>management responsibility</w:t>
      </w:r>
      <w:r w:rsidRPr="00794B3A">
        <w:t xml:space="preserve"> in co</w:t>
      </w:r>
      <w:r w:rsidRPr="00794B3A">
        <w:t>nsent of going concerned is majorly accurate and suitable in the way of economic complexity. Along with that, it is referring to some management situations that may determine the profitability of the organization which may not be going concerned. Moreover,</w:t>
      </w:r>
      <w:r w:rsidRPr="00794B3A">
        <w:t xml:space="preserve"> for example, the candidates understand that it is the management profitability to make assessment use related to the going concern basis related to the appropriate accounting. As mentioned by (Ali </w:t>
      </w:r>
      <w:r w:rsidRPr="00794B3A">
        <w:rPr>
          <w:i/>
        </w:rPr>
        <w:t xml:space="preserve">et al. </w:t>
      </w:r>
      <w:r w:rsidRPr="00794B3A">
        <w:t>2019, p.10), in the way of concluding the entity is</w:t>
      </w:r>
      <w:r w:rsidRPr="00794B3A">
        <w:t xml:space="preserve"> capable to proceed in the business for the foreseeable future. Moreover, management will have to make decisions or judgments on the divergent uncertain future condition or events outcomes. </w:t>
      </w:r>
    </w:p>
    <w:p w:rsidR="002E0D47" w:rsidRPr="00794B3A" w:rsidRDefault="00841911">
      <w:r w:rsidRPr="00794B3A">
        <w:t>The</w:t>
      </w:r>
      <w:r w:rsidRPr="00794B3A">
        <w:rPr>
          <w:b/>
          <w:i/>
        </w:rPr>
        <w:t xml:space="preserve"> Auditor's responsibilities, </w:t>
      </w:r>
      <w:r w:rsidRPr="00794B3A">
        <w:t>it is not referring to the respon</w:t>
      </w:r>
      <w:r w:rsidRPr="00794B3A">
        <w:t>sibility of auditors to find the entity which can prepare its financial statement. Along with that it has been used as the going concern on the basis of accounting. Thus, with the effect of that, it is capable to obtain sufficient and appropriate audit evi</w:t>
      </w:r>
      <w:r w:rsidRPr="00794B3A">
        <w:t xml:space="preserve">dence. This responsibility has come under the </w:t>
      </w:r>
      <w:r w:rsidRPr="00794B3A">
        <w:rPr>
          <w:b/>
          <w:i/>
        </w:rPr>
        <w:t xml:space="preserve">“International Standards on Auditing (ISA)” 570, which </w:t>
      </w:r>
      <w:r w:rsidRPr="00794B3A">
        <w:t xml:space="preserve">is to obtain sufficient accurate audit evidence related to the accurate management use appropriateness (Rosati </w:t>
      </w:r>
      <w:r w:rsidRPr="00794B3A">
        <w:rPr>
          <w:i/>
        </w:rPr>
        <w:t xml:space="preserve">et al. </w:t>
      </w:r>
      <w:r w:rsidRPr="00794B3A">
        <w:t>2022, p.700). Along with that, it has</w:t>
      </w:r>
      <w:r w:rsidRPr="00794B3A">
        <w:t xml:space="preserve"> been used on the basis of financial statement preparation and also conclusion whether the material entertaining related to the capability to proceed as the going concern. </w:t>
      </w:r>
    </w:p>
    <w:p w:rsidR="002E0D47" w:rsidRPr="00794B3A" w:rsidRDefault="00841911">
      <w:pPr>
        <w:rPr>
          <w:b/>
        </w:rPr>
      </w:pPr>
      <w:r w:rsidRPr="00794B3A">
        <w:rPr>
          <w:b/>
        </w:rPr>
        <w:t>Using of going concern basis inappropriate</w:t>
      </w:r>
    </w:p>
    <w:p w:rsidR="002E0D47" w:rsidRPr="00794B3A" w:rsidRDefault="009417A7">
      <w:r w:rsidRPr="00794B3A">
        <w:t>An example of this principle, is the entity has borrowed $10m which becomes immediately repayable in full 31st March 2022. The entity has already in the breach agreed bank and overdraft have refused in reviewing the bowling. As per the view of (Umar and Haron, 2021, p.10), the entity has been unsuccessful in implying with another institution of financial for re-</w:t>
      </w:r>
      <w:r w:rsidRPr="00794B3A">
        <w:lastRenderedPageBreak/>
        <w:t>financing the $10m borrowing and also events for the directors which will have no alternatives but to cease to the trade. Therefore, the banks have already shown that they are proceeding shortly commence to the legal continuing to force the organization to cease the sell and trading off its assets to create the funds to pay off its borrowing.</w:t>
      </w:r>
    </w:p>
    <w:p w:rsidR="002E0D47" w:rsidRPr="00794B3A" w:rsidRDefault="00841911">
      <w:r w:rsidRPr="00794B3A">
        <w:t xml:space="preserve">In the way of ignoring the credit rating entity and suffering from any additional decline, the </w:t>
      </w:r>
      <w:r w:rsidRPr="00794B3A">
        <w:t>directors have denied making decisions in the company’s financial statement. Along with that, it has been prepared to the financial statement for the year ended 31st March 20</w:t>
      </w:r>
      <w:r w:rsidR="009417A7" w:rsidRPr="00794B3A">
        <w:t>2</w:t>
      </w:r>
      <w:r w:rsidRPr="00794B3A">
        <w:t xml:space="preserve">2 on the basis of going concerned. </w:t>
      </w:r>
    </w:p>
    <w:p w:rsidR="002E0D47" w:rsidRPr="00794B3A" w:rsidRDefault="00841911" w:rsidP="00442CFF">
      <w:pPr>
        <w:pStyle w:val="Heading1"/>
      </w:pPr>
      <w:bookmarkStart w:id="11" w:name="_ye7chaz9kpdz" w:colFirst="0" w:colLast="0"/>
      <w:bookmarkStart w:id="12" w:name="_Toc109731458"/>
      <w:bookmarkEnd w:id="11"/>
      <w:r w:rsidRPr="00794B3A">
        <w:t>Conclusion</w:t>
      </w:r>
      <w:bookmarkEnd w:id="12"/>
    </w:p>
    <w:p w:rsidR="007A36FD" w:rsidRPr="00794B3A" w:rsidRDefault="00841911">
      <w:r w:rsidRPr="00794B3A">
        <w:t>It can be concluded that the accou</w:t>
      </w:r>
      <w:r w:rsidRPr="00794B3A">
        <w:t>nting principles to keep the records systematic to ascertain financial performance. Along with that, it is also showing the financial position related to the entity to make communication with accurate and suitable financial information for its user groups.</w:t>
      </w:r>
      <w:r w:rsidRPr="00794B3A">
        <w:t xml:space="preserve"> The types of accounting principles assist the organization to set guidelines and also rules issues by the accounting standard such as IFRS and GAAP organization. Thus, with the effect of that, they can able to follow the information and also show the fina</w:t>
      </w:r>
      <w:r w:rsidRPr="00794B3A">
        <w:t xml:space="preserve">ncial accounts books of information. These concepts have assumed that organization will remain in the organization for a </w:t>
      </w:r>
      <w:r w:rsidR="005E3D98" w:rsidRPr="00794B3A">
        <w:t>long-time</w:t>
      </w:r>
      <w:r w:rsidRPr="00794B3A">
        <w:t xml:space="preserve"> basis. Hence, the revenue can be deferred to the divergent period and permits the business to defer from its prepaid expenses</w:t>
      </w:r>
      <w:r w:rsidRPr="00794B3A">
        <w:t xml:space="preserve">. </w:t>
      </w:r>
    </w:p>
    <w:p w:rsidR="007A36FD" w:rsidRPr="00794B3A" w:rsidRDefault="007A36FD">
      <w:r w:rsidRPr="00794B3A">
        <w:br w:type="page"/>
      </w:r>
    </w:p>
    <w:p w:rsidR="007A36FD" w:rsidRPr="00794B3A" w:rsidRDefault="007A36FD" w:rsidP="00237510">
      <w:pPr>
        <w:pStyle w:val="Heading1"/>
      </w:pPr>
      <w:bookmarkStart w:id="13" w:name="_Toc109731459"/>
      <w:r w:rsidRPr="00794B3A">
        <w:lastRenderedPageBreak/>
        <w:t>Reference list</w:t>
      </w:r>
      <w:bookmarkEnd w:id="13"/>
    </w:p>
    <w:p w:rsidR="00BB5899" w:rsidRPr="00794B3A" w:rsidRDefault="00BB5899" w:rsidP="00956EF6">
      <w:pPr>
        <w:spacing w:before="240"/>
        <w:rPr>
          <w:shd w:val="clear" w:color="auto" w:fill="FFFFFF"/>
        </w:rPr>
      </w:pPr>
      <w:r w:rsidRPr="00794B3A">
        <w:rPr>
          <w:shd w:val="clear" w:color="auto" w:fill="FFFFFF"/>
        </w:rPr>
        <w:t>Ali, M.N., Almagtome, A.H. and Hameedi, K.S., 2019. Impact of accounting earnings quality on the going-concern in the Iraqi tourism firms. </w:t>
      </w:r>
      <w:r w:rsidRPr="00794B3A">
        <w:rPr>
          <w:i/>
          <w:iCs/>
          <w:shd w:val="clear" w:color="auto" w:fill="FFFFFF"/>
        </w:rPr>
        <w:t>African Journal of Hospitality, Tourism and Leisure</w:t>
      </w:r>
      <w:r w:rsidRPr="00794B3A">
        <w:rPr>
          <w:shd w:val="clear" w:color="auto" w:fill="FFFFFF"/>
        </w:rPr>
        <w:t>, </w:t>
      </w:r>
      <w:r w:rsidRPr="00794B3A">
        <w:rPr>
          <w:i/>
          <w:iCs/>
          <w:shd w:val="clear" w:color="auto" w:fill="FFFFFF"/>
        </w:rPr>
        <w:t>8</w:t>
      </w:r>
      <w:r w:rsidRPr="00794B3A">
        <w:rPr>
          <w:shd w:val="clear" w:color="auto" w:fill="FFFFFF"/>
        </w:rPr>
        <w:t>(5), pp.1-12.</w:t>
      </w:r>
    </w:p>
    <w:p w:rsidR="00BB5899" w:rsidRPr="00794B3A" w:rsidRDefault="00BB5899" w:rsidP="00956EF6">
      <w:pPr>
        <w:spacing w:before="240"/>
        <w:rPr>
          <w:shd w:val="clear" w:color="auto" w:fill="FFFFFF"/>
        </w:rPr>
      </w:pPr>
      <w:r w:rsidRPr="00794B3A">
        <w:rPr>
          <w:shd w:val="clear" w:color="auto" w:fill="FFFFFF"/>
        </w:rPr>
        <w:t>Almagtome, A.H., Al-Yasiri, A.J., Ali, R.S., Kadhim, H.L. and Heider, N.B., 2020. Circular economy initiatives through energy accounting and sustainable energy performance under integrated reporting framework. </w:t>
      </w:r>
      <w:r w:rsidRPr="00794B3A">
        <w:rPr>
          <w:i/>
          <w:iCs/>
          <w:shd w:val="clear" w:color="auto" w:fill="FFFFFF"/>
        </w:rPr>
        <w:t>International Journal of Mathematical, Engineering and Management Sciences</w:t>
      </w:r>
      <w:r w:rsidRPr="00794B3A">
        <w:rPr>
          <w:shd w:val="clear" w:color="auto" w:fill="FFFFFF"/>
        </w:rPr>
        <w:t>, </w:t>
      </w:r>
      <w:r w:rsidRPr="00794B3A">
        <w:rPr>
          <w:i/>
          <w:iCs/>
          <w:shd w:val="clear" w:color="auto" w:fill="FFFFFF"/>
        </w:rPr>
        <w:t>5</w:t>
      </w:r>
      <w:r w:rsidRPr="00794B3A">
        <w:rPr>
          <w:shd w:val="clear" w:color="auto" w:fill="FFFFFF"/>
        </w:rPr>
        <w:t>(6), p.1032.</w:t>
      </w:r>
    </w:p>
    <w:p w:rsidR="00BB5899" w:rsidRPr="00794B3A" w:rsidRDefault="00BB5899" w:rsidP="00956EF6">
      <w:pPr>
        <w:spacing w:before="240"/>
        <w:rPr>
          <w:shd w:val="clear" w:color="auto" w:fill="FFFFFF"/>
        </w:rPr>
      </w:pPr>
      <w:r w:rsidRPr="00794B3A">
        <w:rPr>
          <w:shd w:val="clear" w:color="auto" w:fill="FFFFFF"/>
        </w:rPr>
        <w:t>Avram, V., Calu, D.A., Dumitru, V.F., Dumitru, M., Glăvan, M.E. and Jinga, G., 2018. The institutionalization of the consistency and comparability principle in the European companies. </w:t>
      </w:r>
      <w:r w:rsidRPr="00794B3A">
        <w:rPr>
          <w:i/>
          <w:iCs/>
          <w:shd w:val="clear" w:color="auto" w:fill="FFFFFF"/>
        </w:rPr>
        <w:t>Energies</w:t>
      </w:r>
      <w:r w:rsidRPr="00794B3A">
        <w:rPr>
          <w:shd w:val="clear" w:color="auto" w:fill="FFFFFF"/>
        </w:rPr>
        <w:t>, </w:t>
      </w:r>
      <w:r w:rsidRPr="00794B3A">
        <w:rPr>
          <w:i/>
          <w:iCs/>
          <w:shd w:val="clear" w:color="auto" w:fill="FFFFFF"/>
        </w:rPr>
        <w:t>11</w:t>
      </w:r>
      <w:r w:rsidRPr="00794B3A">
        <w:rPr>
          <w:shd w:val="clear" w:color="auto" w:fill="FFFFFF"/>
        </w:rPr>
        <w:t>(12), p.3456.</w:t>
      </w:r>
    </w:p>
    <w:p w:rsidR="00BB5899" w:rsidRPr="00794B3A" w:rsidRDefault="00BB5899" w:rsidP="00956EF6">
      <w:pPr>
        <w:spacing w:before="240"/>
        <w:rPr>
          <w:shd w:val="clear" w:color="auto" w:fill="FFFFFF"/>
        </w:rPr>
      </w:pPr>
      <w:r w:rsidRPr="00794B3A">
        <w:rPr>
          <w:shd w:val="clear" w:color="auto" w:fill="FFFFFF"/>
        </w:rPr>
        <w:t>Ciocan, C.C., 2019. The True and Fair View Requirement in National Accounting Regulations of EU Member States. </w:t>
      </w:r>
      <w:r w:rsidRPr="00794B3A">
        <w:rPr>
          <w:i/>
          <w:iCs/>
          <w:shd w:val="clear" w:color="auto" w:fill="FFFFFF"/>
        </w:rPr>
        <w:t>Acta Universitatis Danubius. Œconomica</w:t>
      </w:r>
      <w:r w:rsidRPr="00794B3A">
        <w:rPr>
          <w:shd w:val="clear" w:color="auto" w:fill="FFFFFF"/>
        </w:rPr>
        <w:t>, </w:t>
      </w:r>
      <w:r w:rsidRPr="00794B3A">
        <w:rPr>
          <w:i/>
          <w:iCs/>
          <w:shd w:val="clear" w:color="auto" w:fill="FFFFFF"/>
        </w:rPr>
        <w:t>15</w:t>
      </w:r>
      <w:r w:rsidRPr="00794B3A">
        <w:rPr>
          <w:shd w:val="clear" w:color="auto" w:fill="FFFFFF"/>
        </w:rPr>
        <w:t>(3).</w:t>
      </w:r>
    </w:p>
    <w:p w:rsidR="00BB5899" w:rsidRPr="0081092C" w:rsidRDefault="00BB5899" w:rsidP="00956EF6">
      <w:pPr>
        <w:spacing w:before="240"/>
        <w:rPr>
          <w:shd w:val="clear" w:color="auto" w:fill="FFFFFF"/>
          <w:lang w:val="en-GB"/>
        </w:rPr>
      </w:pPr>
      <w:r w:rsidRPr="0081092C">
        <w:rPr>
          <w:shd w:val="clear" w:color="auto" w:fill="FFFFFF"/>
          <w:lang w:val="en-GB"/>
        </w:rPr>
        <w:t>Easton, P.D., McAnally, M.L., Sommers, G.A. and Zhang, X.J., 2018. </w:t>
      </w:r>
      <w:r w:rsidRPr="0081092C">
        <w:rPr>
          <w:i/>
          <w:iCs/>
          <w:shd w:val="clear" w:color="auto" w:fill="FFFFFF"/>
          <w:lang w:val="en-GB"/>
        </w:rPr>
        <w:t>Financial statement analysis &amp; valuation</w:t>
      </w:r>
      <w:r w:rsidRPr="0081092C">
        <w:rPr>
          <w:shd w:val="clear" w:color="auto" w:fill="FFFFFF"/>
          <w:lang w:val="en-GB"/>
        </w:rPr>
        <w:t>. Boston, MA: Cambridge Business Publishers.</w:t>
      </w:r>
    </w:p>
    <w:p w:rsidR="00BB5899" w:rsidRPr="00794B3A" w:rsidRDefault="00BB5899" w:rsidP="00956EF6">
      <w:pPr>
        <w:spacing w:before="240"/>
        <w:rPr>
          <w:shd w:val="clear" w:color="auto" w:fill="FFFFFF"/>
        </w:rPr>
      </w:pPr>
      <w:r w:rsidRPr="00794B3A">
        <w:rPr>
          <w:shd w:val="clear" w:color="auto" w:fill="FFFFFF"/>
        </w:rPr>
        <w:t>Ferrero-Ferrero, I., León, R. and Muñoz-Torres, M.J., 2021. Sustainability materiality matrices in doubt: may prioritizations of aspects overestimate environmental performance?. </w:t>
      </w:r>
      <w:r w:rsidRPr="00794B3A">
        <w:rPr>
          <w:i/>
          <w:iCs/>
          <w:shd w:val="clear" w:color="auto" w:fill="FFFFFF"/>
        </w:rPr>
        <w:t>Journal of Environmental Planning and Management</w:t>
      </w:r>
      <w:r w:rsidRPr="00794B3A">
        <w:rPr>
          <w:shd w:val="clear" w:color="auto" w:fill="FFFFFF"/>
        </w:rPr>
        <w:t>, </w:t>
      </w:r>
      <w:r w:rsidRPr="00794B3A">
        <w:rPr>
          <w:i/>
          <w:iCs/>
          <w:shd w:val="clear" w:color="auto" w:fill="FFFFFF"/>
        </w:rPr>
        <w:t>64</w:t>
      </w:r>
      <w:r w:rsidRPr="00794B3A">
        <w:rPr>
          <w:shd w:val="clear" w:color="auto" w:fill="FFFFFF"/>
        </w:rPr>
        <w:t>(3), pp.432-463.</w:t>
      </w:r>
    </w:p>
    <w:p w:rsidR="00BB5899" w:rsidRPr="00794B3A" w:rsidRDefault="00BB5899" w:rsidP="00956EF6">
      <w:pPr>
        <w:spacing w:before="240"/>
        <w:rPr>
          <w:shd w:val="clear" w:color="auto" w:fill="FFFFFF"/>
        </w:rPr>
      </w:pPr>
      <w:r w:rsidRPr="00794B3A">
        <w:rPr>
          <w:shd w:val="clear" w:color="auto" w:fill="FFFFFF"/>
        </w:rPr>
        <w:t>Flores, J.S. and Garcia-Expósito, J., 2020. Problems of Accounting Balance. </w:t>
      </w:r>
      <w:r w:rsidRPr="00794B3A">
        <w:rPr>
          <w:i/>
          <w:iCs/>
          <w:shd w:val="clear" w:color="auto" w:fill="FFFFFF"/>
        </w:rPr>
        <w:t>International Journal of Millennium Studies</w:t>
      </w:r>
      <w:r w:rsidRPr="00794B3A">
        <w:rPr>
          <w:shd w:val="clear" w:color="auto" w:fill="FFFFFF"/>
        </w:rPr>
        <w:t>, </w:t>
      </w:r>
      <w:r w:rsidRPr="00794B3A">
        <w:rPr>
          <w:i/>
          <w:iCs/>
          <w:shd w:val="clear" w:color="auto" w:fill="FFFFFF"/>
        </w:rPr>
        <w:t>5</w:t>
      </w:r>
      <w:r w:rsidRPr="00794B3A">
        <w:rPr>
          <w:shd w:val="clear" w:color="auto" w:fill="FFFFFF"/>
        </w:rPr>
        <w:t>(3).</w:t>
      </w:r>
    </w:p>
    <w:p w:rsidR="00BB5899" w:rsidRPr="00794B3A" w:rsidRDefault="00BB5899" w:rsidP="00956EF6">
      <w:pPr>
        <w:spacing w:before="240"/>
        <w:rPr>
          <w:shd w:val="clear" w:color="auto" w:fill="FFFFFF"/>
        </w:rPr>
      </w:pPr>
      <w:r w:rsidRPr="00794B3A">
        <w:rPr>
          <w:shd w:val="clear" w:color="auto" w:fill="FFFFFF"/>
        </w:rPr>
        <w:t>Jasim, Y.A. and Raewf, M.B., 2020. Information technology's impact on the accounting system. </w:t>
      </w:r>
      <w:r w:rsidRPr="00794B3A">
        <w:rPr>
          <w:i/>
          <w:iCs/>
          <w:shd w:val="clear" w:color="auto" w:fill="FFFFFF"/>
        </w:rPr>
        <w:t>Cihan University-Erbil Journal of Humanities and Social Sciences</w:t>
      </w:r>
      <w:r w:rsidRPr="00794B3A">
        <w:rPr>
          <w:shd w:val="clear" w:color="auto" w:fill="FFFFFF"/>
        </w:rPr>
        <w:t>, </w:t>
      </w:r>
      <w:r w:rsidRPr="00794B3A">
        <w:rPr>
          <w:i/>
          <w:iCs/>
          <w:shd w:val="clear" w:color="auto" w:fill="FFFFFF"/>
        </w:rPr>
        <w:t>4</w:t>
      </w:r>
      <w:r w:rsidRPr="00794B3A">
        <w:rPr>
          <w:shd w:val="clear" w:color="auto" w:fill="FFFFFF"/>
        </w:rPr>
        <w:t>(1), pp.50-57.</w:t>
      </w:r>
    </w:p>
    <w:p w:rsidR="00BB5899" w:rsidRPr="0081092C" w:rsidRDefault="00BB5899" w:rsidP="00956EF6">
      <w:pPr>
        <w:spacing w:before="240"/>
        <w:rPr>
          <w:shd w:val="clear" w:color="auto" w:fill="FFFFFF"/>
          <w:lang w:val="en-GB"/>
        </w:rPr>
      </w:pPr>
      <w:r w:rsidRPr="0081092C">
        <w:rPr>
          <w:shd w:val="clear" w:color="auto" w:fill="FFFFFF"/>
          <w:lang w:val="en-GB"/>
        </w:rPr>
        <w:t>Jurakulovna, J.G., 2021. The Necessity and Theoretical Basis of Financial Statement Analysis in Modern Management. </w:t>
      </w:r>
      <w:r w:rsidRPr="0081092C">
        <w:rPr>
          <w:i/>
          <w:iCs/>
          <w:shd w:val="clear" w:color="auto" w:fill="FFFFFF"/>
          <w:lang w:val="en-GB"/>
        </w:rPr>
        <w:t>Academic Journal of Digital Economics and Stability</w:t>
      </w:r>
      <w:r w:rsidRPr="0081092C">
        <w:rPr>
          <w:shd w:val="clear" w:color="auto" w:fill="FFFFFF"/>
          <w:lang w:val="en-GB"/>
        </w:rPr>
        <w:t>, </w:t>
      </w:r>
      <w:r w:rsidRPr="0081092C">
        <w:rPr>
          <w:i/>
          <w:iCs/>
          <w:shd w:val="clear" w:color="auto" w:fill="FFFFFF"/>
          <w:lang w:val="en-GB"/>
        </w:rPr>
        <w:t>7</w:t>
      </w:r>
      <w:r w:rsidRPr="0081092C">
        <w:rPr>
          <w:shd w:val="clear" w:color="auto" w:fill="FFFFFF"/>
          <w:lang w:val="en-GB"/>
        </w:rPr>
        <w:t>, pp.89-95.</w:t>
      </w:r>
    </w:p>
    <w:p w:rsidR="00BB5899" w:rsidRPr="00794B3A" w:rsidRDefault="00BB5899" w:rsidP="00956EF6">
      <w:pPr>
        <w:spacing w:before="240"/>
        <w:rPr>
          <w:shd w:val="clear" w:color="auto" w:fill="FFFFFF"/>
        </w:rPr>
      </w:pPr>
      <w:r w:rsidRPr="00794B3A">
        <w:rPr>
          <w:shd w:val="clear" w:color="auto" w:fill="FFFFFF"/>
        </w:rPr>
        <w:lastRenderedPageBreak/>
        <w:t>Kumor, I. and Mackowiak, E., 2018, June. Materiality in accounting and auditing. In </w:t>
      </w:r>
      <w:r w:rsidRPr="00794B3A">
        <w:rPr>
          <w:i/>
          <w:iCs/>
          <w:shd w:val="clear" w:color="auto" w:fill="FFFFFF"/>
        </w:rPr>
        <w:t>Economic and Social Development (Book of Proceedings), 32nd International Scientific Conference on Economic and Social</w:t>
      </w:r>
      <w:r w:rsidRPr="00794B3A">
        <w:rPr>
          <w:shd w:val="clear" w:color="auto" w:fill="FFFFFF"/>
        </w:rPr>
        <w:t> (p. 218).</w:t>
      </w:r>
    </w:p>
    <w:p w:rsidR="00BB5899" w:rsidRPr="00794B3A" w:rsidRDefault="00BB5899" w:rsidP="00956EF6">
      <w:pPr>
        <w:spacing w:before="240"/>
        <w:rPr>
          <w:shd w:val="clear" w:color="auto" w:fill="FFFFFF"/>
        </w:rPr>
      </w:pPr>
      <w:r w:rsidRPr="00794B3A">
        <w:rPr>
          <w:shd w:val="clear" w:color="auto" w:fill="FFFFFF"/>
        </w:rPr>
        <w:t>Merciai, S. and Schmidt, J., 2018. Methodology for the construction of global multi‐regional hybrid supply and use tables for the EXIOBASE v3 database. </w:t>
      </w:r>
      <w:r w:rsidRPr="00794B3A">
        <w:rPr>
          <w:i/>
          <w:iCs/>
          <w:shd w:val="clear" w:color="auto" w:fill="FFFFFF"/>
        </w:rPr>
        <w:t>Journal of Industrial Ecology</w:t>
      </w:r>
      <w:r w:rsidRPr="00794B3A">
        <w:rPr>
          <w:shd w:val="clear" w:color="auto" w:fill="FFFFFF"/>
        </w:rPr>
        <w:t>, </w:t>
      </w:r>
      <w:r w:rsidRPr="00794B3A">
        <w:rPr>
          <w:i/>
          <w:iCs/>
          <w:shd w:val="clear" w:color="auto" w:fill="FFFFFF"/>
        </w:rPr>
        <w:t>22</w:t>
      </w:r>
      <w:r w:rsidRPr="00794B3A">
        <w:rPr>
          <w:shd w:val="clear" w:color="auto" w:fill="FFFFFF"/>
        </w:rPr>
        <w:t>(3), pp.516-531.</w:t>
      </w:r>
    </w:p>
    <w:p w:rsidR="00BB5899" w:rsidRPr="00794B3A" w:rsidRDefault="00BB5899" w:rsidP="00956EF6">
      <w:pPr>
        <w:spacing w:before="240"/>
        <w:rPr>
          <w:shd w:val="clear" w:color="auto" w:fill="FFFFFF"/>
        </w:rPr>
      </w:pPr>
      <w:r w:rsidRPr="00794B3A">
        <w:rPr>
          <w:shd w:val="clear" w:color="auto" w:fill="FFFFFF"/>
        </w:rPr>
        <w:t>Munjal, S., Singh, G. and Jearth, P., 2021. Assessing the Consistency among Accounting Measures of Earnings Quality: A Study of Stocks Listed on National Stock Exchange 500. </w:t>
      </w:r>
      <w:r w:rsidRPr="00794B3A">
        <w:rPr>
          <w:i/>
          <w:iCs/>
          <w:shd w:val="clear" w:color="auto" w:fill="FFFFFF"/>
        </w:rPr>
        <w:t>International Journal of Economics and Financial Issues</w:t>
      </w:r>
      <w:r w:rsidRPr="00794B3A">
        <w:rPr>
          <w:shd w:val="clear" w:color="auto" w:fill="FFFFFF"/>
        </w:rPr>
        <w:t>, </w:t>
      </w:r>
      <w:r w:rsidRPr="00794B3A">
        <w:rPr>
          <w:i/>
          <w:iCs/>
          <w:shd w:val="clear" w:color="auto" w:fill="FFFFFF"/>
        </w:rPr>
        <w:t>11</w:t>
      </w:r>
      <w:r w:rsidRPr="00794B3A">
        <w:rPr>
          <w:shd w:val="clear" w:color="auto" w:fill="FFFFFF"/>
        </w:rPr>
        <w:t>(4), p.19.</w:t>
      </w:r>
    </w:p>
    <w:p w:rsidR="00BB5899" w:rsidRPr="00794B3A" w:rsidRDefault="00BB5899" w:rsidP="00956EF6">
      <w:pPr>
        <w:spacing w:before="240"/>
        <w:rPr>
          <w:sz w:val="56"/>
          <w:szCs w:val="56"/>
        </w:rPr>
      </w:pPr>
      <w:r w:rsidRPr="00794B3A">
        <w:rPr>
          <w:shd w:val="clear" w:color="auto" w:fill="FFFFFF"/>
        </w:rPr>
        <w:t>Rosati, P., Gogolin, F. and Lynn, T., 2022. Cyber-security incidents and audit quality. </w:t>
      </w:r>
      <w:r w:rsidRPr="00794B3A">
        <w:rPr>
          <w:i/>
          <w:iCs/>
          <w:shd w:val="clear" w:color="auto" w:fill="FFFFFF"/>
        </w:rPr>
        <w:t>European Accounting Review</w:t>
      </w:r>
      <w:r w:rsidRPr="00794B3A">
        <w:rPr>
          <w:shd w:val="clear" w:color="auto" w:fill="FFFFFF"/>
        </w:rPr>
        <w:t>, </w:t>
      </w:r>
      <w:r w:rsidRPr="00794B3A">
        <w:rPr>
          <w:i/>
          <w:iCs/>
          <w:shd w:val="clear" w:color="auto" w:fill="FFFFFF"/>
        </w:rPr>
        <w:t>31</w:t>
      </w:r>
      <w:r w:rsidRPr="00794B3A">
        <w:rPr>
          <w:shd w:val="clear" w:color="auto" w:fill="FFFFFF"/>
        </w:rPr>
        <w:t>(3), pp.701-728.</w:t>
      </w:r>
    </w:p>
    <w:p w:rsidR="00BB5899" w:rsidRPr="0081092C" w:rsidRDefault="00BB5899" w:rsidP="00956EF6">
      <w:pPr>
        <w:spacing w:before="240"/>
        <w:rPr>
          <w:shd w:val="clear" w:color="auto" w:fill="FFFFFF"/>
          <w:lang w:val="en-GB"/>
        </w:rPr>
      </w:pPr>
      <w:r w:rsidRPr="0081092C">
        <w:rPr>
          <w:shd w:val="clear" w:color="auto" w:fill="FFFFFF"/>
          <w:lang w:val="en-GB"/>
        </w:rPr>
        <w:t>Thuy, C.T.M., Khuong, N.V., Canh, N.T. and Liem, N.T., 2021. Corporate social responsibility disclosure and financial performance: The mediating role of financial statement comparability. </w:t>
      </w:r>
      <w:r w:rsidRPr="0081092C">
        <w:rPr>
          <w:i/>
          <w:iCs/>
          <w:shd w:val="clear" w:color="auto" w:fill="FFFFFF"/>
          <w:lang w:val="en-GB"/>
        </w:rPr>
        <w:t>Sustainability</w:t>
      </w:r>
      <w:r w:rsidRPr="0081092C">
        <w:rPr>
          <w:shd w:val="clear" w:color="auto" w:fill="FFFFFF"/>
          <w:lang w:val="en-GB"/>
        </w:rPr>
        <w:t>, </w:t>
      </w:r>
      <w:r w:rsidRPr="0081092C">
        <w:rPr>
          <w:i/>
          <w:iCs/>
          <w:shd w:val="clear" w:color="auto" w:fill="FFFFFF"/>
          <w:lang w:val="en-GB"/>
        </w:rPr>
        <w:t>13</w:t>
      </w:r>
      <w:r w:rsidRPr="0081092C">
        <w:rPr>
          <w:shd w:val="clear" w:color="auto" w:fill="FFFFFF"/>
          <w:lang w:val="en-GB"/>
        </w:rPr>
        <w:t>(18), p.10077.</w:t>
      </w:r>
    </w:p>
    <w:p w:rsidR="00BB5899" w:rsidRPr="00794B3A" w:rsidRDefault="00BB5899" w:rsidP="00956EF6">
      <w:pPr>
        <w:spacing w:before="240"/>
        <w:rPr>
          <w:shd w:val="clear" w:color="auto" w:fill="FFFFFF"/>
        </w:rPr>
      </w:pPr>
      <w:r w:rsidRPr="00794B3A">
        <w:rPr>
          <w:shd w:val="clear" w:color="auto" w:fill="FFFFFF"/>
        </w:rPr>
        <w:t>Torelli, R., Balluchi, F. and Furlotti, K., 2020. The materiality assessment and stakeholder engagement: A content analysis of sustainability reports. </w:t>
      </w:r>
      <w:r w:rsidRPr="00794B3A">
        <w:rPr>
          <w:i/>
          <w:iCs/>
          <w:shd w:val="clear" w:color="auto" w:fill="FFFFFF"/>
        </w:rPr>
        <w:t>Corporate Social Responsibility and Environmental Management</w:t>
      </w:r>
      <w:r w:rsidRPr="00794B3A">
        <w:rPr>
          <w:shd w:val="clear" w:color="auto" w:fill="FFFFFF"/>
        </w:rPr>
        <w:t>, </w:t>
      </w:r>
      <w:r w:rsidRPr="00794B3A">
        <w:rPr>
          <w:i/>
          <w:iCs/>
          <w:shd w:val="clear" w:color="auto" w:fill="FFFFFF"/>
        </w:rPr>
        <w:t>27</w:t>
      </w:r>
      <w:r w:rsidRPr="00794B3A">
        <w:rPr>
          <w:shd w:val="clear" w:color="auto" w:fill="FFFFFF"/>
        </w:rPr>
        <w:t>(2), pp.470-484.</w:t>
      </w:r>
    </w:p>
    <w:p w:rsidR="00BB5899" w:rsidRPr="00794B3A" w:rsidRDefault="00BB5899" w:rsidP="00956EF6">
      <w:pPr>
        <w:spacing w:before="240"/>
        <w:rPr>
          <w:shd w:val="clear" w:color="auto" w:fill="FFFFFF"/>
        </w:rPr>
      </w:pPr>
      <w:r w:rsidRPr="00794B3A">
        <w:rPr>
          <w:shd w:val="clear" w:color="auto" w:fill="FFFFFF"/>
        </w:rPr>
        <w:t>Umar, U.H. and Haron, M.H., 2021. The Islamic Need for Investing Inherited Wealth and Accounting Treatments. </w:t>
      </w:r>
      <w:r w:rsidRPr="00794B3A">
        <w:rPr>
          <w:i/>
          <w:iCs/>
          <w:shd w:val="clear" w:color="auto" w:fill="FFFFFF"/>
        </w:rPr>
        <w:t>The Journal of Muamalat and Islamic Finance Research</w:t>
      </w:r>
      <w:r w:rsidRPr="00794B3A">
        <w:rPr>
          <w:shd w:val="clear" w:color="auto" w:fill="FFFFFF"/>
        </w:rPr>
        <w:t>, pp.1-13.</w:t>
      </w:r>
    </w:p>
    <w:p w:rsidR="00BB5899" w:rsidRPr="00794B3A" w:rsidRDefault="00BB5899" w:rsidP="00956EF6">
      <w:pPr>
        <w:spacing w:before="240"/>
        <w:rPr>
          <w:shd w:val="clear" w:color="auto" w:fill="FFFFFF"/>
        </w:rPr>
      </w:pPr>
      <w:r w:rsidRPr="00794B3A">
        <w:rPr>
          <w:shd w:val="clear" w:color="auto" w:fill="FFFFFF"/>
        </w:rPr>
        <w:t>Weygandt, J.J., Kimmel, P.D. and Kieso, D.E., 2018. </w:t>
      </w:r>
      <w:r w:rsidRPr="00794B3A">
        <w:rPr>
          <w:i/>
          <w:iCs/>
          <w:shd w:val="clear" w:color="auto" w:fill="FFFFFF"/>
        </w:rPr>
        <w:t>Financial Accounting with International Financial Reporting Standards</w:t>
      </w:r>
      <w:r w:rsidRPr="00794B3A">
        <w:rPr>
          <w:shd w:val="clear" w:color="auto" w:fill="FFFFFF"/>
        </w:rPr>
        <w:t>. John Wiley &amp; Sons.</w:t>
      </w:r>
    </w:p>
    <w:p w:rsidR="00BB5899" w:rsidRPr="00794B3A" w:rsidRDefault="00BB5899" w:rsidP="00956EF6">
      <w:pPr>
        <w:spacing w:before="240"/>
        <w:rPr>
          <w:shd w:val="clear" w:color="auto" w:fill="FFFFFF"/>
        </w:rPr>
      </w:pPr>
      <w:r w:rsidRPr="00794B3A">
        <w:rPr>
          <w:shd w:val="clear" w:color="auto" w:fill="FFFFFF"/>
        </w:rPr>
        <w:t>Wójcik-Jurkiewicz, M. and Karczewska, M., 2019. Assessment of the going concern value of a business entity by means of selected discriminative models. </w:t>
      </w:r>
      <w:r w:rsidRPr="00794B3A">
        <w:rPr>
          <w:i/>
          <w:iCs/>
          <w:shd w:val="clear" w:color="auto" w:fill="FFFFFF"/>
        </w:rPr>
        <w:t>Scientific Journal of Bielsko-Biala School of Finance and Law</w:t>
      </w:r>
      <w:r w:rsidRPr="00794B3A">
        <w:rPr>
          <w:shd w:val="clear" w:color="auto" w:fill="FFFFFF"/>
        </w:rPr>
        <w:t>, </w:t>
      </w:r>
      <w:r w:rsidRPr="00794B3A">
        <w:rPr>
          <w:i/>
          <w:iCs/>
          <w:shd w:val="clear" w:color="auto" w:fill="FFFFFF"/>
        </w:rPr>
        <w:t>23</w:t>
      </w:r>
      <w:r w:rsidRPr="00794B3A">
        <w:rPr>
          <w:shd w:val="clear" w:color="auto" w:fill="FFFFFF"/>
        </w:rPr>
        <w:t>(1), pp.53-60.</w:t>
      </w:r>
    </w:p>
    <w:p w:rsidR="00BB5899" w:rsidRPr="00552118" w:rsidRDefault="00BB5899" w:rsidP="00552118">
      <w:pPr>
        <w:spacing w:before="240"/>
        <w:rPr>
          <w:shd w:val="clear" w:color="auto" w:fill="FFFFFF"/>
        </w:rPr>
      </w:pPr>
      <w:r w:rsidRPr="00794B3A">
        <w:rPr>
          <w:shd w:val="clear" w:color="auto" w:fill="FFFFFF"/>
        </w:rPr>
        <w:lastRenderedPageBreak/>
        <w:t>Wu, X.D., Guo, J.L., Meng, J. and Chen, G.Q., 2019. Energy use by globalized economy: Total-consumption-based perspective via multi-region input-output accounting. </w:t>
      </w:r>
      <w:r w:rsidRPr="00794B3A">
        <w:rPr>
          <w:i/>
          <w:iCs/>
          <w:shd w:val="clear" w:color="auto" w:fill="FFFFFF"/>
        </w:rPr>
        <w:t>Science of the Total Environment</w:t>
      </w:r>
      <w:r w:rsidRPr="00794B3A">
        <w:rPr>
          <w:shd w:val="clear" w:color="auto" w:fill="FFFFFF"/>
        </w:rPr>
        <w:t>, </w:t>
      </w:r>
      <w:r w:rsidRPr="00794B3A">
        <w:rPr>
          <w:i/>
          <w:iCs/>
          <w:shd w:val="clear" w:color="auto" w:fill="FFFFFF"/>
        </w:rPr>
        <w:t>662</w:t>
      </w:r>
      <w:r w:rsidRPr="00794B3A">
        <w:rPr>
          <w:shd w:val="clear" w:color="auto" w:fill="FFFFFF"/>
        </w:rPr>
        <w:t>, pp.65-76.</w:t>
      </w:r>
    </w:p>
    <w:sectPr w:rsidR="00BB5899" w:rsidRPr="00552118" w:rsidSect="00756A1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1911" w:rsidRDefault="00841911" w:rsidP="00756A15">
      <w:pPr>
        <w:spacing w:line="240" w:lineRule="auto"/>
      </w:pPr>
      <w:r>
        <w:separator/>
      </w:r>
    </w:p>
  </w:endnote>
  <w:endnote w:type="continuationSeparator" w:id="1">
    <w:p w:rsidR="00841911" w:rsidRDefault="00841911" w:rsidP="00756A1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6352476"/>
      <w:docPartObj>
        <w:docPartGallery w:val="Page Numbers (Bottom of Page)"/>
        <w:docPartUnique/>
      </w:docPartObj>
    </w:sdtPr>
    <w:sdtEndPr>
      <w:rPr>
        <w:noProof/>
        <w:sz w:val="20"/>
        <w:szCs w:val="20"/>
      </w:rPr>
    </w:sdtEndPr>
    <w:sdtContent>
      <w:p w:rsidR="00756A15" w:rsidRPr="00756A15" w:rsidRDefault="00B16F08">
        <w:pPr>
          <w:pStyle w:val="Footer"/>
          <w:jc w:val="right"/>
          <w:rPr>
            <w:sz w:val="20"/>
            <w:szCs w:val="20"/>
          </w:rPr>
        </w:pPr>
        <w:r w:rsidRPr="00756A15">
          <w:rPr>
            <w:sz w:val="20"/>
            <w:szCs w:val="20"/>
          </w:rPr>
          <w:fldChar w:fldCharType="begin"/>
        </w:r>
        <w:r w:rsidR="00756A15" w:rsidRPr="00756A15">
          <w:rPr>
            <w:sz w:val="20"/>
            <w:szCs w:val="20"/>
          </w:rPr>
          <w:instrText xml:space="preserve"> PAGE   \* MERGEFORMAT </w:instrText>
        </w:r>
        <w:r w:rsidRPr="00756A15">
          <w:rPr>
            <w:sz w:val="20"/>
            <w:szCs w:val="20"/>
          </w:rPr>
          <w:fldChar w:fldCharType="separate"/>
        </w:r>
        <w:r w:rsidR="00BB5899">
          <w:rPr>
            <w:noProof/>
            <w:sz w:val="20"/>
            <w:szCs w:val="20"/>
          </w:rPr>
          <w:t>13</w:t>
        </w:r>
        <w:r w:rsidRPr="00756A15">
          <w:rPr>
            <w:noProof/>
            <w:sz w:val="20"/>
            <w:szCs w:val="20"/>
          </w:rPr>
          <w:fldChar w:fldCharType="end"/>
        </w:r>
      </w:p>
    </w:sdtContent>
  </w:sdt>
  <w:p w:rsidR="00756A15" w:rsidRDefault="00756A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1911" w:rsidRDefault="00841911" w:rsidP="00756A15">
      <w:pPr>
        <w:spacing w:line="240" w:lineRule="auto"/>
      </w:pPr>
      <w:r>
        <w:separator/>
      </w:r>
    </w:p>
  </w:footnote>
  <w:footnote w:type="continuationSeparator" w:id="1">
    <w:p w:rsidR="00841911" w:rsidRDefault="00841911" w:rsidP="00756A1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E0D47"/>
    <w:rsid w:val="000353BE"/>
    <w:rsid w:val="0022146D"/>
    <w:rsid w:val="00237510"/>
    <w:rsid w:val="002E0D47"/>
    <w:rsid w:val="00422539"/>
    <w:rsid w:val="00442CFF"/>
    <w:rsid w:val="00480893"/>
    <w:rsid w:val="00552118"/>
    <w:rsid w:val="005630F2"/>
    <w:rsid w:val="005E3D98"/>
    <w:rsid w:val="006E0A5E"/>
    <w:rsid w:val="00756A15"/>
    <w:rsid w:val="00794B3A"/>
    <w:rsid w:val="007A36FD"/>
    <w:rsid w:val="008068EB"/>
    <w:rsid w:val="0081092C"/>
    <w:rsid w:val="00836099"/>
    <w:rsid w:val="00841911"/>
    <w:rsid w:val="009417A7"/>
    <w:rsid w:val="00956EF6"/>
    <w:rsid w:val="00A75E4F"/>
    <w:rsid w:val="00A83C20"/>
    <w:rsid w:val="00B16F08"/>
    <w:rsid w:val="00BB5899"/>
    <w:rsid w:val="00BE7DE3"/>
    <w:rsid w:val="00C6225C"/>
    <w:rsid w:val="00CB5136"/>
    <w:rsid w:val="00D807AD"/>
    <w:rsid w:val="00E612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6F08"/>
  </w:style>
  <w:style w:type="paragraph" w:styleId="Heading1">
    <w:name w:val="heading 1"/>
    <w:basedOn w:val="Normal"/>
    <w:next w:val="Normal"/>
    <w:uiPriority w:val="9"/>
    <w:qFormat/>
    <w:rsid w:val="00B16F08"/>
    <w:pPr>
      <w:keepNext/>
      <w:keepLines/>
      <w:outlineLvl w:val="0"/>
    </w:pPr>
    <w:rPr>
      <w:b/>
    </w:rPr>
  </w:style>
  <w:style w:type="paragraph" w:styleId="Heading2">
    <w:name w:val="heading 2"/>
    <w:basedOn w:val="Normal"/>
    <w:next w:val="Normal"/>
    <w:uiPriority w:val="9"/>
    <w:unhideWhenUsed/>
    <w:qFormat/>
    <w:rsid w:val="00B16F08"/>
    <w:pPr>
      <w:keepNext/>
      <w:keepLines/>
      <w:outlineLvl w:val="1"/>
    </w:pPr>
    <w:rPr>
      <w:b/>
    </w:rPr>
  </w:style>
  <w:style w:type="paragraph" w:styleId="Heading3">
    <w:name w:val="heading 3"/>
    <w:basedOn w:val="Normal"/>
    <w:next w:val="Normal"/>
    <w:uiPriority w:val="9"/>
    <w:semiHidden/>
    <w:unhideWhenUsed/>
    <w:qFormat/>
    <w:rsid w:val="00B16F08"/>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16F08"/>
    <w:pPr>
      <w:keepNext/>
      <w:keepLines/>
      <w:spacing w:before="280" w:after="80"/>
      <w:outlineLvl w:val="3"/>
    </w:pPr>
    <w:rPr>
      <w:color w:val="666666"/>
    </w:rPr>
  </w:style>
  <w:style w:type="paragraph" w:styleId="Heading5">
    <w:name w:val="heading 5"/>
    <w:basedOn w:val="Normal"/>
    <w:next w:val="Normal"/>
    <w:uiPriority w:val="9"/>
    <w:semiHidden/>
    <w:unhideWhenUsed/>
    <w:qFormat/>
    <w:rsid w:val="00B16F08"/>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16F0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16F08"/>
    <w:pPr>
      <w:keepNext/>
      <w:keepLines/>
      <w:spacing w:after="60"/>
    </w:pPr>
    <w:rPr>
      <w:sz w:val="52"/>
      <w:szCs w:val="52"/>
    </w:rPr>
  </w:style>
  <w:style w:type="paragraph" w:styleId="Subtitle">
    <w:name w:val="Subtitle"/>
    <w:basedOn w:val="Normal"/>
    <w:next w:val="Normal"/>
    <w:uiPriority w:val="11"/>
    <w:qFormat/>
    <w:rsid w:val="00B16F08"/>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B16F08"/>
    <w:pPr>
      <w:spacing w:line="240" w:lineRule="auto"/>
    </w:pPr>
    <w:rPr>
      <w:sz w:val="20"/>
      <w:szCs w:val="20"/>
    </w:rPr>
  </w:style>
  <w:style w:type="character" w:customStyle="1" w:styleId="CommentTextChar">
    <w:name w:val="Comment Text Char"/>
    <w:basedOn w:val="DefaultParagraphFont"/>
    <w:link w:val="CommentText"/>
    <w:uiPriority w:val="99"/>
    <w:semiHidden/>
    <w:rsid w:val="00B16F08"/>
    <w:rPr>
      <w:sz w:val="20"/>
      <w:szCs w:val="20"/>
    </w:rPr>
  </w:style>
  <w:style w:type="character" w:styleId="CommentReference">
    <w:name w:val="annotation reference"/>
    <w:basedOn w:val="DefaultParagraphFont"/>
    <w:uiPriority w:val="99"/>
    <w:semiHidden/>
    <w:unhideWhenUsed/>
    <w:rsid w:val="00B16F08"/>
    <w:rPr>
      <w:sz w:val="16"/>
      <w:szCs w:val="16"/>
    </w:rPr>
  </w:style>
  <w:style w:type="paragraph" w:styleId="TOCHeading">
    <w:name w:val="TOC Heading"/>
    <w:basedOn w:val="Heading1"/>
    <w:next w:val="Normal"/>
    <w:uiPriority w:val="39"/>
    <w:unhideWhenUsed/>
    <w:qFormat/>
    <w:rsid w:val="00E612B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E612BE"/>
    <w:pPr>
      <w:spacing w:after="100"/>
      <w:ind w:left="240"/>
    </w:pPr>
  </w:style>
  <w:style w:type="paragraph" w:styleId="TOC1">
    <w:name w:val="toc 1"/>
    <w:basedOn w:val="Normal"/>
    <w:next w:val="Normal"/>
    <w:autoRedefine/>
    <w:uiPriority w:val="39"/>
    <w:unhideWhenUsed/>
    <w:rsid w:val="00E612BE"/>
    <w:pPr>
      <w:spacing w:after="100"/>
    </w:pPr>
  </w:style>
  <w:style w:type="character" w:styleId="Hyperlink">
    <w:name w:val="Hyperlink"/>
    <w:basedOn w:val="DefaultParagraphFont"/>
    <w:uiPriority w:val="99"/>
    <w:unhideWhenUsed/>
    <w:rsid w:val="00E612BE"/>
    <w:rPr>
      <w:color w:val="0000FF" w:themeColor="hyperlink"/>
      <w:u w:val="single"/>
    </w:rPr>
  </w:style>
  <w:style w:type="paragraph" w:styleId="Header">
    <w:name w:val="header"/>
    <w:basedOn w:val="Normal"/>
    <w:link w:val="HeaderChar"/>
    <w:uiPriority w:val="99"/>
    <w:unhideWhenUsed/>
    <w:rsid w:val="00756A15"/>
    <w:pPr>
      <w:tabs>
        <w:tab w:val="center" w:pos="4680"/>
        <w:tab w:val="right" w:pos="9360"/>
      </w:tabs>
      <w:spacing w:line="240" w:lineRule="auto"/>
    </w:pPr>
  </w:style>
  <w:style w:type="character" w:customStyle="1" w:styleId="HeaderChar">
    <w:name w:val="Header Char"/>
    <w:basedOn w:val="DefaultParagraphFont"/>
    <w:link w:val="Header"/>
    <w:uiPriority w:val="99"/>
    <w:rsid w:val="00756A15"/>
  </w:style>
  <w:style w:type="paragraph" w:styleId="Footer">
    <w:name w:val="footer"/>
    <w:basedOn w:val="Normal"/>
    <w:link w:val="FooterChar"/>
    <w:uiPriority w:val="99"/>
    <w:unhideWhenUsed/>
    <w:rsid w:val="00756A15"/>
    <w:pPr>
      <w:tabs>
        <w:tab w:val="center" w:pos="4680"/>
        <w:tab w:val="right" w:pos="9360"/>
      </w:tabs>
      <w:spacing w:line="240" w:lineRule="auto"/>
    </w:pPr>
  </w:style>
  <w:style w:type="character" w:customStyle="1" w:styleId="FooterChar">
    <w:name w:val="Footer Char"/>
    <w:basedOn w:val="DefaultParagraphFont"/>
    <w:link w:val="Footer"/>
    <w:uiPriority w:val="99"/>
    <w:rsid w:val="00756A15"/>
  </w:style>
  <w:style w:type="paragraph" w:styleId="BalloonText">
    <w:name w:val="Balloon Text"/>
    <w:basedOn w:val="Normal"/>
    <w:link w:val="BalloonTextChar"/>
    <w:uiPriority w:val="99"/>
    <w:semiHidden/>
    <w:unhideWhenUsed/>
    <w:rsid w:val="00BB58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8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06369-1FB0-4383-A7F6-3C9D1E8CA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3331</Words>
  <Characters>18987</Characters>
  <Application>Microsoft Office Word</Application>
  <DocSecurity>0</DocSecurity>
  <Lines>158</Lines>
  <Paragraphs>44</Paragraphs>
  <ScaleCrop>false</ScaleCrop>
  <Company/>
  <LinksUpToDate>false</LinksUpToDate>
  <CharactersWithSpaces>22274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105</cp:revision>
  <dcterms:created xsi:type="dcterms:W3CDTF">2022-07-26T06:55:00Z</dcterms:created>
  <dcterms:modified xsi:type="dcterms:W3CDTF">2022-07-26T08:21:00Z</dcterms:modified>
</cp:coreProperties>
</file>