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16460E" w:rsidRDefault="00063B4C" w:rsidP="00CF01E1">
      <w:pPr>
        <w:jc w:val="left"/>
        <w:rPr>
          <w:rFonts w:ascii="Arial" w:hAnsi="Arial" w:cs="Arial"/>
        </w:rPr>
      </w:pPr>
      <w:r w:rsidRPr="0016460E">
        <w:rPr>
          <w:rFonts w:ascii="Arial" w:hAnsi="Arial" w:cs="Arial"/>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16460E" w:rsidRDefault="00063B4C" w:rsidP="00CF01E1">
      <w:pPr>
        <w:jc w:val="left"/>
        <w:rPr>
          <w:rFonts w:ascii="Arial" w:hAnsi="Arial" w:cs="Arial"/>
        </w:rPr>
      </w:pPr>
    </w:p>
    <w:p w14:paraId="00DE7510" w14:textId="684CC594" w:rsidR="00063B4C" w:rsidRPr="005B52F2" w:rsidRDefault="00063B4C" w:rsidP="00CF01E1">
      <w:pPr>
        <w:jc w:val="left"/>
        <w:rPr>
          <w:rFonts w:ascii="Arial" w:hAnsi="Arial" w:cs="Arial"/>
          <w:sz w:val="60"/>
          <w:szCs w:val="60"/>
        </w:rPr>
      </w:pPr>
    </w:p>
    <w:p w14:paraId="62B6C1AB" w14:textId="77777777" w:rsidR="00063B4C" w:rsidRPr="005B52F2" w:rsidRDefault="00063B4C" w:rsidP="00CF01E1">
      <w:pPr>
        <w:jc w:val="left"/>
        <w:rPr>
          <w:rFonts w:ascii="Arial" w:hAnsi="Arial" w:cs="Arial"/>
          <w:sz w:val="60"/>
          <w:szCs w:val="60"/>
        </w:rPr>
      </w:pPr>
    </w:p>
    <w:p w14:paraId="19C1447B" w14:textId="77777777" w:rsidR="00063B4C" w:rsidRPr="005B52F2" w:rsidRDefault="00063B4C" w:rsidP="00CF01E1">
      <w:pPr>
        <w:ind w:right="1229"/>
        <w:jc w:val="left"/>
        <w:rPr>
          <w:rFonts w:ascii="Arial" w:hAnsi="Arial" w:cs="Arial"/>
          <w:sz w:val="60"/>
          <w:szCs w:val="60"/>
        </w:rPr>
      </w:pPr>
    </w:p>
    <w:p w14:paraId="4BD32C57" w14:textId="2FA64C13" w:rsidR="00063B4C" w:rsidRPr="005B52F2" w:rsidRDefault="00063B4C" w:rsidP="00EA53E8">
      <w:pPr>
        <w:ind w:right="1229"/>
        <w:jc w:val="center"/>
        <w:rPr>
          <w:rFonts w:ascii="Arial" w:hAnsi="Arial" w:cs="Arial"/>
          <w:sz w:val="60"/>
          <w:szCs w:val="60"/>
        </w:rPr>
      </w:pPr>
      <w:r w:rsidRPr="005B52F2">
        <w:rPr>
          <w:rFonts w:ascii="Arial" w:hAnsi="Arial" w:cs="Arial"/>
          <w:sz w:val="60"/>
          <w:szCs w:val="60"/>
        </w:rPr>
        <w:t>Institute of Inner-City Learning Birmingham Campus</w:t>
      </w:r>
    </w:p>
    <w:p w14:paraId="7F58ECA1" w14:textId="77777777" w:rsidR="00063B4C" w:rsidRPr="005B52F2" w:rsidRDefault="00063B4C" w:rsidP="00EA53E8">
      <w:pPr>
        <w:pStyle w:val="BodyText"/>
        <w:jc w:val="center"/>
        <w:rPr>
          <w:rFonts w:cs="Arial"/>
          <w:sz w:val="60"/>
          <w:szCs w:val="60"/>
        </w:rPr>
      </w:pPr>
    </w:p>
    <w:p w14:paraId="2E1C9484" w14:textId="5D4A566D" w:rsidR="00604A87" w:rsidRPr="005B52F2" w:rsidRDefault="00063B4C" w:rsidP="00EA53E8">
      <w:pPr>
        <w:spacing w:line="813" w:lineRule="exact"/>
        <w:jc w:val="center"/>
        <w:rPr>
          <w:rFonts w:ascii="Arial" w:eastAsia="Calibri Light" w:hAnsi="Arial" w:cs="Arial"/>
          <w:b/>
          <w:kern w:val="0"/>
          <w:sz w:val="60"/>
          <w:szCs w:val="60"/>
          <w:lang w:eastAsia="en-GB" w:bidi="en-GB"/>
          <w14:ligatures w14:val="none"/>
        </w:rPr>
      </w:pPr>
      <w:r w:rsidRPr="005B52F2">
        <w:rPr>
          <w:rFonts w:ascii="Arial" w:hAnsi="Arial" w:cs="Arial"/>
          <w:sz w:val="60"/>
          <w:szCs w:val="60"/>
        </w:rPr>
        <w:t>BSc (Hons) Health and Social Care</w:t>
      </w:r>
      <w:r w:rsidRPr="005B52F2">
        <w:rPr>
          <w:rFonts w:ascii="Arial" w:hAnsi="Arial" w:cs="Arial"/>
          <w:sz w:val="60"/>
          <w:szCs w:val="60"/>
        </w:rPr>
        <w:br/>
      </w:r>
    </w:p>
    <w:p w14:paraId="17D76D78" w14:textId="77777777" w:rsidR="00035317" w:rsidRPr="0016460E" w:rsidRDefault="00035317" w:rsidP="00CF01E1">
      <w:pPr>
        <w:spacing w:line="813" w:lineRule="exact"/>
        <w:jc w:val="left"/>
        <w:rPr>
          <w:rFonts w:ascii="Arial" w:eastAsia="Calibri Light" w:hAnsi="Arial" w:cs="Arial"/>
          <w:b/>
          <w:kern w:val="0"/>
          <w:lang w:eastAsia="en-GB" w:bidi="en-GB"/>
          <w14:ligatures w14:val="none"/>
        </w:rPr>
      </w:pPr>
    </w:p>
    <w:p w14:paraId="48794EF6" w14:textId="77777777" w:rsidR="005B52F2" w:rsidRDefault="005B52F2" w:rsidP="00CF01E1">
      <w:pPr>
        <w:jc w:val="left"/>
        <w:rPr>
          <w:rFonts w:ascii="Arial" w:eastAsia="Calibri Light" w:hAnsi="Arial" w:cs="Arial"/>
          <w:b/>
          <w:kern w:val="0"/>
          <w:lang w:eastAsia="en-GB" w:bidi="en-GB"/>
          <w14:ligatures w14:val="none"/>
        </w:rPr>
      </w:pPr>
    </w:p>
    <w:p w14:paraId="372C599A" w14:textId="77777777" w:rsidR="005B52F2" w:rsidRDefault="005B52F2" w:rsidP="00CF01E1">
      <w:pPr>
        <w:jc w:val="left"/>
        <w:rPr>
          <w:rFonts w:ascii="Arial" w:eastAsia="Times New Roman" w:hAnsi="Arial" w:cs="Arial"/>
          <w:b/>
        </w:rPr>
      </w:pPr>
    </w:p>
    <w:p w14:paraId="0356909F" w14:textId="77777777" w:rsidR="005B52F2" w:rsidRPr="0016460E" w:rsidRDefault="005B52F2" w:rsidP="00CF01E1">
      <w:pPr>
        <w:jc w:val="left"/>
        <w:rPr>
          <w:rFonts w:ascii="Arial" w:eastAsia="Times New Roman" w:hAnsi="Arial" w:cs="Arial"/>
          <w:b/>
        </w:rPr>
      </w:pPr>
    </w:p>
    <w:p w14:paraId="3492E4C4" w14:textId="45AA03BC" w:rsidR="00604A87" w:rsidRPr="00D13341" w:rsidRDefault="00604A87" w:rsidP="009B7A61">
      <w:pPr>
        <w:jc w:val="center"/>
        <w:rPr>
          <w:rFonts w:ascii="Arial" w:eastAsia="Times New Roman" w:hAnsi="Arial" w:cs="Arial"/>
          <w:b/>
          <w:sz w:val="32"/>
          <w:szCs w:val="32"/>
        </w:rPr>
      </w:pPr>
      <w:r w:rsidRPr="00D13341">
        <w:rPr>
          <w:rFonts w:ascii="Arial" w:eastAsia="Times New Roman" w:hAnsi="Arial" w:cs="Arial"/>
          <w:b/>
          <w:sz w:val="32"/>
          <w:szCs w:val="32"/>
        </w:rPr>
        <w:lastRenderedPageBreak/>
        <w:t>DECLARATION</w:t>
      </w:r>
    </w:p>
    <w:p w14:paraId="113CAAED" w14:textId="401DFEDE" w:rsidR="00604A87" w:rsidRPr="0016460E" w:rsidRDefault="00087C72" w:rsidP="00CF01E1">
      <w:pPr>
        <w:jc w:val="left"/>
        <w:rPr>
          <w:rFonts w:ascii="Arial" w:eastAsia="Times New Roman" w:hAnsi="Arial" w:cs="Arial"/>
        </w:rPr>
      </w:pPr>
      <w:r w:rsidRPr="0016460E">
        <w:rPr>
          <w:noProof/>
        </w:rPr>
        <w:drawing>
          <wp:anchor distT="0" distB="0" distL="114300" distR="114300" simplePos="0" relativeHeight="251661312" behindDoc="1" locked="0" layoutInCell="1" allowOverlap="1" wp14:anchorId="2C48B427" wp14:editId="658EF569">
            <wp:simplePos x="0" y="0"/>
            <wp:positionH relativeFrom="margin">
              <wp:posOffset>351790</wp:posOffset>
            </wp:positionH>
            <wp:positionV relativeFrom="paragraph">
              <wp:posOffset>474345</wp:posOffset>
            </wp:positionV>
            <wp:extent cx="1396365" cy="419100"/>
            <wp:effectExtent l="0" t="0" r="0" b="0"/>
            <wp:wrapTight wrapText="bothSides">
              <wp:wrapPolygon edited="0">
                <wp:start x="4420" y="2945"/>
                <wp:lineTo x="3831" y="12764"/>
                <wp:lineTo x="12966" y="16691"/>
                <wp:lineTo x="14439" y="16691"/>
                <wp:lineTo x="17975" y="11782"/>
                <wp:lineTo x="16502" y="4909"/>
                <wp:lineTo x="5894" y="2945"/>
                <wp:lineTo x="4420" y="2945"/>
              </wp:wrapPolygon>
            </wp:wrapTight>
            <wp:docPr id="997877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636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A87" w:rsidRPr="0016460E">
        <w:rPr>
          <w:rFonts w:ascii="Arial" w:eastAsia="Times New Roman" w:hAnsi="Arial" w:cs="Arial"/>
        </w:rPr>
        <w:t>This work has not previously been accepted in substance for any degree and is not being concurrently submitted in candidature for any degree</w:t>
      </w:r>
    </w:p>
    <w:p w14:paraId="3EF51212" w14:textId="18E7DE48" w:rsidR="00604A87" w:rsidRPr="0016460E" w:rsidRDefault="00604A87" w:rsidP="00CF01E1">
      <w:pPr>
        <w:jc w:val="left"/>
        <w:rPr>
          <w:rFonts w:ascii="Arial" w:eastAsia="Times New Roman" w:hAnsi="Arial" w:cs="Arial"/>
        </w:rPr>
      </w:pPr>
      <w:r w:rsidRPr="0016460E">
        <w:rPr>
          <w:rFonts w:ascii="Arial" w:eastAsia="Times New Roman" w:hAnsi="Arial" w:cs="Arial"/>
        </w:rPr>
        <w:t>Signed</w:t>
      </w:r>
      <w:r w:rsidR="00087C72" w:rsidRPr="0016460E">
        <w:rPr>
          <w:rFonts w:ascii="Arial" w:eastAsia="Times New Roman" w:hAnsi="Arial" w:cs="Arial"/>
        </w:rPr>
        <w:t xml:space="preserve">: </w:t>
      </w:r>
    </w:p>
    <w:p w14:paraId="16B6CB34" w14:textId="1A1C4BFD" w:rsidR="00604A87" w:rsidRPr="0016460E" w:rsidRDefault="00604A87" w:rsidP="00CF01E1">
      <w:pPr>
        <w:jc w:val="left"/>
        <w:rPr>
          <w:rFonts w:ascii="Arial" w:eastAsia="Times New Roman" w:hAnsi="Arial" w:cs="Arial"/>
        </w:rPr>
      </w:pPr>
      <w:r w:rsidRPr="0016460E">
        <w:rPr>
          <w:rFonts w:ascii="Arial" w:eastAsia="Times New Roman" w:hAnsi="Arial" w:cs="Arial"/>
        </w:rPr>
        <w:t>Date</w:t>
      </w:r>
      <w:r w:rsidR="00087C72" w:rsidRPr="0016460E">
        <w:rPr>
          <w:rFonts w:ascii="Arial" w:eastAsia="Times New Roman" w:hAnsi="Arial" w:cs="Arial"/>
        </w:rPr>
        <w:t>: 29</w:t>
      </w:r>
      <w:r w:rsidR="00087C72" w:rsidRPr="0016460E">
        <w:rPr>
          <w:rFonts w:ascii="Arial" w:eastAsia="Times New Roman" w:hAnsi="Arial" w:cs="Arial"/>
          <w:vertAlign w:val="superscript"/>
        </w:rPr>
        <w:t>th</w:t>
      </w:r>
      <w:r w:rsidR="00087C72" w:rsidRPr="0016460E">
        <w:rPr>
          <w:rFonts w:ascii="Arial" w:eastAsia="Times New Roman" w:hAnsi="Arial" w:cs="Arial"/>
        </w:rPr>
        <w:t xml:space="preserve"> March 2026</w:t>
      </w:r>
    </w:p>
    <w:p w14:paraId="7D9E43A8" w14:textId="754863A0" w:rsidR="00604A87" w:rsidRPr="0016460E" w:rsidRDefault="00604A87" w:rsidP="00CF01E1">
      <w:pPr>
        <w:jc w:val="left"/>
        <w:rPr>
          <w:rFonts w:ascii="Arial" w:eastAsia="Times New Roman" w:hAnsi="Arial" w:cs="Arial"/>
          <w:bCs/>
          <w:kern w:val="32"/>
        </w:rPr>
      </w:pPr>
      <w:r w:rsidRPr="0016460E">
        <w:rPr>
          <w:rFonts w:ascii="Arial" w:eastAsia="Times New Roman" w:hAnsi="Arial" w:cs="Arial"/>
          <w:b/>
        </w:rPr>
        <w:t xml:space="preserve">STATEMENT 1 </w:t>
      </w:r>
    </w:p>
    <w:p w14:paraId="189DE0A6" w14:textId="3BEFDAD8" w:rsidR="00604A87" w:rsidRPr="0016460E" w:rsidRDefault="00087C72" w:rsidP="00CF01E1">
      <w:pPr>
        <w:jc w:val="left"/>
        <w:rPr>
          <w:rFonts w:ascii="Arial" w:eastAsia="Times New Roman" w:hAnsi="Arial" w:cs="Arial"/>
        </w:rPr>
      </w:pPr>
      <w:r w:rsidRPr="0016460E">
        <w:rPr>
          <w:noProof/>
        </w:rPr>
        <w:drawing>
          <wp:anchor distT="0" distB="0" distL="114300" distR="114300" simplePos="0" relativeHeight="251663360" behindDoc="1" locked="0" layoutInCell="1" allowOverlap="1" wp14:anchorId="686DAFF9" wp14:editId="00194C40">
            <wp:simplePos x="0" y="0"/>
            <wp:positionH relativeFrom="margin">
              <wp:posOffset>349250</wp:posOffset>
            </wp:positionH>
            <wp:positionV relativeFrom="paragraph">
              <wp:posOffset>476250</wp:posOffset>
            </wp:positionV>
            <wp:extent cx="1396365" cy="419100"/>
            <wp:effectExtent l="0" t="0" r="0" b="0"/>
            <wp:wrapTight wrapText="bothSides">
              <wp:wrapPolygon edited="0">
                <wp:start x="4420" y="2945"/>
                <wp:lineTo x="3831" y="12764"/>
                <wp:lineTo x="12966" y="16691"/>
                <wp:lineTo x="14439" y="16691"/>
                <wp:lineTo x="17975" y="11782"/>
                <wp:lineTo x="16502" y="4909"/>
                <wp:lineTo x="5894" y="2945"/>
                <wp:lineTo x="4420" y="2945"/>
              </wp:wrapPolygon>
            </wp:wrapTight>
            <wp:docPr id="20501996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636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A87" w:rsidRPr="0016460E">
        <w:rPr>
          <w:rFonts w:ascii="Arial" w:eastAsia="Times New Roman" w:hAnsi="Arial" w:cs="Arial"/>
        </w:rPr>
        <w:t>This dissertation is being submitted in partial fulfilment of the requirements for the degree of BSc.</w:t>
      </w:r>
    </w:p>
    <w:p w14:paraId="15926FE9" w14:textId="6A36E428" w:rsidR="00087C72" w:rsidRPr="0016460E" w:rsidRDefault="00087C72" w:rsidP="00CF01E1">
      <w:pPr>
        <w:jc w:val="left"/>
        <w:rPr>
          <w:rFonts w:ascii="Arial" w:eastAsia="Times New Roman" w:hAnsi="Arial" w:cs="Arial"/>
        </w:rPr>
      </w:pPr>
      <w:r w:rsidRPr="0016460E">
        <w:rPr>
          <w:rFonts w:ascii="Arial" w:eastAsia="Times New Roman" w:hAnsi="Arial" w:cs="Arial"/>
        </w:rPr>
        <w:t xml:space="preserve">Signed: </w:t>
      </w:r>
    </w:p>
    <w:p w14:paraId="2DDBF864" w14:textId="0C19D940" w:rsidR="00087C72" w:rsidRPr="0016460E" w:rsidRDefault="00087C72" w:rsidP="00CF01E1">
      <w:pPr>
        <w:jc w:val="left"/>
        <w:rPr>
          <w:rFonts w:ascii="Arial" w:eastAsia="Times New Roman" w:hAnsi="Arial" w:cs="Arial"/>
        </w:rPr>
      </w:pPr>
      <w:r w:rsidRPr="0016460E">
        <w:rPr>
          <w:rFonts w:ascii="Arial" w:eastAsia="Times New Roman" w:hAnsi="Arial" w:cs="Arial"/>
        </w:rPr>
        <w:t>Date: 29</w:t>
      </w:r>
      <w:r w:rsidRPr="0016460E">
        <w:rPr>
          <w:rFonts w:ascii="Arial" w:eastAsia="Times New Roman" w:hAnsi="Arial" w:cs="Arial"/>
          <w:vertAlign w:val="superscript"/>
        </w:rPr>
        <w:t>th</w:t>
      </w:r>
      <w:r w:rsidRPr="0016460E">
        <w:rPr>
          <w:rFonts w:ascii="Arial" w:eastAsia="Times New Roman" w:hAnsi="Arial" w:cs="Arial"/>
        </w:rPr>
        <w:t xml:space="preserve"> March 2026</w:t>
      </w:r>
    </w:p>
    <w:p w14:paraId="713B64B9" w14:textId="1CC52142" w:rsidR="00604A87" w:rsidRPr="0016460E" w:rsidRDefault="00604A87" w:rsidP="00CF01E1">
      <w:pPr>
        <w:jc w:val="left"/>
        <w:rPr>
          <w:rFonts w:ascii="Arial" w:eastAsia="Times New Roman" w:hAnsi="Arial" w:cs="Arial"/>
        </w:rPr>
      </w:pPr>
      <w:r w:rsidRPr="0016460E">
        <w:rPr>
          <w:rFonts w:ascii="Arial" w:eastAsia="Times New Roman" w:hAnsi="Arial" w:cs="Arial"/>
          <w:b/>
        </w:rPr>
        <w:t>STATEMENT 2</w:t>
      </w:r>
    </w:p>
    <w:p w14:paraId="4AA5D04A" w14:textId="64F7E90A" w:rsidR="00604A87" w:rsidRPr="0016460E" w:rsidRDefault="00087C72" w:rsidP="00CF01E1">
      <w:pPr>
        <w:jc w:val="left"/>
        <w:rPr>
          <w:rFonts w:ascii="Arial" w:eastAsia="Times New Roman" w:hAnsi="Arial" w:cs="Arial"/>
        </w:rPr>
      </w:pPr>
      <w:r w:rsidRPr="0016460E">
        <w:rPr>
          <w:noProof/>
        </w:rPr>
        <w:drawing>
          <wp:anchor distT="0" distB="0" distL="114300" distR="114300" simplePos="0" relativeHeight="251665408" behindDoc="1" locked="0" layoutInCell="1" allowOverlap="1" wp14:anchorId="37E42BF1" wp14:editId="57BC0C48">
            <wp:simplePos x="0" y="0"/>
            <wp:positionH relativeFrom="margin">
              <wp:posOffset>508000</wp:posOffset>
            </wp:positionH>
            <wp:positionV relativeFrom="paragraph">
              <wp:posOffset>693420</wp:posOffset>
            </wp:positionV>
            <wp:extent cx="1396365" cy="419100"/>
            <wp:effectExtent l="0" t="0" r="0" b="0"/>
            <wp:wrapTight wrapText="bothSides">
              <wp:wrapPolygon edited="0">
                <wp:start x="4420" y="2945"/>
                <wp:lineTo x="3831" y="12764"/>
                <wp:lineTo x="12966" y="16691"/>
                <wp:lineTo x="14439" y="16691"/>
                <wp:lineTo x="17975" y="11782"/>
                <wp:lineTo x="16502" y="4909"/>
                <wp:lineTo x="5894" y="2945"/>
                <wp:lineTo x="4420" y="2945"/>
              </wp:wrapPolygon>
            </wp:wrapTight>
            <wp:docPr id="934952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636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A87" w:rsidRPr="0016460E">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530185B5" w14:textId="77777777" w:rsidR="00087C72" w:rsidRPr="0016460E" w:rsidRDefault="00087C72" w:rsidP="00CF01E1">
      <w:pPr>
        <w:jc w:val="left"/>
        <w:rPr>
          <w:rFonts w:ascii="Arial" w:eastAsia="Times New Roman" w:hAnsi="Arial" w:cs="Arial"/>
        </w:rPr>
      </w:pPr>
      <w:r w:rsidRPr="0016460E">
        <w:rPr>
          <w:rFonts w:ascii="Arial" w:eastAsia="Times New Roman" w:hAnsi="Arial" w:cs="Arial"/>
        </w:rPr>
        <w:t xml:space="preserve">Signed: </w:t>
      </w:r>
    </w:p>
    <w:p w14:paraId="7C734F63" w14:textId="661CECEA" w:rsidR="00087C72" w:rsidRPr="0016460E" w:rsidRDefault="00087C72" w:rsidP="00CF01E1">
      <w:pPr>
        <w:jc w:val="left"/>
        <w:rPr>
          <w:rFonts w:ascii="Arial" w:eastAsia="Times New Roman" w:hAnsi="Arial" w:cs="Arial"/>
        </w:rPr>
      </w:pPr>
      <w:r w:rsidRPr="0016460E">
        <w:rPr>
          <w:rFonts w:ascii="Arial" w:eastAsia="Times New Roman" w:hAnsi="Arial" w:cs="Arial"/>
        </w:rPr>
        <w:t>Date: 29</w:t>
      </w:r>
      <w:r w:rsidRPr="0016460E">
        <w:rPr>
          <w:rFonts w:ascii="Arial" w:eastAsia="Times New Roman" w:hAnsi="Arial" w:cs="Arial"/>
          <w:vertAlign w:val="superscript"/>
        </w:rPr>
        <w:t>th</w:t>
      </w:r>
      <w:r w:rsidRPr="0016460E">
        <w:rPr>
          <w:rFonts w:ascii="Arial" w:eastAsia="Times New Roman" w:hAnsi="Arial" w:cs="Arial"/>
        </w:rPr>
        <w:t xml:space="preserve"> March 2026</w:t>
      </w:r>
    </w:p>
    <w:p w14:paraId="42D5D0C6" w14:textId="3DDE8F0D" w:rsidR="00604A87" w:rsidRPr="0016460E" w:rsidRDefault="00604A87" w:rsidP="00CF01E1">
      <w:pPr>
        <w:jc w:val="left"/>
        <w:rPr>
          <w:rFonts w:ascii="Arial" w:eastAsia="Times New Roman" w:hAnsi="Arial" w:cs="Arial"/>
        </w:rPr>
      </w:pPr>
      <w:r w:rsidRPr="0016460E">
        <w:rPr>
          <w:rFonts w:ascii="Arial" w:eastAsia="Times New Roman" w:hAnsi="Arial" w:cs="Arial"/>
          <w:b/>
        </w:rPr>
        <w:t>STATEMENT 3</w:t>
      </w:r>
    </w:p>
    <w:p w14:paraId="4B58546E" w14:textId="796E342B" w:rsidR="00604A87" w:rsidRPr="0016460E" w:rsidRDefault="00B05F2E" w:rsidP="00CF01E1">
      <w:pPr>
        <w:jc w:val="left"/>
        <w:rPr>
          <w:rFonts w:ascii="Arial" w:eastAsia="Times New Roman" w:hAnsi="Arial" w:cs="Arial"/>
        </w:rPr>
      </w:pPr>
      <w:r w:rsidRPr="0016460E">
        <w:rPr>
          <w:noProof/>
        </w:rPr>
        <w:drawing>
          <wp:anchor distT="0" distB="0" distL="114300" distR="114300" simplePos="0" relativeHeight="251667456" behindDoc="1" locked="0" layoutInCell="1" allowOverlap="1" wp14:anchorId="6E98499B" wp14:editId="052F44FA">
            <wp:simplePos x="0" y="0"/>
            <wp:positionH relativeFrom="margin">
              <wp:posOffset>469900</wp:posOffset>
            </wp:positionH>
            <wp:positionV relativeFrom="paragraph">
              <wp:posOffset>676910</wp:posOffset>
            </wp:positionV>
            <wp:extent cx="1396365" cy="419100"/>
            <wp:effectExtent l="0" t="0" r="0" b="0"/>
            <wp:wrapTight wrapText="bothSides">
              <wp:wrapPolygon edited="0">
                <wp:start x="4420" y="2945"/>
                <wp:lineTo x="3831" y="12764"/>
                <wp:lineTo x="12966" y="16691"/>
                <wp:lineTo x="14439" y="16691"/>
                <wp:lineTo x="17975" y="11782"/>
                <wp:lineTo x="16502" y="4909"/>
                <wp:lineTo x="5894" y="2945"/>
                <wp:lineTo x="4420" y="2945"/>
              </wp:wrapPolygon>
            </wp:wrapTight>
            <wp:docPr id="58317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636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A87" w:rsidRPr="0016460E">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3B30DCE" w14:textId="03416A92" w:rsidR="00B05F2E" w:rsidRPr="0016460E" w:rsidRDefault="00B05F2E" w:rsidP="00CF01E1">
      <w:pPr>
        <w:jc w:val="left"/>
        <w:rPr>
          <w:rFonts w:ascii="Arial" w:eastAsia="Times New Roman" w:hAnsi="Arial" w:cs="Arial"/>
        </w:rPr>
      </w:pPr>
      <w:r w:rsidRPr="0016460E">
        <w:rPr>
          <w:rFonts w:ascii="Arial" w:eastAsia="Times New Roman" w:hAnsi="Arial" w:cs="Arial"/>
        </w:rPr>
        <w:t xml:space="preserve">Signed: </w:t>
      </w:r>
    </w:p>
    <w:p w14:paraId="17258529" w14:textId="24AA85AD" w:rsidR="00B05F2E" w:rsidRPr="0016460E" w:rsidRDefault="00B05F2E" w:rsidP="00CF01E1">
      <w:pPr>
        <w:jc w:val="left"/>
        <w:rPr>
          <w:rFonts w:ascii="Arial" w:eastAsia="Times New Roman" w:hAnsi="Arial" w:cs="Arial"/>
        </w:rPr>
      </w:pPr>
      <w:r w:rsidRPr="0016460E">
        <w:rPr>
          <w:rFonts w:ascii="Arial" w:eastAsia="Times New Roman" w:hAnsi="Arial" w:cs="Arial"/>
        </w:rPr>
        <w:t>Date: 29</w:t>
      </w:r>
      <w:r w:rsidRPr="0016460E">
        <w:rPr>
          <w:rFonts w:ascii="Arial" w:eastAsia="Times New Roman" w:hAnsi="Arial" w:cs="Arial"/>
          <w:vertAlign w:val="superscript"/>
        </w:rPr>
        <w:t>th</w:t>
      </w:r>
      <w:r w:rsidRPr="0016460E">
        <w:rPr>
          <w:rFonts w:ascii="Arial" w:eastAsia="Times New Roman" w:hAnsi="Arial" w:cs="Arial"/>
        </w:rPr>
        <w:t xml:space="preserve"> March 2026</w:t>
      </w:r>
    </w:p>
    <w:p w14:paraId="77D38054" w14:textId="608B090F" w:rsidR="00604A87" w:rsidRPr="0016460E" w:rsidRDefault="00604A87" w:rsidP="00CF01E1">
      <w:pPr>
        <w:jc w:val="left"/>
        <w:rPr>
          <w:rFonts w:ascii="Arial" w:eastAsia="Times New Roman" w:hAnsi="Arial" w:cs="Arial"/>
          <w:b/>
        </w:rPr>
      </w:pPr>
      <w:r w:rsidRPr="0016460E">
        <w:rPr>
          <w:rFonts w:ascii="Arial" w:eastAsia="Times New Roman" w:hAnsi="Arial" w:cs="Arial"/>
          <w:b/>
        </w:rPr>
        <w:t>STATEMENT 4</w:t>
      </w:r>
    </w:p>
    <w:p w14:paraId="0A15E499" w14:textId="13D4498A" w:rsidR="00604A87" w:rsidRPr="0016460E" w:rsidRDefault="00B05F2E" w:rsidP="00CF01E1">
      <w:pPr>
        <w:jc w:val="left"/>
        <w:rPr>
          <w:rFonts w:ascii="Arial" w:eastAsia="Times New Roman" w:hAnsi="Arial" w:cs="Arial"/>
        </w:rPr>
      </w:pPr>
      <w:r w:rsidRPr="0016460E">
        <w:rPr>
          <w:noProof/>
        </w:rPr>
        <w:drawing>
          <wp:anchor distT="0" distB="0" distL="114300" distR="114300" simplePos="0" relativeHeight="251669504" behindDoc="1" locked="0" layoutInCell="1" allowOverlap="1" wp14:anchorId="25622F23" wp14:editId="0CA426CA">
            <wp:simplePos x="0" y="0"/>
            <wp:positionH relativeFrom="margin">
              <wp:posOffset>508000</wp:posOffset>
            </wp:positionH>
            <wp:positionV relativeFrom="paragraph">
              <wp:posOffset>449580</wp:posOffset>
            </wp:positionV>
            <wp:extent cx="1396365" cy="419100"/>
            <wp:effectExtent l="0" t="0" r="0" b="0"/>
            <wp:wrapTight wrapText="bothSides">
              <wp:wrapPolygon edited="0">
                <wp:start x="4420" y="2945"/>
                <wp:lineTo x="3831" y="12764"/>
                <wp:lineTo x="12966" y="16691"/>
                <wp:lineTo x="14439" y="16691"/>
                <wp:lineTo x="17975" y="11782"/>
                <wp:lineTo x="16502" y="4909"/>
                <wp:lineTo x="5894" y="2945"/>
                <wp:lineTo x="4420" y="2945"/>
              </wp:wrapPolygon>
            </wp:wrapTight>
            <wp:docPr id="19740436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636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A87" w:rsidRPr="0016460E">
        <w:rPr>
          <w:rFonts w:ascii="Arial" w:eastAsia="Times New Roman" w:hAnsi="Arial" w:cs="Arial"/>
        </w:rPr>
        <w:t>I hereby give consent for my dissertation, if accepted, to be available on the university’s IT system to those who have consent to use the system.</w:t>
      </w:r>
    </w:p>
    <w:p w14:paraId="493DE1F7" w14:textId="77777777" w:rsidR="00B05F2E" w:rsidRPr="0016460E" w:rsidRDefault="00B05F2E" w:rsidP="00CF01E1">
      <w:pPr>
        <w:jc w:val="left"/>
        <w:rPr>
          <w:rFonts w:ascii="Arial" w:eastAsia="Times New Roman" w:hAnsi="Arial" w:cs="Arial"/>
        </w:rPr>
      </w:pPr>
      <w:r w:rsidRPr="0016460E">
        <w:rPr>
          <w:rFonts w:ascii="Arial" w:eastAsia="Times New Roman" w:hAnsi="Arial" w:cs="Arial"/>
        </w:rPr>
        <w:t xml:space="preserve">Signed: </w:t>
      </w:r>
    </w:p>
    <w:p w14:paraId="66128C42" w14:textId="77777777" w:rsidR="00B05F2E" w:rsidRPr="0016460E" w:rsidRDefault="00B05F2E" w:rsidP="00CF01E1">
      <w:pPr>
        <w:jc w:val="left"/>
        <w:rPr>
          <w:rFonts w:ascii="Arial" w:eastAsia="Times New Roman" w:hAnsi="Arial" w:cs="Arial"/>
        </w:rPr>
      </w:pPr>
      <w:r w:rsidRPr="0016460E">
        <w:rPr>
          <w:rFonts w:ascii="Arial" w:eastAsia="Times New Roman" w:hAnsi="Arial" w:cs="Arial"/>
        </w:rPr>
        <w:t>Date: 29</w:t>
      </w:r>
      <w:r w:rsidRPr="0016460E">
        <w:rPr>
          <w:rFonts w:ascii="Arial" w:eastAsia="Times New Roman" w:hAnsi="Arial" w:cs="Arial"/>
          <w:vertAlign w:val="superscript"/>
        </w:rPr>
        <w:t>th</w:t>
      </w:r>
      <w:r w:rsidRPr="0016460E">
        <w:rPr>
          <w:rFonts w:ascii="Arial" w:eastAsia="Times New Roman" w:hAnsi="Arial" w:cs="Arial"/>
        </w:rPr>
        <w:t xml:space="preserve"> March 2026</w:t>
      </w:r>
    </w:p>
    <w:p w14:paraId="324943A4" w14:textId="77777777" w:rsidR="00063B4C" w:rsidRPr="0016460E" w:rsidRDefault="00063B4C" w:rsidP="00CF01E1">
      <w:pPr>
        <w:jc w:val="left"/>
        <w:rPr>
          <w:rFonts w:ascii="Arial" w:hAnsi="Arial" w:cs="Arial"/>
        </w:rPr>
      </w:pPr>
    </w:p>
    <w:p w14:paraId="13649F9E" w14:textId="77777777" w:rsidR="00063B4C" w:rsidRPr="0016460E" w:rsidRDefault="00063B4C" w:rsidP="00CF01E1">
      <w:pPr>
        <w:jc w:val="left"/>
        <w:rPr>
          <w:rFonts w:ascii="Arial" w:hAnsi="Arial" w:cs="Arial"/>
        </w:rPr>
      </w:pPr>
    </w:p>
    <w:p w14:paraId="4E014F16" w14:textId="77777777" w:rsidR="00995444" w:rsidRPr="006C2A01" w:rsidRDefault="00995444" w:rsidP="00CF01E1">
      <w:pPr>
        <w:jc w:val="left"/>
        <w:rPr>
          <w:rFonts w:ascii="Arial" w:eastAsia="Arial Unicode MS" w:hAnsi="Arial" w:cs="Arial"/>
          <w:b/>
          <w:sz w:val="44"/>
          <w:szCs w:val="44"/>
        </w:rPr>
      </w:pPr>
    </w:p>
    <w:p w14:paraId="6F62D909" w14:textId="77777777" w:rsidR="00B003AE" w:rsidRPr="006C2A01" w:rsidRDefault="00B003AE" w:rsidP="00523F08">
      <w:pPr>
        <w:jc w:val="center"/>
        <w:rPr>
          <w:rFonts w:ascii="Arial" w:hAnsi="Arial" w:cs="Arial"/>
          <w:b/>
          <w:bCs/>
          <w:sz w:val="44"/>
          <w:szCs w:val="44"/>
        </w:rPr>
      </w:pPr>
      <w:r w:rsidRPr="006C2A01">
        <w:rPr>
          <w:rFonts w:ascii="Arial" w:hAnsi="Arial" w:cs="Arial"/>
          <w:b/>
          <w:bCs/>
          <w:sz w:val="44"/>
          <w:szCs w:val="44"/>
        </w:rPr>
        <w:t>Mental Health Support via Mobile Applications</w:t>
      </w:r>
    </w:p>
    <w:p w14:paraId="67083CF4" w14:textId="77777777" w:rsidR="00840AF6" w:rsidRPr="006C2A01" w:rsidRDefault="00840AF6" w:rsidP="00523F08">
      <w:pPr>
        <w:jc w:val="center"/>
        <w:rPr>
          <w:rFonts w:ascii="Arial" w:hAnsi="Arial" w:cs="Arial"/>
          <w:sz w:val="44"/>
          <w:szCs w:val="44"/>
        </w:rPr>
      </w:pPr>
    </w:p>
    <w:p w14:paraId="42174863" w14:textId="77777777" w:rsidR="00840AF6" w:rsidRPr="006C2A01" w:rsidRDefault="00840AF6" w:rsidP="00523F08">
      <w:pPr>
        <w:jc w:val="center"/>
        <w:rPr>
          <w:rFonts w:ascii="Arial" w:hAnsi="Arial" w:cs="Arial"/>
          <w:sz w:val="44"/>
          <w:szCs w:val="44"/>
        </w:rPr>
      </w:pPr>
      <w:r w:rsidRPr="006C2A01">
        <w:rPr>
          <w:rFonts w:ascii="Arial" w:hAnsi="Arial" w:cs="Arial"/>
          <w:b/>
          <w:bCs/>
          <w:sz w:val="44"/>
          <w:szCs w:val="44"/>
        </w:rPr>
        <w:t>Student ID</w:t>
      </w:r>
      <w:r w:rsidRPr="006C2A01">
        <w:rPr>
          <w:rFonts w:ascii="Arial" w:hAnsi="Arial" w:cs="Arial"/>
          <w:sz w:val="44"/>
          <w:szCs w:val="44"/>
        </w:rPr>
        <w:t xml:space="preserve">: </w:t>
      </w:r>
      <w:r w:rsidRPr="006C2A01">
        <w:rPr>
          <w:rFonts w:ascii="Arial" w:hAnsi="Arial" w:cs="Arial"/>
          <w:b/>
          <w:bCs/>
          <w:sz w:val="44"/>
          <w:szCs w:val="44"/>
        </w:rPr>
        <w:t>Salima Begum</w:t>
      </w:r>
    </w:p>
    <w:p w14:paraId="1240DF73" w14:textId="77777777" w:rsidR="00840AF6" w:rsidRPr="006C2A01" w:rsidRDefault="00840AF6" w:rsidP="00523F08">
      <w:pPr>
        <w:jc w:val="center"/>
        <w:rPr>
          <w:rFonts w:ascii="Arial" w:hAnsi="Arial" w:cs="Arial"/>
          <w:sz w:val="44"/>
          <w:szCs w:val="44"/>
        </w:rPr>
      </w:pPr>
    </w:p>
    <w:p w14:paraId="5DC8FE51" w14:textId="77777777" w:rsidR="00840AF6" w:rsidRPr="006C2A01" w:rsidRDefault="00840AF6" w:rsidP="00523F08">
      <w:pPr>
        <w:jc w:val="center"/>
        <w:rPr>
          <w:rFonts w:ascii="Arial" w:hAnsi="Arial" w:cs="Arial"/>
          <w:sz w:val="44"/>
          <w:szCs w:val="44"/>
        </w:rPr>
      </w:pPr>
      <w:r w:rsidRPr="006C2A01">
        <w:rPr>
          <w:rFonts w:ascii="Arial" w:hAnsi="Arial" w:cs="Arial"/>
          <w:b/>
          <w:bCs/>
          <w:sz w:val="44"/>
          <w:szCs w:val="44"/>
        </w:rPr>
        <w:t>Student Name</w:t>
      </w:r>
      <w:r w:rsidRPr="006C2A01">
        <w:rPr>
          <w:rFonts w:ascii="Arial" w:hAnsi="Arial" w:cs="Arial"/>
          <w:sz w:val="44"/>
          <w:szCs w:val="44"/>
        </w:rPr>
        <w:t xml:space="preserve">: </w:t>
      </w:r>
      <w:r w:rsidRPr="006C2A01">
        <w:rPr>
          <w:rFonts w:ascii="Arial" w:hAnsi="Arial" w:cs="Arial"/>
          <w:b/>
          <w:bCs/>
          <w:sz w:val="44"/>
          <w:szCs w:val="44"/>
        </w:rPr>
        <w:t>2128697</w:t>
      </w:r>
    </w:p>
    <w:p w14:paraId="3F8DA723" w14:textId="77777777" w:rsidR="00995444" w:rsidRPr="006C2A01" w:rsidRDefault="00995444" w:rsidP="00CF01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i/>
          <w:sz w:val="44"/>
          <w:szCs w:val="44"/>
        </w:rPr>
      </w:pPr>
    </w:p>
    <w:p w14:paraId="3851CFD8" w14:textId="77777777" w:rsidR="00995444" w:rsidRPr="006C2A01" w:rsidRDefault="00995444" w:rsidP="00CF01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sz w:val="44"/>
          <w:szCs w:val="44"/>
        </w:rPr>
      </w:pPr>
      <w:r w:rsidRPr="006C2A01">
        <w:rPr>
          <w:rFonts w:ascii="Arial" w:eastAsia="Arial Unicode MS" w:hAnsi="Arial" w:cs="Arial"/>
          <w:sz w:val="44"/>
          <w:szCs w:val="44"/>
        </w:rPr>
        <w:tab/>
      </w:r>
    </w:p>
    <w:p w14:paraId="11885DD2" w14:textId="77777777" w:rsidR="00995444" w:rsidRPr="006C2A01" w:rsidRDefault="00995444" w:rsidP="00CF01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sz w:val="44"/>
          <w:szCs w:val="44"/>
        </w:rPr>
      </w:pPr>
    </w:p>
    <w:p w14:paraId="2057C793" w14:textId="103D0F80" w:rsidR="00995444" w:rsidRPr="006C2A01" w:rsidRDefault="00995444" w:rsidP="00CF01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sz w:val="44"/>
          <w:szCs w:val="44"/>
        </w:rPr>
      </w:pPr>
      <w:r w:rsidRPr="006C2A01">
        <w:rPr>
          <w:rFonts w:ascii="Arial" w:eastAsia="Arial Unicode MS" w:hAnsi="Arial" w:cs="Arial"/>
          <w:sz w:val="44"/>
          <w:szCs w:val="44"/>
        </w:rPr>
        <w:t>Dissertation submitted as part of the requirements for the award BSc (Hons) Health and Social Care</w:t>
      </w:r>
    </w:p>
    <w:p w14:paraId="03004EEE" w14:textId="77777777" w:rsidR="00063B4C" w:rsidRPr="0016460E" w:rsidRDefault="00063B4C" w:rsidP="00CF01E1">
      <w:pPr>
        <w:jc w:val="left"/>
        <w:rPr>
          <w:rFonts w:ascii="Arial" w:hAnsi="Arial" w:cs="Arial"/>
        </w:rPr>
      </w:pPr>
    </w:p>
    <w:p w14:paraId="71CF507C" w14:textId="77777777" w:rsidR="00F17CDA" w:rsidRPr="0016460E" w:rsidRDefault="00F17CDA" w:rsidP="00CF01E1">
      <w:pPr>
        <w:jc w:val="left"/>
        <w:rPr>
          <w:rFonts w:ascii="Arial" w:hAnsi="Arial" w:cs="Arial"/>
        </w:rPr>
      </w:pPr>
    </w:p>
    <w:p w14:paraId="40946DC9" w14:textId="77777777" w:rsidR="00F17CDA" w:rsidRPr="0016460E" w:rsidRDefault="00F17CDA" w:rsidP="00CF01E1">
      <w:pPr>
        <w:jc w:val="left"/>
        <w:rPr>
          <w:rFonts w:ascii="Arial" w:hAnsi="Arial" w:cs="Arial"/>
        </w:rPr>
      </w:pPr>
    </w:p>
    <w:p w14:paraId="65358A57" w14:textId="77777777" w:rsidR="00995444" w:rsidRPr="0016460E" w:rsidRDefault="00995444" w:rsidP="00CF01E1">
      <w:pPr>
        <w:jc w:val="left"/>
        <w:rPr>
          <w:rFonts w:ascii="Arial" w:hAnsi="Arial" w:cs="Arial"/>
        </w:rPr>
      </w:pPr>
    </w:p>
    <w:p w14:paraId="0F4A849F" w14:textId="32E32515" w:rsidR="00995444" w:rsidRPr="00F74A5D" w:rsidRDefault="00995444" w:rsidP="00D34FF6">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center"/>
        <w:rPr>
          <w:rFonts w:ascii="Arial" w:eastAsia="Arial Unicode MS" w:hAnsi="Arial" w:cs="Arial"/>
          <w:bCs/>
          <w:sz w:val="32"/>
          <w:szCs w:val="32"/>
        </w:rPr>
      </w:pPr>
      <w:r w:rsidRPr="00F74A5D">
        <w:rPr>
          <w:rFonts w:ascii="Arial" w:eastAsia="Arial Unicode MS" w:hAnsi="Arial" w:cs="Arial"/>
          <w:b/>
          <w:sz w:val="32"/>
          <w:szCs w:val="32"/>
        </w:rPr>
        <w:lastRenderedPageBreak/>
        <w:t>ACKNOWLEDGEMENTS</w:t>
      </w:r>
    </w:p>
    <w:p w14:paraId="3E6D1A03" w14:textId="6EEA650C" w:rsidR="00995444" w:rsidRPr="0016460E" w:rsidRDefault="00D7471D" w:rsidP="00CF01E1">
      <w:pPr>
        <w:pStyle w:val="NormalWeb"/>
        <w:shd w:val="clear" w:color="auto" w:fill="FFFFFF"/>
        <w:spacing w:before="240" w:beforeAutospacing="0" w:after="160" w:afterAutospacing="0" w:line="360" w:lineRule="auto"/>
        <w:rPr>
          <w:rFonts w:ascii="Arial" w:hAnsi="Arial" w:cs="Arial"/>
          <w:sz w:val="22"/>
          <w:szCs w:val="22"/>
        </w:rPr>
      </w:pPr>
      <w:r w:rsidRPr="0016460E">
        <w:rPr>
          <w:rFonts w:ascii="Arial" w:hAnsi="Arial" w:cs="Arial"/>
          <w:sz w:val="22"/>
          <w:szCs w:val="22"/>
        </w:rPr>
        <w:t xml:space="preserve">I would greatly like to thank my dissertation supervisor whose guidance, constructive feedback and encouragement have continued to be helpful during the project. I also owe </w:t>
      </w:r>
      <w:r w:rsidR="001F653A" w:rsidRPr="0016460E">
        <w:rPr>
          <w:rFonts w:ascii="Arial" w:hAnsi="Arial" w:cs="Arial"/>
          <w:sz w:val="22"/>
          <w:szCs w:val="22"/>
        </w:rPr>
        <w:t>an</w:t>
      </w:r>
      <w:r w:rsidRPr="0016460E">
        <w:rPr>
          <w:rFonts w:ascii="Arial" w:hAnsi="Arial" w:cs="Arial"/>
          <w:sz w:val="22"/>
          <w:szCs w:val="22"/>
        </w:rPr>
        <w:t xml:space="preserve"> </w:t>
      </w:r>
      <w:r w:rsidR="00282E04" w:rsidRPr="0016460E">
        <w:rPr>
          <w:rFonts w:ascii="Arial" w:hAnsi="Arial" w:cs="Arial"/>
          <w:sz w:val="22"/>
          <w:szCs w:val="22"/>
        </w:rPr>
        <w:t>immense</w:t>
      </w:r>
      <w:r w:rsidRPr="0016460E">
        <w:rPr>
          <w:rFonts w:ascii="Arial" w:hAnsi="Arial" w:cs="Arial"/>
          <w:sz w:val="22"/>
          <w:szCs w:val="22"/>
        </w:rPr>
        <w:t xml:space="preserve"> gratitude to the teaching staff in the programme who helped me with achieving the academic basics upon which I did this work. I would also like to thank the staff of libraries and electronic services that helped me to find the necessary databases and resources. Lastly, I want to thank my family and friends who were very patient, understanding and in continuous support as I conducted this research and wrote this dissertation.</w:t>
      </w:r>
    </w:p>
    <w:p w14:paraId="40A3E6C2" w14:textId="77777777" w:rsidR="00995444" w:rsidRPr="0016460E" w:rsidRDefault="00995444" w:rsidP="00CF01E1">
      <w:pPr>
        <w:spacing w:before="240"/>
        <w:jc w:val="left"/>
        <w:rPr>
          <w:rFonts w:ascii="Arial" w:hAnsi="Arial" w:cs="Arial"/>
        </w:rPr>
      </w:pPr>
    </w:p>
    <w:p w14:paraId="7EA8A979" w14:textId="77777777" w:rsidR="0073280B" w:rsidRPr="0016460E" w:rsidRDefault="0073280B" w:rsidP="00CF01E1">
      <w:pPr>
        <w:spacing w:before="240"/>
        <w:jc w:val="left"/>
        <w:rPr>
          <w:rFonts w:ascii="Arial" w:hAnsi="Arial" w:cs="Arial"/>
        </w:rPr>
      </w:pPr>
    </w:p>
    <w:p w14:paraId="24382F47" w14:textId="77777777" w:rsidR="0073280B" w:rsidRPr="0016460E" w:rsidRDefault="0073280B" w:rsidP="00CF01E1">
      <w:pPr>
        <w:spacing w:before="240"/>
        <w:jc w:val="left"/>
        <w:rPr>
          <w:rFonts w:ascii="Arial" w:hAnsi="Arial" w:cs="Arial"/>
        </w:rPr>
      </w:pPr>
    </w:p>
    <w:p w14:paraId="6A8FCE15" w14:textId="77777777" w:rsidR="0073280B" w:rsidRPr="0016460E" w:rsidRDefault="0073280B" w:rsidP="00CF01E1">
      <w:pPr>
        <w:spacing w:before="240"/>
        <w:jc w:val="left"/>
        <w:rPr>
          <w:rFonts w:ascii="Arial" w:hAnsi="Arial" w:cs="Arial"/>
        </w:rPr>
      </w:pPr>
    </w:p>
    <w:p w14:paraId="5B45260B" w14:textId="77777777" w:rsidR="0073280B" w:rsidRPr="0016460E" w:rsidRDefault="0073280B" w:rsidP="00CF01E1">
      <w:pPr>
        <w:spacing w:before="240"/>
        <w:jc w:val="left"/>
        <w:rPr>
          <w:rFonts w:ascii="Arial" w:hAnsi="Arial" w:cs="Arial"/>
        </w:rPr>
      </w:pPr>
    </w:p>
    <w:p w14:paraId="29F99602" w14:textId="77777777" w:rsidR="0073280B" w:rsidRPr="0016460E" w:rsidRDefault="0073280B" w:rsidP="00CF01E1">
      <w:pPr>
        <w:spacing w:before="240"/>
        <w:jc w:val="left"/>
        <w:rPr>
          <w:rFonts w:ascii="Arial" w:hAnsi="Arial" w:cs="Arial"/>
        </w:rPr>
      </w:pPr>
    </w:p>
    <w:p w14:paraId="7FFDFCFF" w14:textId="77777777" w:rsidR="0073280B" w:rsidRPr="0016460E" w:rsidRDefault="0073280B" w:rsidP="00CF01E1">
      <w:pPr>
        <w:spacing w:before="240"/>
        <w:jc w:val="left"/>
        <w:rPr>
          <w:rFonts w:ascii="Arial" w:hAnsi="Arial" w:cs="Arial"/>
        </w:rPr>
      </w:pPr>
    </w:p>
    <w:p w14:paraId="1E61CB56" w14:textId="77777777" w:rsidR="0073280B" w:rsidRPr="0016460E" w:rsidRDefault="0073280B" w:rsidP="00CF01E1">
      <w:pPr>
        <w:spacing w:before="240"/>
        <w:jc w:val="left"/>
        <w:rPr>
          <w:rFonts w:ascii="Arial" w:hAnsi="Arial" w:cs="Arial"/>
        </w:rPr>
      </w:pPr>
    </w:p>
    <w:p w14:paraId="4650381F" w14:textId="77777777" w:rsidR="0073280B" w:rsidRPr="0016460E" w:rsidRDefault="0073280B" w:rsidP="00CF01E1">
      <w:pPr>
        <w:spacing w:before="240"/>
        <w:jc w:val="left"/>
        <w:rPr>
          <w:rFonts w:ascii="Arial" w:hAnsi="Arial" w:cs="Arial"/>
        </w:rPr>
      </w:pPr>
    </w:p>
    <w:p w14:paraId="413A9F5D" w14:textId="77777777" w:rsidR="0073280B" w:rsidRPr="0016460E" w:rsidRDefault="0073280B" w:rsidP="00CF01E1">
      <w:pPr>
        <w:spacing w:before="240"/>
        <w:jc w:val="left"/>
        <w:rPr>
          <w:rFonts w:ascii="Arial" w:hAnsi="Arial" w:cs="Arial"/>
        </w:rPr>
      </w:pPr>
    </w:p>
    <w:p w14:paraId="0F7E2C83" w14:textId="77777777" w:rsidR="0073280B" w:rsidRPr="0016460E" w:rsidRDefault="0073280B" w:rsidP="00CF01E1">
      <w:pPr>
        <w:spacing w:before="240"/>
        <w:jc w:val="left"/>
        <w:rPr>
          <w:rFonts w:ascii="Arial" w:hAnsi="Arial" w:cs="Arial"/>
        </w:rPr>
      </w:pPr>
    </w:p>
    <w:p w14:paraId="68D32102" w14:textId="77777777" w:rsidR="0073280B" w:rsidRPr="0016460E" w:rsidRDefault="0073280B" w:rsidP="00CF01E1">
      <w:pPr>
        <w:spacing w:before="240"/>
        <w:jc w:val="left"/>
        <w:rPr>
          <w:rFonts w:ascii="Arial" w:hAnsi="Arial" w:cs="Arial"/>
        </w:rPr>
      </w:pPr>
    </w:p>
    <w:p w14:paraId="3269986A" w14:textId="77777777" w:rsidR="0073280B" w:rsidRPr="0016460E" w:rsidRDefault="0073280B" w:rsidP="00CF01E1">
      <w:pPr>
        <w:spacing w:before="240"/>
        <w:jc w:val="left"/>
        <w:rPr>
          <w:rFonts w:ascii="Arial" w:hAnsi="Arial" w:cs="Arial"/>
        </w:rPr>
      </w:pPr>
    </w:p>
    <w:p w14:paraId="26B038C1" w14:textId="77777777" w:rsidR="0073280B" w:rsidRDefault="0073280B" w:rsidP="00CF01E1">
      <w:pPr>
        <w:spacing w:before="240"/>
        <w:jc w:val="left"/>
        <w:rPr>
          <w:rFonts w:ascii="Arial" w:hAnsi="Arial" w:cs="Arial"/>
        </w:rPr>
      </w:pPr>
    </w:p>
    <w:p w14:paraId="7C2707F1" w14:textId="77777777" w:rsidR="0007006F" w:rsidRPr="0016460E" w:rsidRDefault="0007006F" w:rsidP="00CF01E1">
      <w:pPr>
        <w:spacing w:before="240"/>
        <w:jc w:val="left"/>
        <w:rPr>
          <w:rFonts w:ascii="Arial" w:hAnsi="Arial" w:cs="Arial"/>
        </w:rPr>
      </w:pPr>
    </w:p>
    <w:p w14:paraId="6976232E" w14:textId="77777777" w:rsidR="0073280B" w:rsidRPr="0016460E" w:rsidRDefault="0073280B" w:rsidP="00CF01E1">
      <w:pPr>
        <w:spacing w:before="240"/>
        <w:jc w:val="left"/>
        <w:rPr>
          <w:rFonts w:ascii="Arial" w:hAnsi="Arial" w:cs="Arial"/>
        </w:rPr>
      </w:pPr>
    </w:p>
    <w:p w14:paraId="16D78A60" w14:textId="77777777" w:rsidR="0073280B" w:rsidRPr="0016460E" w:rsidRDefault="0073280B" w:rsidP="00CF01E1">
      <w:pPr>
        <w:spacing w:before="240"/>
        <w:jc w:val="left"/>
        <w:rPr>
          <w:rFonts w:ascii="Arial" w:hAnsi="Arial" w:cs="Arial"/>
        </w:rPr>
      </w:pPr>
    </w:p>
    <w:p w14:paraId="68249928" w14:textId="2790B77D" w:rsidR="0073280B" w:rsidRPr="003833D4" w:rsidRDefault="0073280B" w:rsidP="001F65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center"/>
        <w:rPr>
          <w:rFonts w:ascii="Arial" w:eastAsia="Arial Unicode MS" w:hAnsi="Arial" w:cs="Arial"/>
          <w:sz w:val="32"/>
          <w:szCs w:val="32"/>
        </w:rPr>
      </w:pPr>
      <w:r w:rsidRPr="003833D4">
        <w:rPr>
          <w:rFonts w:ascii="Arial" w:eastAsia="Arial Unicode MS" w:hAnsi="Arial" w:cs="Arial"/>
          <w:b/>
          <w:sz w:val="32"/>
          <w:szCs w:val="32"/>
        </w:rPr>
        <w:lastRenderedPageBreak/>
        <w:t>ABSTRACT</w:t>
      </w:r>
    </w:p>
    <w:p w14:paraId="48D10CFA" w14:textId="77777777" w:rsidR="0027396A" w:rsidRPr="0016460E" w:rsidRDefault="0027396A" w:rsidP="00CF01E1">
      <w:pPr>
        <w:spacing w:before="240"/>
        <w:jc w:val="left"/>
        <w:rPr>
          <w:rFonts w:ascii="Arial" w:hAnsi="Arial" w:cs="Arial"/>
        </w:rPr>
      </w:pPr>
      <w:r w:rsidRPr="0016460E">
        <w:rPr>
          <w:rFonts w:ascii="Arial" w:hAnsi="Arial" w:cs="Arial"/>
        </w:rPr>
        <w:t>This dissertation discusses the contribution of mobile mental health application to the management of anxiety, depression and stress in health and social care. The general objective was to discuss the impacts of such apps on mental health by evaluating clinical performance, user engagement and accessibility, and ethical and regulatory aspects of their usage. The study was directed by four objectives, namely, to establish the purpose of mobile mental health apps in self-management and support of therapy; to evaluate evidence on the effectiveness of these apps in symptom reduction; to assess engagement, retention and access by diverse and underserved populations; and recommend on how to clinically translate, use, and create with ethical use. This subject matter is significant in health and social care as increasing demand, pressures on workforce and ongoing gaps in treatment need scalable interventions that are accessible and can supplement the existing services.</w:t>
      </w:r>
    </w:p>
    <w:p w14:paraId="101AA6A9" w14:textId="0FE76178" w:rsidR="0025020C" w:rsidRPr="0016460E" w:rsidRDefault="0027396A" w:rsidP="00CF01E1">
      <w:pPr>
        <w:spacing w:before="240"/>
        <w:jc w:val="left"/>
        <w:rPr>
          <w:rFonts w:ascii="Arial" w:hAnsi="Arial" w:cs="Arial"/>
        </w:rPr>
      </w:pPr>
      <w:r w:rsidRPr="0016460E">
        <w:rPr>
          <w:rFonts w:ascii="Arial" w:hAnsi="Arial" w:cs="Arial"/>
        </w:rPr>
        <w:t xml:space="preserve">The secondary, desk-based methodology was chosen, which relied on the peer-reviewed journal articles and systematic reviews. The sources were located with the help of systematic search in scholarly databases and analysed with the help of the thematic analysis. Three key themes were constructed: clinical effectiveness and symptom reduction; user engagement, retention and accessibility; and ethical, regulatory and clinical integration issues. The results indicate that evidence-based applications can result in a significant decrease in the levels of anxiety and depression symptoms in the short term, especially when based on known therapeutic models and provided in the context of supported care pathways. Nevertheless, they have high attrition rates, lack of digital inequalities, unstable data practices and disjointed regulation, which restrict their impact in the real world. The main weaknesses of the research are the use of published literature, the inconsistency of the quality of studies and targeting English-language sources, as this fact can limit the scope of generalisation. The dissertation suggests </w:t>
      </w:r>
      <w:proofErr w:type="gramStart"/>
      <w:r w:rsidRPr="0016460E">
        <w:rPr>
          <w:rFonts w:ascii="Arial" w:hAnsi="Arial" w:cs="Arial"/>
        </w:rPr>
        <w:t>to incorporate</w:t>
      </w:r>
      <w:proofErr w:type="gramEnd"/>
      <w:r w:rsidRPr="0016460E">
        <w:rPr>
          <w:rFonts w:ascii="Arial" w:hAnsi="Arial" w:cs="Arial"/>
        </w:rPr>
        <w:t xml:space="preserve"> tested applications into stepped-care model, co-design and human-centred interventions to enhance engagement and equity and enhance governance models to enhance safety, privacy and transparency. These suggestions affect the future practice of health and social care, policy formulation, professional education and research on digital mental health.</w:t>
      </w:r>
      <w:r w:rsidR="0025020C" w:rsidRPr="0016460E">
        <w:rPr>
          <w:rFonts w:ascii="Arial" w:hAnsi="Arial" w:cs="Arial"/>
          <w:b/>
        </w:rPr>
        <w:t xml:space="preserve">    </w:t>
      </w:r>
    </w:p>
    <w:p w14:paraId="019A2C1E" w14:textId="77777777" w:rsidR="0073280B" w:rsidRPr="0016460E" w:rsidRDefault="0073280B" w:rsidP="00CF01E1">
      <w:pPr>
        <w:spacing w:before="240"/>
        <w:jc w:val="left"/>
        <w:rPr>
          <w:rFonts w:ascii="Arial" w:hAnsi="Arial" w:cs="Arial"/>
        </w:rPr>
      </w:pPr>
    </w:p>
    <w:p w14:paraId="4B65C5F3" w14:textId="77777777" w:rsidR="00730C3C" w:rsidRPr="0016460E" w:rsidRDefault="00730C3C" w:rsidP="00CF01E1">
      <w:pPr>
        <w:spacing w:before="240"/>
        <w:jc w:val="left"/>
        <w:rPr>
          <w:rFonts w:ascii="Arial" w:hAnsi="Arial" w:cs="Arial"/>
        </w:rPr>
      </w:pPr>
    </w:p>
    <w:p w14:paraId="1EDA5561" w14:textId="77777777" w:rsidR="00730C3C" w:rsidRPr="0016460E" w:rsidRDefault="00730C3C" w:rsidP="00CF01E1">
      <w:pPr>
        <w:spacing w:before="240"/>
        <w:jc w:val="left"/>
        <w:rPr>
          <w:rFonts w:ascii="Arial" w:hAnsi="Arial" w:cs="Arial"/>
        </w:rPr>
      </w:pPr>
    </w:p>
    <w:p w14:paraId="346E759E" w14:textId="77777777" w:rsidR="00A07B36" w:rsidRPr="0016460E" w:rsidRDefault="00A07B36" w:rsidP="00CF01E1">
      <w:pPr>
        <w:spacing w:before="240"/>
        <w:jc w:val="left"/>
        <w:rPr>
          <w:rFonts w:ascii="Arial" w:hAnsi="Arial" w:cs="Arial"/>
        </w:rPr>
      </w:pPr>
    </w:p>
    <w:sdt>
      <w:sdtPr>
        <w:rPr>
          <w:rFonts w:ascii="Arial" w:eastAsiaTheme="minorEastAsia" w:hAnsi="Arial" w:cs="Arial"/>
          <w:b/>
          <w:bCs/>
          <w:color w:val="auto"/>
          <w:kern w:val="2"/>
          <w:sz w:val="22"/>
          <w:szCs w:val="22"/>
          <w:lang w:val="en-GB" w:eastAsia="zh-CN"/>
          <w14:ligatures w14:val="standardContextual"/>
        </w:rPr>
        <w:id w:val="806208455"/>
        <w:docPartObj>
          <w:docPartGallery w:val="Table of Contents"/>
          <w:docPartUnique/>
        </w:docPartObj>
      </w:sdtPr>
      <w:sdtEndPr>
        <w:rPr>
          <w:noProof/>
        </w:rPr>
      </w:sdtEndPr>
      <w:sdtContent>
        <w:p w14:paraId="1E30A4D8" w14:textId="305BBEAD" w:rsidR="004B60F2" w:rsidRPr="0016460E" w:rsidRDefault="00A865FF" w:rsidP="00705F49">
          <w:pPr>
            <w:pStyle w:val="TOCHeading"/>
            <w:spacing w:after="240" w:line="240" w:lineRule="auto"/>
            <w:jc w:val="center"/>
            <w:rPr>
              <w:rFonts w:ascii="Arial" w:hAnsi="Arial" w:cs="Arial"/>
              <w:b/>
              <w:bCs/>
              <w:color w:val="auto"/>
              <w:sz w:val="22"/>
              <w:szCs w:val="22"/>
              <w:lang w:val="en-GB"/>
            </w:rPr>
          </w:pPr>
          <w:r w:rsidRPr="0016460E">
            <w:rPr>
              <w:rFonts w:ascii="Arial" w:hAnsi="Arial" w:cs="Arial"/>
              <w:b/>
              <w:bCs/>
              <w:color w:val="auto"/>
              <w:sz w:val="22"/>
              <w:szCs w:val="22"/>
              <w:lang w:val="en-GB"/>
            </w:rPr>
            <w:t xml:space="preserve">Table of </w:t>
          </w:r>
          <w:r w:rsidR="004B60F2" w:rsidRPr="0016460E">
            <w:rPr>
              <w:rFonts w:ascii="Arial" w:hAnsi="Arial" w:cs="Arial"/>
              <w:b/>
              <w:bCs/>
              <w:color w:val="auto"/>
              <w:sz w:val="22"/>
              <w:szCs w:val="22"/>
              <w:lang w:val="en-GB"/>
            </w:rPr>
            <w:t>Contents</w:t>
          </w:r>
        </w:p>
        <w:p w14:paraId="3D509915" w14:textId="4FFB3641" w:rsidR="004B60F2" w:rsidRPr="0016460E" w:rsidRDefault="004B60F2" w:rsidP="00705F49">
          <w:pPr>
            <w:pStyle w:val="TOC1"/>
            <w:tabs>
              <w:tab w:val="left" w:pos="440"/>
              <w:tab w:val="right" w:leader="dot" w:pos="9016"/>
            </w:tabs>
            <w:spacing w:before="240" w:line="240" w:lineRule="auto"/>
            <w:jc w:val="left"/>
            <w:rPr>
              <w:rFonts w:ascii="Arial" w:hAnsi="Arial" w:cs="Arial"/>
              <w:b/>
              <w:bCs/>
              <w:noProof/>
              <w:lang w:eastAsia="en-US"/>
            </w:rPr>
          </w:pPr>
          <w:r w:rsidRPr="0016460E">
            <w:rPr>
              <w:rFonts w:ascii="Arial" w:hAnsi="Arial" w:cs="Arial"/>
              <w:b/>
              <w:bCs/>
            </w:rPr>
            <w:fldChar w:fldCharType="begin"/>
          </w:r>
          <w:r w:rsidRPr="0016460E">
            <w:rPr>
              <w:rFonts w:ascii="Arial" w:hAnsi="Arial" w:cs="Arial"/>
              <w:b/>
              <w:bCs/>
            </w:rPr>
            <w:instrText xml:space="preserve"> TOC \o "1-3" \h \z \u </w:instrText>
          </w:r>
          <w:r w:rsidRPr="0016460E">
            <w:rPr>
              <w:rFonts w:ascii="Arial" w:hAnsi="Arial" w:cs="Arial"/>
              <w:b/>
              <w:bCs/>
            </w:rPr>
            <w:fldChar w:fldCharType="separate"/>
          </w:r>
          <w:hyperlink w:anchor="_Toc222997182" w:history="1">
            <w:r w:rsidRPr="0016460E">
              <w:rPr>
                <w:rStyle w:val="Hyperlink"/>
                <w:rFonts w:ascii="Arial" w:hAnsi="Arial" w:cs="Arial"/>
                <w:b/>
                <w:bCs/>
                <w:noProof/>
                <w:color w:val="auto"/>
                <w:lang w:bidi="en-GB"/>
              </w:rPr>
              <w:t>1.</w:t>
            </w:r>
            <w:r w:rsidRPr="0016460E">
              <w:rPr>
                <w:rFonts w:ascii="Arial" w:hAnsi="Arial" w:cs="Arial"/>
                <w:b/>
                <w:bCs/>
                <w:noProof/>
                <w:lang w:eastAsia="en-US"/>
              </w:rPr>
              <w:tab/>
            </w:r>
            <w:r w:rsidRPr="0016460E">
              <w:rPr>
                <w:rStyle w:val="Hyperlink"/>
                <w:rFonts w:ascii="Arial" w:hAnsi="Arial" w:cs="Arial"/>
                <w:b/>
                <w:bCs/>
                <w:noProof/>
                <w:color w:val="auto"/>
                <w:lang w:bidi="en-GB"/>
              </w:rPr>
              <w:t>Chapter 1: Introduction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_Toc222997182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8</w:t>
            </w:r>
            <w:r w:rsidRPr="0016460E">
              <w:rPr>
                <w:rFonts w:ascii="Arial" w:hAnsi="Arial" w:cs="Arial"/>
                <w:b/>
                <w:bCs/>
                <w:noProof/>
                <w:webHidden/>
              </w:rPr>
              <w:fldChar w:fldCharType="end"/>
            </w:r>
          </w:hyperlink>
        </w:p>
        <w:p w14:paraId="580D99C9" w14:textId="38942BFE"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83" w:history="1">
            <w:r w:rsidRPr="0016460E">
              <w:rPr>
                <w:rStyle w:val="Hyperlink"/>
                <w:rFonts w:ascii="Arial" w:hAnsi="Arial" w:cs="Arial"/>
                <w:b/>
                <w:bCs/>
                <w:noProof/>
                <w:color w:val="auto"/>
              </w:rPr>
              <w:t>1.1</w:t>
            </w:r>
            <w:r w:rsidRPr="0016460E">
              <w:rPr>
                <w:rFonts w:ascii="Arial" w:hAnsi="Arial" w:cs="Arial"/>
                <w:b/>
                <w:bCs/>
                <w:noProof/>
                <w:lang w:eastAsia="en-US"/>
              </w:rPr>
              <w:tab/>
            </w:r>
            <w:r w:rsidRPr="0016460E">
              <w:rPr>
                <w:rStyle w:val="Hyperlink"/>
                <w:rFonts w:ascii="Arial" w:hAnsi="Arial" w:cs="Arial"/>
                <w:b/>
                <w:bCs/>
                <w:noProof/>
                <w:color w:val="auto"/>
              </w:rPr>
              <w:t>Introduction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_Toc222997183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8</w:t>
            </w:r>
            <w:r w:rsidRPr="0016460E">
              <w:rPr>
                <w:rFonts w:ascii="Arial" w:hAnsi="Arial" w:cs="Arial"/>
                <w:b/>
                <w:bCs/>
                <w:noProof/>
                <w:webHidden/>
              </w:rPr>
              <w:fldChar w:fldCharType="end"/>
            </w:r>
          </w:hyperlink>
        </w:p>
        <w:p w14:paraId="1CD1A816" w14:textId="203BD1FB"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84" w:history="1">
            <w:r w:rsidRPr="0016460E">
              <w:rPr>
                <w:rStyle w:val="Hyperlink"/>
                <w:rFonts w:ascii="Arial" w:hAnsi="Arial" w:cs="Arial"/>
                <w:b/>
                <w:bCs/>
                <w:noProof/>
                <w:color w:val="auto"/>
              </w:rPr>
              <w:t>1.2</w:t>
            </w:r>
            <w:r w:rsidRPr="0016460E">
              <w:rPr>
                <w:rFonts w:ascii="Arial" w:hAnsi="Arial" w:cs="Arial"/>
                <w:b/>
                <w:bCs/>
                <w:noProof/>
                <w:lang w:eastAsia="en-US"/>
              </w:rPr>
              <w:tab/>
            </w:r>
            <w:r w:rsidRPr="0016460E">
              <w:rPr>
                <w:rStyle w:val="Hyperlink"/>
                <w:rFonts w:ascii="Arial" w:hAnsi="Arial" w:cs="Arial"/>
                <w:b/>
                <w:bCs/>
                <w:noProof/>
                <w:color w:val="auto"/>
              </w:rPr>
              <w:t>Definitions and Terminology</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_Toc222997184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9</w:t>
            </w:r>
            <w:r w:rsidRPr="0016460E">
              <w:rPr>
                <w:rFonts w:ascii="Arial" w:hAnsi="Arial" w:cs="Arial"/>
                <w:b/>
                <w:bCs/>
                <w:noProof/>
                <w:webHidden/>
              </w:rPr>
              <w:fldChar w:fldCharType="end"/>
            </w:r>
          </w:hyperlink>
        </w:p>
        <w:p w14:paraId="322A1555" w14:textId="1A25C75A"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85" w:history="1">
            <w:r w:rsidRPr="0016460E">
              <w:rPr>
                <w:rStyle w:val="Hyperlink"/>
                <w:rFonts w:ascii="Arial" w:hAnsi="Arial" w:cs="Arial"/>
                <w:b/>
                <w:bCs/>
                <w:noProof/>
                <w:color w:val="auto"/>
              </w:rPr>
              <w:t>1.3</w:t>
            </w:r>
            <w:r w:rsidRPr="0016460E">
              <w:rPr>
                <w:rFonts w:ascii="Arial" w:hAnsi="Arial" w:cs="Arial"/>
                <w:b/>
                <w:bCs/>
                <w:noProof/>
                <w:lang w:eastAsia="en-US"/>
              </w:rPr>
              <w:tab/>
            </w:r>
            <w:r w:rsidRPr="0016460E">
              <w:rPr>
                <w:rStyle w:val="Hyperlink"/>
                <w:rFonts w:ascii="Arial" w:hAnsi="Arial" w:cs="Arial"/>
                <w:b/>
                <w:bCs/>
                <w:noProof/>
                <w:color w:val="auto"/>
              </w:rPr>
              <w:t>Rationale for Research</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_Toc222997185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10</w:t>
            </w:r>
            <w:r w:rsidRPr="0016460E">
              <w:rPr>
                <w:rFonts w:ascii="Arial" w:hAnsi="Arial" w:cs="Arial"/>
                <w:b/>
                <w:bCs/>
                <w:noProof/>
                <w:webHidden/>
              </w:rPr>
              <w:fldChar w:fldCharType="end"/>
            </w:r>
          </w:hyperlink>
        </w:p>
        <w:p w14:paraId="13812058" w14:textId="04BF7347"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86" w:history="1">
            <w:r w:rsidRPr="0016460E">
              <w:rPr>
                <w:rStyle w:val="Hyperlink"/>
                <w:rFonts w:ascii="Arial" w:hAnsi="Arial" w:cs="Arial"/>
                <w:b/>
                <w:bCs/>
                <w:noProof/>
                <w:color w:val="auto"/>
              </w:rPr>
              <w:t>1.4</w:t>
            </w:r>
            <w:r w:rsidRPr="0016460E">
              <w:rPr>
                <w:rFonts w:ascii="Arial" w:hAnsi="Arial" w:cs="Arial"/>
                <w:b/>
                <w:bCs/>
                <w:noProof/>
                <w:lang w:eastAsia="en-US"/>
              </w:rPr>
              <w:tab/>
            </w:r>
            <w:r w:rsidRPr="0016460E">
              <w:rPr>
                <w:rStyle w:val="Hyperlink"/>
                <w:rFonts w:ascii="Arial" w:hAnsi="Arial" w:cs="Arial"/>
                <w:b/>
                <w:bCs/>
                <w:noProof/>
                <w:color w:val="auto"/>
              </w:rPr>
              <w:t>Aim and Objectives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_Toc222997186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11</w:t>
            </w:r>
            <w:r w:rsidRPr="0016460E">
              <w:rPr>
                <w:rFonts w:ascii="Arial" w:hAnsi="Arial" w:cs="Arial"/>
                <w:b/>
                <w:bCs/>
                <w:noProof/>
                <w:webHidden/>
              </w:rPr>
              <w:fldChar w:fldCharType="end"/>
            </w:r>
          </w:hyperlink>
        </w:p>
        <w:p w14:paraId="5BC287DD" w14:textId="29648C05"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87" w:history="1">
            <w:r w:rsidRPr="0016460E">
              <w:rPr>
                <w:rStyle w:val="Hyperlink"/>
                <w:rFonts w:ascii="Arial" w:hAnsi="Arial" w:cs="Arial"/>
                <w:b/>
                <w:bCs/>
                <w:noProof/>
                <w:color w:val="auto"/>
              </w:rPr>
              <w:t>1.5</w:t>
            </w:r>
            <w:r w:rsidRPr="0016460E">
              <w:rPr>
                <w:rFonts w:ascii="Arial" w:hAnsi="Arial" w:cs="Arial"/>
                <w:b/>
                <w:bCs/>
                <w:noProof/>
                <w:lang w:eastAsia="en-US"/>
              </w:rPr>
              <w:tab/>
            </w:r>
            <w:r w:rsidRPr="0016460E">
              <w:rPr>
                <w:rStyle w:val="Hyperlink"/>
                <w:rFonts w:ascii="Arial" w:hAnsi="Arial" w:cs="Arial"/>
                <w:b/>
                <w:bCs/>
                <w:noProof/>
                <w:color w:val="auto"/>
              </w:rPr>
              <w:t>Conclusion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_Toc222997187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11</w:t>
            </w:r>
            <w:r w:rsidRPr="0016460E">
              <w:rPr>
                <w:rFonts w:ascii="Arial" w:hAnsi="Arial" w:cs="Arial"/>
                <w:b/>
                <w:bCs/>
                <w:noProof/>
                <w:webHidden/>
              </w:rPr>
              <w:fldChar w:fldCharType="end"/>
            </w:r>
          </w:hyperlink>
        </w:p>
        <w:p w14:paraId="50E31674" w14:textId="72220BDC" w:rsidR="004B60F2" w:rsidRPr="0016460E" w:rsidRDefault="004B60F2" w:rsidP="00705F49">
          <w:pPr>
            <w:pStyle w:val="TOC1"/>
            <w:tabs>
              <w:tab w:val="left" w:pos="440"/>
              <w:tab w:val="right" w:leader="dot" w:pos="9016"/>
            </w:tabs>
            <w:spacing w:before="240" w:line="240" w:lineRule="auto"/>
            <w:jc w:val="left"/>
            <w:rPr>
              <w:rFonts w:ascii="Arial" w:hAnsi="Arial" w:cs="Arial"/>
              <w:b/>
              <w:bCs/>
              <w:noProof/>
              <w:lang w:eastAsia="en-US"/>
            </w:rPr>
          </w:pPr>
          <w:hyperlink w:anchor="_Toc222997188" w:history="1">
            <w:r w:rsidRPr="0016460E">
              <w:rPr>
                <w:rStyle w:val="Hyperlink"/>
                <w:rFonts w:ascii="Arial" w:hAnsi="Arial" w:cs="Arial"/>
                <w:b/>
                <w:bCs/>
                <w:noProof/>
                <w:color w:val="auto"/>
                <w:lang w:bidi="en-GB"/>
              </w:rPr>
              <w:t>2.</w:t>
            </w:r>
            <w:r w:rsidRPr="0016460E">
              <w:rPr>
                <w:rFonts w:ascii="Arial" w:hAnsi="Arial" w:cs="Arial"/>
                <w:b/>
                <w:bCs/>
                <w:noProof/>
                <w:lang w:eastAsia="en-US"/>
              </w:rPr>
              <w:tab/>
            </w:r>
            <w:r w:rsidRPr="0016460E">
              <w:rPr>
                <w:rStyle w:val="Hyperlink"/>
                <w:rFonts w:ascii="Arial" w:hAnsi="Arial" w:cs="Arial"/>
                <w:b/>
                <w:bCs/>
                <w:noProof/>
                <w:color w:val="auto"/>
                <w:lang w:bidi="en-GB"/>
              </w:rPr>
              <w:t>Chapter 2: Background Information and Analysis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_Toc222997188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12</w:t>
            </w:r>
            <w:r w:rsidRPr="0016460E">
              <w:rPr>
                <w:rFonts w:ascii="Arial" w:hAnsi="Arial" w:cs="Arial"/>
                <w:b/>
                <w:bCs/>
                <w:noProof/>
                <w:webHidden/>
              </w:rPr>
              <w:fldChar w:fldCharType="end"/>
            </w:r>
          </w:hyperlink>
        </w:p>
        <w:p w14:paraId="32E152EF" w14:textId="2EFB24D7"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89" w:history="1">
            <w:r w:rsidRPr="0016460E">
              <w:rPr>
                <w:rStyle w:val="Hyperlink"/>
                <w:rFonts w:ascii="Arial" w:hAnsi="Arial" w:cs="Arial"/>
                <w:b/>
                <w:bCs/>
                <w:noProof/>
                <w:color w:val="auto"/>
              </w:rPr>
              <w:t>2.1.</w:t>
            </w:r>
            <w:r w:rsidRPr="0016460E">
              <w:rPr>
                <w:rFonts w:ascii="Arial" w:hAnsi="Arial" w:cs="Arial"/>
                <w:b/>
                <w:bCs/>
                <w:noProof/>
                <w:lang w:eastAsia="en-US"/>
              </w:rPr>
              <w:tab/>
            </w:r>
            <w:r w:rsidRPr="0016460E">
              <w:rPr>
                <w:rStyle w:val="Hyperlink"/>
                <w:rFonts w:ascii="Arial" w:hAnsi="Arial" w:cs="Arial"/>
                <w:b/>
                <w:bCs/>
                <w:noProof/>
                <w:color w:val="auto"/>
              </w:rPr>
              <w:t>Introduction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_Toc222997189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12</w:t>
            </w:r>
            <w:r w:rsidRPr="0016460E">
              <w:rPr>
                <w:rFonts w:ascii="Arial" w:hAnsi="Arial" w:cs="Arial"/>
                <w:b/>
                <w:bCs/>
                <w:noProof/>
                <w:webHidden/>
              </w:rPr>
              <w:fldChar w:fldCharType="end"/>
            </w:r>
          </w:hyperlink>
        </w:p>
        <w:p w14:paraId="093758CB" w14:textId="70F066BE"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0" w:history="1">
            <w:r w:rsidRPr="0016460E">
              <w:rPr>
                <w:rStyle w:val="Hyperlink"/>
                <w:rFonts w:ascii="Arial" w:hAnsi="Arial" w:cs="Arial"/>
                <w:b/>
                <w:bCs/>
                <w:noProof/>
                <w:color w:val="auto"/>
              </w:rPr>
              <w:t>2.2.</w:t>
            </w:r>
            <w:r w:rsidRPr="0016460E">
              <w:rPr>
                <w:rFonts w:ascii="Arial" w:hAnsi="Arial" w:cs="Arial"/>
                <w:b/>
                <w:bCs/>
                <w:noProof/>
                <w:lang w:eastAsia="en-US"/>
              </w:rPr>
              <w:tab/>
            </w:r>
            <w:r w:rsidRPr="0016460E">
              <w:rPr>
                <w:rStyle w:val="Hyperlink"/>
                <w:rFonts w:ascii="Arial" w:hAnsi="Arial" w:cs="Arial"/>
                <w:b/>
                <w:bCs/>
                <w:noProof/>
                <w:color w:val="auto"/>
              </w:rPr>
              <w:t>Historical Background</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_Toc222997190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13</w:t>
            </w:r>
            <w:r w:rsidRPr="0016460E">
              <w:rPr>
                <w:rFonts w:ascii="Arial" w:hAnsi="Arial" w:cs="Arial"/>
                <w:b/>
                <w:bCs/>
                <w:noProof/>
                <w:webHidden/>
              </w:rPr>
              <w:fldChar w:fldCharType="end"/>
            </w:r>
          </w:hyperlink>
        </w:p>
        <w:p w14:paraId="2B561F8A" w14:textId="36982D0E"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1" w:history="1">
            <w:r w:rsidRPr="0016460E">
              <w:rPr>
                <w:rStyle w:val="Hyperlink"/>
                <w:rFonts w:ascii="Arial" w:hAnsi="Arial" w:cs="Arial"/>
                <w:b/>
                <w:bCs/>
                <w:noProof/>
                <w:color w:val="auto"/>
              </w:rPr>
              <w:t>2.3.</w:t>
            </w:r>
            <w:r w:rsidRPr="0016460E">
              <w:rPr>
                <w:rFonts w:ascii="Arial" w:hAnsi="Arial" w:cs="Arial"/>
                <w:b/>
                <w:bCs/>
                <w:noProof/>
                <w:lang w:eastAsia="en-US"/>
              </w:rPr>
              <w:tab/>
            </w:r>
            <w:r w:rsidRPr="0016460E">
              <w:rPr>
                <w:rStyle w:val="Hyperlink"/>
                <w:rFonts w:ascii="Arial" w:hAnsi="Arial" w:cs="Arial"/>
                <w:b/>
                <w:bCs/>
                <w:noProof/>
                <w:color w:val="auto"/>
              </w:rPr>
              <w:t>Theoretical Background</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_Toc222997191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14</w:t>
            </w:r>
            <w:r w:rsidRPr="0016460E">
              <w:rPr>
                <w:rFonts w:ascii="Arial" w:hAnsi="Arial" w:cs="Arial"/>
                <w:b/>
                <w:bCs/>
                <w:noProof/>
                <w:webHidden/>
              </w:rPr>
              <w:fldChar w:fldCharType="end"/>
            </w:r>
          </w:hyperlink>
        </w:p>
        <w:p w14:paraId="2204C907" w14:textId="68490A15"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2" w:history="1">
            <w:r w:rsidRPr="0016460E">
              <w:rPr>
                <w:rStyle w:val="Hyperlink"/>
                <w:rFonts w:ascii="Arial" w:hAnsi="Arial" w:cs="Arial"/>
                <w:b/>
                <w:bCs/>
                <w:noProof/>
                <w:color w:val="auto"/>
              </w:rPr>
              <w:t>2.4.</w:t>
            </w:r>
            <w:r w:rsidRPr="0016460E">
              <w:rPr>
                <w:rFonts w:ascii="Arial" w:hAnsi="Arial" w:cs="Arial"/>
                <w:b/>
                <w:bCs/>
                <w:noProof/>
                <w:lang w:eastAsia="en-US"/>
              </w:rPr>
              <w:tab/>
            </w:r>
            <w:r w:rsidRPr="0016460E">
              <w:rPr>
                <w:rStyle w:val="Hyperlink"/>
                <w:rFonts w:ascii="Arial" w:hAnsi="Arial" w:cs="Arial"/>
                <w:b/>
                <w:bCs/>
                <w:noProof/>
                <w:color w:val="auto"/>
              </w:rPr>
              <w:t>International Context</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_Toc222997192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15</w:t>
            </w:r>
            <w:r w:rsidRPr="0016460E">
              <w:rPr>
                <w:rFonts w:ascii="Arial" w:hAnsi="Arial" w:cs="Arial"/>
                <w:b/>
                <w:bCs/>
                <w:noProof/>
                <w:webHidden/>
              </w:rPr>
              <w:fldChar w:fldCharType="end"/>
            </w:r>
          </w:hyperlink>
        </w:p>
        <w:p w14:paraId="2CA0C77E" w14:textId="7F6C3411"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3" w:history="1">
            <w:r w:rsidRPr="0016460E">
              <w:rPr>
                <w:rStyle w:val="Hyperlink"/>
                <w:rFonts w:ascii="Arial" w:hAnsi="Arial" w:cs="Arial"/>
                <w:b/>
                <w:bCs/>
                <w:noProof/>
                <w:color w:val="auto"/>
              </w:rPr>
              <w:t>2.5.</w:t>
            </w:r>
            <w:r w:rsidRPr="0016460E">
              <w:rPr>
                <w:rFonts w:ascii="Arial" w:hAnsi="Arial" w:cs="Arial"/>
                <w:b/>
                <w:bCs/>
                <w:noProof/>
                <w:lang w:eastAsia="en-US"/>
              </w:rPr>
              <w:tab/>
            </w:r>
            <w:r w:rsidRPr="0016460E">
              <w:rPr>
                <w:rStyle w:val="Hyperlink"/>
                <w:rFonts w:ascii="Arial" w:hAnsi="Arial" w:cs="Arial"/>
                <w:b/>
                <w:bCs/>
                <w:noProof/>
                <w:color w:val="auto"/>
              </w:rPr>
              <w:t>National UK Context</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_Toc222997193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16</w:t>
            </w:r>
            <w:r w:rsidRPr="0016460E">
              <w:rPr>
                <w:rFonts w:ascii="Arial" w:hAnsi="Arial" w:cs="Arial"/>
                <w:b/>
                <w:bCs/>
                <w:noProof/>
                <w:webHidden/>
              </w:rPr>
              <w:fldChar w:fldCharType="end"/>
            </w:r>
          </w:hyperlink>
        </w:p>
        <w:p w14:paraId="2F11FE39" w14:textId="7559B624"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4" w:history="1">
            <w:r w:rsidRPr="0016460E">
              <w:rPr>
                <w:rStyle w:val="Hyperlink"/>
                <w:rFonts w:ascii="Arial" w:hAnsi="Arial" w:cs="Arial"/>
                <w:b/>
                <w:bCs/>
                <w:noProof/>
                <w:color w:val="auto"/>
              </w:rPr>
              <w:t>2.6.</w:t>
            </w:r>
            <w:r w:rsidRPr="0016460E">
              <w:rPr>
                <w:rFonts w:ascii="Arial" w:hAnsi="Arial" w:cs="Arial"/>
                <w:b/>
                <w:bCs/>
                <w:noProof/>
                <w:lang w:eastAsia="en-US"/>
              </w:rPr>
              <w:tab/>
            </w:r>
            <w:r w:rsidRPr="0016460E">
              <w:rPr>
                <w:rStyle w:val="Hyperlink"/>
                <w:rFonts w:ascii="Arial" w:hAnsi="Arial" w:cs="Arial"/>
                <w:b/>
                <w:bCs/>
                <w:noProof/>
                <w:color w:val="auto"/>
              </w:rPr>
              <w:t>Conclusion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_Toc222997194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17</w:t>
            </w:r>
            <w:r w:rsidRPr="0016460E">
              <w:rPr>
                <w:rFonts w:ascii="Arial" w:hAnsi="Arial" w:cs="Arial"/>
                <w:b/>
                <w:bCs/>
                <w:noProof/>
                <w:webHidden/>
              </w:rPr>
              <w:fldChar w:fldCharType="end"/>
            </w:r>
          </w:hyperlink>
        </w:p>
        <w:p w14:paraId="60529531" w14:textId="031AE709" w:rsidR="004B60F2" w:rsidRPr="0016460E" w:rsidRDefault="004B60F2" w:rsidP="00705F49">
          <w:pPr>
            <w:pStyle w:val="TOC1"/>
            <w:tabs>
              <w:tab w:val="left" w:pos="440"/>
              <w:tab w:val="right" w:leader="dot" w:pos="9016"/>
            </w:tabs>
            <w:spacing w:before="240" w:line="240" w:lineRule="auto"/>
            <w:jc w:val="left"/>
            <w:rPr>
              <w:rFonts w:ascii="Arial" w:hAnsi="Arial" w:cs="Arial"/>
              <w:b/>
              <w:bCs/>
              <w:noProof/>
              <w:lang w:eastAsia="en-US"/>
            </w:rPr>
          </w:pPr>
          <w:hyperlink w:anchor="_Toc222997195" w:history="1">
            <w:r w:rsidRPr="0016460E">
              <w:rPr>
                <w:rStyle w:val="Hyperlink"/>
                <w:rFonts w:ascii="Arial" w:hAnsi="Arial" w:cs="Arial"/>
                <w:b/>
                <w:bCs/>
                <w:noProof/>
                <w:color w:val="auto"/>
                <w:lang w:bidi="en-GB"/>
              </w:rPr>
              <w:t>3.</w:t>
            </w:r>
            <w:r w:rsidRPr="0016460E">
              <w:rPr>
                <w:rFonts w:ascii="Arial" w:hAnsi="Arial" w:cs="Arial"/>
                <w:b/>
                <w:bCs/>
                <w:noProof/>
                <w:lang w:eastAsia="en-US"/>
              </w:rPr>
              <w:tab/>
            </w:r>
            <w:r w:rsidRPr="0016460E">
              <w:rPr>
                <w:rStyle w:val="Hyperlink"/>
                <w:rFonts w:ascii="Arial" w:hAnsi="Arial" w:cs="Arial"/>
                <w:b/>
                <w:bCs/>
                <w:noProof/>
                <w:color w:val="auto"/>
                <w:lang w:bidi="en-GB"/>
              </w:rPr>
              <w:t>Chapter 3: Methods and Search Strategy</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_Toc222997195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18</w:t>
            </w:r>
            <w:r w:rsidRPr="0016460E">
              <w:rPr>
                <w:rFonts w:ascii="Arial" w:hAnsi="Arial" w:cs="Arial"/>
                <w:b/>
                <w:bCs/>
                <w:noProof/>
                <w:webHidden/>
              </w:rPr>
              <w:fldChar w:fldCharType="end"/>
            </w:r>
          </w:hyperlink>
        </w:p>
        <w:p w14:paraId="5B325363" w14:textId="3E48AD94"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6" w:history="1">
            <w:r w:rsidRPr="0016460E">
              <w:rPr>
                <w:rStyle w:val="Hyperlink"/>
                <w:rFonts w:ascii="Arial" w:hAnsi="Arial" w:cs="Arial"/>
                <w:b/>
                <w:bCs/>
                <w:noProof/>
                <w:color w:val="auto"/>
              </w:rPr>
              <w:t>3.1.</w:t>
            </w:r>
            <w:r w:rsidRPr="0016460E">
              <w:rPr>
                <w:rFonts w:ascii="Arial" w:hAnsi="Arial" w:cs="Arial"/>
                <w:b/>
                <w:bCs/>
                <w:noProof/>
                <w:lang w:eastAsia="en-US"/>
              </w:rPr>
              <w:tab/>
            </w:r>
            <w:r w:rsidRPr="0016460E">
              <w:rPr>
                <w:rStyle w:val="Hyperlink"/>
                <w:rFonts w:ascii="Arial" w:hAnsi="Arial" w:cs="Arial"/>
                <w:b/>
                <w:bCs/>
                <w:noProof/>
                <w:color w:val="auto"/>
              </w:rPr>
              <w:t>Introduction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_Toc222997196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18</w:t>
            </w:r>
            <w:r w:rsidRPr="0016460E">
              <w:rPr>
                <w:rFonts w:ascii="Arial" w:hAnsi="Arial" w:cs="Arial"/>
                <w:b/>
                <w:bCs/>
                <w:noProof/>
                <w:webHidden/>
              </w:rPr>
              <w:fldChar w:fldCharType="end"/>
            </w:r>
          </w:hyperlink>
        </w:p>
        <w:p w14:paraId="34B5EDF5" w14:textId="7F967766"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7" w:history="1">
            <w:r w:rsidRPr="0016460E">
              <w:rPr>
                <w:rStyle w:val="Hyperlink"/>
                <w:rFonts w:ascii="Arial" w:hAnsi="Arial" w:cs="Arial"/>
                <w:b/>
                <w:bCs/>
                <w:noProof/>
                <w:color w:val="auto"/>
              </w:rPr>
              <w:t>3.2.</w:t>
            </w:r>
            <w:r w:rsidRPr="0016460E">
              <w:rPr>
                <w:rFonts w:ascii="Arial" w:hAnsi="Arial" w:cs="Arial"/>
                <w:b/>
                <w:bCs/>
                <w:noProof/>
                <w:lang w:eastAsia="en-US"/>
              </w:rPr>
              <w:tab/>
            </w:r>
            <w:r w:rsidRPr="0016460E">
              <w:rPr>
                <w:rStyle w:val="Hyperlink"/>
                <w:rFonts w:ascii="Arial" w:hAnsi="Arial" w:cs="Arial"/>
                <w:b/>
                <w:bCs/>
                <w:noProof/>
                <w:color w:val="auto"/>
              </w:rPr>
              <w:t>Search Strategy</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_Toc222997197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18</w:t>
            </w:r>
            <w:r w:rsidRPr="0016460E">
              <w:rPr>
                <w:rFonts w:ascii="Arial" w:hAnsi="Arial" w:cs="Arial"/>
                <w:b/>
                <w:bCs/>
                <w:noProof/>
                <w:webHidden/>
              </w:rPr>
              <w:fldChar w:fldCharType="end"/>
            </w:r>
          </w:hyperlink>
        </w:p>
        <w:p w14:paraId="4276A68C" w14:textId="73C67342"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8" w:history="1">
            <w:r w:rsidRPr="0016460E">
              <w:rPr>
                <w:rStyle w:val="Hyperlink"/>
                <w:rFonts w:ascii="Arial" w:hAnsi="Arial" w:cs="Arial"/>
                <w:b/>
                <w:bCs/>
                <w:noProof/>
                <w:color w:val="auto"/>
              </w:rPr>
              <w:t>3.3.</w:t>
            </w:r>
            <w:r w:rsidRPr="0016460E">
              <w:rPr>
                <w:rFonts w:ascii="Arial" w:hAnsi="Arial" w:cs="Arial"/>
                <w:b/>
                <w:bCs/>
                <w:noProof/>
                <w:lang w:eastAsia="en-US"/>
              </w:rPr>
              <w:tab/>
            </w:r>
            <w:r w:rsidRPr="0016460E">
              <w:rPr>
                <w:rStyle w:val="Hyperlink"/>
                <w:rFonts w:ascii="Arial" w:hAnsi="Arial" w:cs="Arial"/>
                <w:b/>
                <w:bCs/>
                <w:noProof/>
                <w:color w:val="auto"/>
              </w:rPr>
              <w:t>Searching for Information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_Toc222997198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18</w:t>
            </w:r>
            <w:r w:rsidRPr="0016460E">
              <w:rPr>
                <w:rFonts w:ascii="Arial" w:hAnsi="Arial" w:cs="Arial"/>
                <w:b/>
                <w:bCs/>
                <w:noProof/>
                <w:webHidden/>
              </w:rPr>
              <w:fldChar w:fldCharType="end"/>
            </w:r>
          </w:hyperlink>
        </w:p>
        <w:p w14:paraId="5CE01AD4" w14:textId="09E0C9E6"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199" w:history="1">
            <w:r w:rsidRPr="0016460E">
              <w:rPr>
                <w:rStyle w:val="Hyperlink"/>
                <w:rFonts w:ascii="Arial" w:hAnsi="Arial" w:cs="Arial"/>
                <w:b/>
                <w:bCs/>
                <w:noProof/>
                <w:color w:val="auto"/>
              </w:rPr>
              <w:t>3.4.</w:t>
            </w:r>
            <w:r w:rsidRPr="0016460E">
              <w:rPr>
                <w:rFonts w:ascii="Arial" w:hAnsi="Arial" w:cs="Arial"/>
                <w:b/>
                <w:bCs/>
                <w:noProof/>
                <w:lang w:eastAsia="en-US"/>
              </w:rPr>
              <w:tab/>
            </w:r>
            <w:r w:rsidRPr="0016460E">
              <w:rPr>
                <w:rStyle w:val="Hyperlink"/>
                <w:rFonts w:ascii="Arial" w:hAnsi="Arial" w:cs="Arial"/>
                <w:b/>
                <w:bCs/>
                <w:noProof/>
                <w:color w:val="auto"/>
              </w:rPr>
              <w:t>Research Validation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_Toc222997199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19</w:t>
            </w:r>
            <w:r w:rsidRPr="0016460E">
              <w:rPr>
                <w:rFonts w:ascii="Arial" w:hAnsi="Arial" w:cs="Arial"/>
                <w:b/>
                <w:bCs/>
                <w:noProof/>
                <w:webHidden/>
              </w:rPr>
              <w:fldChar w:fldCharType="end"/>
            </w:r>
          </w:hyperlink>
        </w:p>
        <w:p w14:paraId="1C722C48" w14:textId="64D73717"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0" w:history="1">
            <w:r w:rsidRPr="0016460E">
              <w:rPr>
                <w:rStyle w:val="Hyperlink"/>
                <w:rFonts w:ascii="Arial" w:hAnsi="Arial" w:cs="Arial"/>
                <w:b/>
                <w:bCs/>
                <w:noProof/>
                <w:color w:val="auto"/>
              </w:rPr>
              <w:t>3.5.</w:t>
            </w:r>
            <w:r w:rsidRPr="0016460E">
              <w:rPr>
                <w:rFonts w:ascii="Arial" w:hAnsi="Arial" w:cs="Arial"/>
                <w:b/>
                <w:bCs/>
                <w:noProof/>
                <w:lang w:eastAsia="en-US"/>
              </w:rPr>
              <w:tab/>
            </w:r>
            <w:r w:rsidRPr="0016460E">
              <w:rPr>
                <w:rStyle w:val="Hyperlink"/>
                <w:rFonts w:ascii="Arial" w:hAnsi="Arial" w:cs="Arial"/>
                <w:b/>
                <w:bCs/>
                <w:noProof/>
                <w:color w:val="auto"/>
              </w:rPr>
              <w:t>Inclusion and Exclusion Criteria</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_Toc222997200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19</w:t>
            </w:r>
            <w:r w:rsidRPr="0016460E">
              <w:rPr>
                <w:rFonts w:ascii="Arial" w:hAnsi="Arial" w:cs="Arial"/>
                <w:b/>
                <w:bCs/>
                <w:noProof/>
                <w:webHidden/>
              </w:rPr>
              <w:fldChar w:fldCharType="end"/>
            </w:r>
          </w:hyperlink>
        </w:p>
        <w:p w14:paraId="631983E5" w14:textId="71A40CFA"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1" w:history="1">
            <w:r w:rsidRPr="0016460E">
              <w:rPr>
                <w:rStyle w:val="Hyperlink"/>
                <w:rFonts w:ascii="Arial" w:hAnsi="Arial" w:cs="Arial"/>
                <w:b/>
                <w:bCs/>
                <w:noProof/>
                <w:color w:val="auto"/>
              </w:rPr>
              <w:t>3.6.</w:t>
            </w:r>
            <w:r w:rsidRPr="0016460E">
              <w:rPr>
                <w:rFonts w:ascii="Arial" w:hAnsi="Arial" w:cs="Arial"/>
                <w:b/>
                <w:bCs/>
                <w:noProof/>
                <w:lang w:eastAsia="en-US"/>
              </w:rPr>
              <w:tab/>
            </w:r>
            <w:r w:rsidRPr="0016460E">
              <w:rPr>
                <w:rStyle w:val="Hyperlink"/>
                <w:rFonts w:ascii="Arial" w:hAnsi="Arial" w:cs="Arial"/>
                <w:b/>
                <w:bCs/>
                <w:noProof/>
                <w:color w:val="auto"/>
              </w:rPr>
              <w:t>Analysing Research</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_Toc222997201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20</w:t>
            </w:r>
            <w:r w:rsidRPr="0016460E">
              <w:rPr>
                <w:rFonts w:ascii="Arial" w:hAnsi="Arial" w:cs="Arial"/>
                <w:b/>
                <w:bCs/>
                <w:noProof/>
                <w:webHidden/>
              </w:rPr>
              <w:fldChar w:fldCharType="end"/>
            </w:r>
          </w:hyperlink>
        </w:p>
        <w:p w14:paraId="64E5DBCE" w14:textId="4DF0E7F4"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2" w:history="1">
            <w:r w:rsidRPr="0016460E">
              <w:rPr>
                <w:rStyle w:val="Hyperlink"/>
                <w:rFonts w:ascii="Arial" w:hAnsi="Arial" w:cs="Arial"/>
                <w:b/>
                <w:bCs/>
                <w:noProof/>
                <w:color w:val="auto"/>
              </w:rPr>
              <w:t>3.7.</w:t>
            </w:r>
            <w:r w:rsidRPr="0016460E">
              <w:rPr>
                <w:rFonts w:ascii="Arial" w:hAnsi="Arial" w:cs="Arial"/>
                <w:b/>
                <w:bCs/>
                <w:noProof/>
                <w:lang w:eastAsia="en-US"/>
              </w:rPr>
              <w:tab/>
            </w:r>
            <w:r w:rsidRPr="0016460E">
              <w:rPr>
                <w:rStyle w:val="Hyperlink"/>
                <w:rFonts w:ascii="Arial" w:hAnsi="Arial" w:cs="Arial"/>
                <w:b/>
                <w:bCs/>
                <w:noProof/>
                <w:color w:val="auto"/>
              </w:rPr>
              <w:t>Ethical Considerations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_Toc222997202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20</w:t>
            </w:r>
            <w:r w:rsidRPr="0016460E">
              <w:rPr>
                <w:rFonts w:ascii="Arial" w:hAnsi="Arial" w:cs="Arial"/>
                <w:b/>
                <w:bCs/>
                <w:noProof/>
                <w:webHidden/>
              </w:rPr>
              <w:fldChar w:fldCharType="end"/>
            </w:r>
          </w:hyperlink>
        </w:p>
        <w:p w14:paraId="612E5217" w14:textId="3856E2B5"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3" w:history="1">
            <w:r w:rsidRPr="0016460E">
              <w:rPr>
                <w:rStyle w:val="Hyperlink"/>
                <w:rFonts w:ascii="Arial" w:hAnsi="Arial" w:cs="Arial"/>
                <w:b/>
                <w:bCs/>
                <w:noProof/>
                <w:color w:val="auto"/>
              </w:rPr>
              <w:t>3.8.</w:t>
            </w:r>
            <w:r w:rsidRPr="0016460E">
              <w:rPr>
                <w:rFonts w:ascii="Arial" w:hAnsi="Arial" w:cs="Arial"/>
                <w:b/>
                <w:bCs/>
                <w:noProof/>
                <w:lang w:eastAsia="en-US"/>
              </w:rPr>
              <w:tab/>
            </w:r>
            <w:r w:rsidRPr="0016460E">
              <w:rPr>
                <w:rStyle w:val="Hyperlink"/>
                <w:rFonts w:ascii="Arial" w:hAnsi="Arial" w:cs="Arial"/>
                <w:b/>
                <w:bCs/>
                <w:noProof/>
                <w:color w:val="auto"/>
              </w:rPr>
              <w:t>Chapter Conclusion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_Toc222997203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20</w:t>
            </w:r>
            <w:r w:rsidRPr="0016460E">
              <w:rPr>
                <w:rFonts w:ascii="Arial" w:hAnsi="Arial" w:cs="Arial"/>
                <w:b/>
                <w:bCs/>
                <w:noProof/>
                <w:webHidden/>
              </w:rPr>
              <w:fldChar w:fldCharType="end"/>
            </w:r>
          </w:hyperlink>
        </w:p>
        <w:p w14:paraId="4910178B" w14:textId="23B274D5" w:rsidR="004B60F2" w:rsidRPr="0016460E" w:rsidRDefault="004B60F2" w:rsidP="00705F49">
          <w:pPr>
            <w:pStyle w:val="TOC1"/>
            <w:tabs>
              <w:tab w:val="left" w:pos="440"/>
              <w:tab w:val="right" w:leader="dot" w:pos="9016"/>
            </w:tabs>
            <w:spacing w:before="240" w:line="240" w:lineRule="auto"/>
            <w:jc w:val="left"/>
            <w:rPr>
              <w:rFonts w:ascii="Arial" w:hAnsi="Arial" w:cs="Arial"/>
              <w:b/>
              <w:bCs/>
              <w:noProof/>
              <w:lang w:eastAsia="en-US"/>
            </w:rPr>
          </w:pPr>
          <w:hyperlink w:anchor="_Toc222997204" w:history="1">
            <w:r w:rsidRPr="0016460E">
              <w:rPr>
                <w:rStyle w:val="Hyperlink"/>
                <w:rFonts w:ascii="Arial" w:hAnsi="Arial" w:cs="Arial"/>
                <w:b/>
                <w:bCs/>
                <w:noProof/>
                <w:color w:val="auto"/>
                <w:lang w:bidi="en-GB"/>
              </w:rPr>
              <w:t>4.</w:t>
            </w:r>
            <w:r w:rsidRPr="0016460E">
              <w:rPr>
                <w:rFonts w:ascii="Arial" w:hAnsi="Arial" w:cs="Arial"/>
                <w:b/>
                <w:bCs/>
                <w:noProof/>
                <w:lang w:eastAsia="en-US"/>
              </w:rPr>
              <w:tab/>
            </w:r>
            <w:r w:rsidRPr="0016460E">
              <w:rPr>
                <w:rStyle w:val="Hyperlink"/>
                <w:rFonts w:ascii="Arial" w:hAnsi="Arial" w:cs="Arial"/>
                <w:b/>
                <w:bCs/>
                <w:noProof/>
                <w:color w:val="auto"/>
                <w:lang w:bidi="en-GB"/>
              </w:rPr>
              <w:t>Chapter 4: Findings and Discussion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_Toc222997204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21</w:t>
            </w:r>
            <w:r w:rsidRPr="0016460E">
              <w:rPr>
                <w:rFonts w:ascii="Arial" w:hAnsi="Arial" w:cs="Arial"/>
                <w:b/>
                <w:bCs/>
                <w:noProof/>
                <w:webHidden/>
              </w:rPr>
              <w:fldChar w:fldCharType="end"/>
            </w:r>
          </w:hyperlink>
        </w:p>
        <w:p w14:paraId="09640B83" w14:textId="717891D7"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5" w:history="1">
            <w:r w:rsidRPr="0016460E">
              <w:rPr>
                <w:rStyle w:val="Hyperlink"/>
                <w:rFonts w:ascii="Arial" w:hAnsi="Arial" w:cs="Arial"/>
                <w:b/>
                <w:bCs/>
                <w:noProof/>
                <w:color w:val="auto"/>
              </w:rPr>
              <w:t>4.1.</w:t>
            </w:r>
            <w:r w:rsidRPr="0016460E">
              <w:rPr>
                <w:rFonts w:ascii="Arial" w:hAnsi="Arial" w:cs="Arial"/>
                <w:b/>
                <w:bCs/>
                <w:noProof/>
                <w:lang w:eastAsia="en-US"/>
              </w:rPr>
              <w:tab/>
            </w:r>
            <w:r w:rsidRPr="0016460E">
              <w:rPr>
                <w:rStyle w:val="Hyperlink"/>
                <w:rFonts w:ascii="Arial" w:hAnsi="Arial" w:cs="Arial"/>
                <w:b/>
                <w:bCs/>
                <w:noProof/>
                <w:color w:val="auto"/>
              </w:rPr>
              <w:t>Introduction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_Toc222997205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21</w:t>
            </w:r>
            <w:r w:rsidRPr="0016460E">
              <w:rPr>
                <w:rFonts w:ascii="Arial" w:hAnsi="Arial" w:cs="Arial"/>
                <w:b/>
                <w:bCs/>
                <w:noProof/>
                <w:webHidden/>
              </w:rPr>
              <w:fldChar w:fldCharType="end"/>
            </w:r>
          </w:hyperlink>
        </w:p>
        <w:p w14:paraId="5E1A5629" w14:textId="1C878D60"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6" w:history="1">
            <w:r w:rsidRPr="0016460E">
              <w:rPr>
                <w:rStyle w:val="Hyperlink"/>
                <w:rFonts w:ascii="Arial" w:hAnsi="Arial" w:cs="Arial"/>
                <w:b/>
                <w:bCs/>
                <w:noProof/>
                <w:color w:val="auto"/>
              </w:rPr>
              <w:t>4.2.</w:t>
            </w:r>
            <w:r w:rsidRPr="0016460E">
              <w:rPr>
                <w:rFonts w:ascii="Arial" w:hAnsi="Arial" w:cs="Arial"/>
                <w:b/>
                <w:bCs/>
                <w:noProof/>
                <w:lang w:eastAsia="en-US"/>
              </w:rPr>
              <w:tab/>
            </w:r>
            <w:r w:rsidRPr="0016460E">
              <w:rPr>
                <w:rStyle w:val="Hyperlink"/>
                <w:rFonts w:ascii="Arial" w:hAnsi="Arial" w:cs="Arial"/>
                <w:b/>
                <w:bCs/>
                <w:noProof/>
                <w:color w:val="auto"/>
              </w:rPr>
              <w:t>Thematic Analysis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_Toc222997206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21</w:t>
            </w:r>
            <w:r w:rsidRPr="0016460E">
              <w:rPr>
                <w:rFonts w:ascii="Arial" w:hAnsi="Arial" w:cs="Arial"/>
                <w:b/>
                <w:bCs/>
                <w:noProof/>
                <w:webHidden/>
              </w:rPr>
              <w:fldChar w:fldCharType="end"/>
            </w:r>
          </w:hyperlink>
        </w:p>
        <w:p w14:paraId="33685E3A" w14:textId="490749DA"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7" w:history="1">
            <w:r w:rsidRPr="0016460E">
              <w:rPr>
                <w:rStyle w:val="Hyperlink"/>
                <w:rFonts w:ascii="Arial" w:hAnsi="Arial" w:cs="Arial"/>
                <w:b/>
                <w:bCs/>
                <w:noProof/>
                <w:color w:val="auto"/>
              </w:rPr>
              <w:t>4.3.</w:t>
            </w:r>
            <w:r w:rsidRPr="0016460E">
              <w:rPr>
                <w:rFonts w:ascii="Arial" w:hAnsi="Arial" w:cs="Arial"/>
                <w:b/>
                <w:bCs/>
                <w:noProof/>
                <w:lang w:eastAsia="en-US"/>
              </w:rPr>
              <w:tab/>
            </w:r>
            <w:r w:rsidRPr="0016460E">
              <w:rPr>
                <w:rStyle w:val="Hyperlink"/>
                <w:rFonts w:ascii="Arial" w:hAnsi="Arial" w:cs="Arial"/>
                <w:b/>
                <w:bCs/>
                <w:noProof/>
                <w:color w:val="auto"/>
              </w:rPr>
              <w:t>Theme 1: Clinical Effectiveness and Symptom Reduction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_Toc222997207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21</w:t>
            </w:r>
            <w:r w:rsidRPr="0016460E">
              <w:rPr>
                <w:rFonts w:ascii="Arial" w:hAnsi="Arial" w:cs="Arial"/>
                <w:b/>
                <w:bCs/>
                <w:noProof/>
                <w:webHidden/>
              </w:rPr>
              <w:fldChar w:fldCharType="end"/>
            </w:r>
          </w:hyperlink>
        </w:p>
        <w:p w14:paraId="45F3B029" w14:textId="100DA3F4"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8" w:history="1">
            <w:r w:rsidRPr="0016460E">
              <w:rPr>
                <w:rStyle w:val="Hyperlink"/>
                <w:rFonts w:ascii="Arial" w:hAnsi="Arial" w:cs="Arial"/>
                <w:b/>
                <w:bCs/>
                <w:noProof/>
                <w:color w:val="auto"/>
              </w:rPr>
              <w:t>4.4.</w:t>
            </w:r>
            <w:r w:rsidRPr="0016460E">
              <w:rPr>
                <w:rFonts w:ascii="Arial" w:hAnsi="Arial" w:cs="Arial"/>
                <w:b/>
                <w:bCs/>
                <w:noProof/>
                <w:lang w:eastAsia="en-US"/>
              </w:rPr>
              <w:tab/>
            </w:r>
            <w:r w:rsidRPr="0016460E">
              <w:rPr>
                <w:rStyle w:val="Hyperlink"/>
                <w:rFonts w:ascii="Arial" w:hAnsi="Arial" w:cs="Arial"/>
                <w:b/>
                <w:bCs/>
                <w:noProof/>
                <w:color w:val="auto"/>
              </w:rPr>
              <w:t>Theme 2: User Engagement, Retention and Accessibility</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_Toc222997208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24</w:t>
            </w:r>
            <w:r w:rsidRPr="0016460E">
              <w:rPr>
                <w:rFonts w:ascii="Arial" w:hAnsi="Arial" w:cs="Arial"/>
                <w:b/>
                <w:bCs/>
                <w:noProof/>
                <w:webHidden/>
              </w:rPr>
              <w:fldChar w:fldCharType="end"/>
            </w:r>
          </w:hyperlink>
        </w:p>
        <w:p w14:paraId="30B9ED9C" w14:textId="66DC92B4"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09" w:history="1">
            <w:r w:rsidRPr="0016460E">
              <w:rPr>
                <w:rStyle w:val="Hyperlink"/>
                <w:rFonts w:ascii="Arial" w:hAnsi="Arial" w:cs="Arial"/>
                <w:b/>
                <w:bCs/>
                <w:noProof/>
                <w:color w:val="auto"/>
              </w:rPr>
              <w:t>4.5.</w:t>
            </w:r>
            <w:r w:rsidRPr="0016460E">
              <w:rPr>
                <w:rFonts w:ascii="Arial" w:hAnsi="Arial" w:cs="Arial"/>
                <w:b/>
                <w:bCs/>
                <w:noProof/>
                <w:lang w:eastAsia="en-US"/>
              </w:rPr>
              <w:tab/>
            </w:r>
            <w:r w:rsidRPr="0016460E">
              <w:rPr>
                <w:rStyle w:val="Hyperlink"/>
                <w:rFonts w:ascii="Arial" w:hAnsi="Arial" w:cs="Arial"/>
                <w:b/>
                <w:bCs/>
                <w:noProof/>
                <w:color w:val="auto"/>
              </w:rPr>
              <w:t>Theme 3: Ethical, Regulatory and Clinical Integration Challenges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_Toc222997209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28</w:t>
            </w:r>
            <w:r w:rsidRPr="0016460E">
              <w:rPr>
                <w:rFonts w:ascii="Arial" w:hAnsi="Arial" w:cs="Arial"/>
                <w:b/>
                <w:bCs/>
                <w:noProof/>
                <w:webHidden/>
              </w:rPr>
              <w:fldChar w:fldCharType="end"/>
            </w:r>
          </w:hyperlink>
        </w:p>
        <w:p w14:paraId="67DD55E8" w14:textId="59568523"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10" w:history="1">
            <w:r w:rsidRPr="0016460E">
              <w:rPr>
                <w:rStyle w:val="Hyperlink"/>
                <w:rFonts w:ascii="Arial" w:hAnsi="Arial" w:cs="Arial"/>
                <w:b/>
                <w:bCs/>
                <w:noProof/>
                <w:color w:val="auto"/>
              </w:rPr>
              <w:t>4.6.</w:t>
            </w:r>
            <w:r w:rsidRPr="0016460E">
              <w:rPr>
                <w:rFonts w:ascii="Arial" w:hAnsi="Arial" w:cs="Arial"/>
                <w:b/>
                <w:bCs/>
                <w:noProof/>
                <w:lang w:eastAsia="en-US"/>
              </w:rPr>
              <w:tab/>
            </w:r>
            <w:r w:rsidRPr="0016460E">
              <w:rPr>
                <w:rStyle w:val="Hyperlink"/>
                <w:rFonts w:ascii="Arial" w:hAnsi="Arial" w:cs="Arial"/>
                <w:b/>
                <w:bCs/>
                <w:noProof/>
                <w:color w:val="auto"/>
              </w:rPr>
              <w:t>Chapter Conclusion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_Toc222997210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31</w:t>
            </w:r>
            <w:r w:rsidRPr="0016460E">
              <w:rPr>
                <w:rFonts w:ascii="Arial" w:hAnsi="Arial" w:cs="Arial"/>
                <w:b/>
                <w:bCs/>
                <w:noProof/>
                <w:webHidden/>
              </w:rPr>
              <w:fldChar w:fldCharType="end"/>
            </w:r>
          </w:hyperlink>
        </w:p>
        <w:p w14:paraId="31359620" w14:textId="2C8F9A24" w:rsidR="004B60F2" w:rsidRPr="0016460E" w:rsidRDefault="004B60F2" w:rsidP="00705F49">
          <w:pPr>
            <w:pStyle w:val="TOC1"/>
            <w:tabs>
              <w:tab w:val="left" w:pos="440"/>
              <w:tab w:val="right" w:leader="dot" w:pos="9016"/>
            </w:tabs>
            <w:spacing w:before="240" w:line="240" w:lineRule="auto"/>
            <w:jc w:val="left"/>
            <w:rPr>
              <w:rFonts w:ascii="Arial" w:hAnsi="Arial" w:cs="Arial"/>
              <w:b/>
              <w:bCs/>
              <w:noProof/>
              <w:lang w:eastAsia="en-US"/>
            </w:rPr>
          </w:pPr>
          <w:hyperlink w:anchor="_Toc222997211" w:history="1">
            <w:r w:rsidRPr="0016460E">
              <w:rPr>
                <w:rStyle w:val="Hyperlink"/>
                <w:rFonts w:ascii="Arial" w:hAnsi="Arial" w:cs="Arial"/>
                <w:b/>
                <w:bCs/>
                <w:noProof/>
                <w:color w:val="auto"/>
                <w:lang w:bidi="en-GB"/>
              </w:rPr>
              <w:t>5.</w:t>
            </w:r>
            <w:r w:rsidRPr="0016460E">
              <w:rPr>
                <w:rFonts w:ascii="Arial" w:hAnsi="Arial" w:cs="Arial"/>
                <w:b/>
                <w:bCs/>
                <w:noProof/>
                <w:lang w:eastAsia="en-US"/>
              </w:rPr>
              <w:tab/>
            </w:r>
            <w:r w:rsidRPr="0016460E">
              <w:rPr>
                <w:rStyle w:val="Hyperlink"/>
                <w:rFonts w:ascii="Arial" w:hAnsi="Arial" w:cs="Arial"/>
                <w:b/>
                <w:bCs/>
                <w:noProof/>
                <w:color w:val="auto"/>
                <w:lang w:bidi="en-GB"/>
              </w:rPr>
              <w:t>Chapter 5: Conclusion and Recommendations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_Toc222997211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32</w:t>
            </w:r>
            <w:r w:rsidRPr="0016460E">
              <w:rPr>
                <w:rFonts w:ascii="Arial" w:hAnsi="Arial" w:cs="Arial"/>
                <w:b/>
                <w:bCs/>
                <w:noProof/>
                <w:webHidden/>
              </w:rPr>
              <w:fldChar w:fldCharType="end"/>
            </w:r>
          </w:hyperlink>
        </w:p>
        <w:p w14:paraId="6FCD123A" w14:textId="2D6D3D98"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12" w:history="1">
            <w:r w:rsidRPr="0016460E">
              <w:rPr>
                <w:rStyle w:val="Hyperlink"/>
                <w:rFonts w:ascii="Arial" w:hAnsi="Arial" w:cs="Arial"/>
                <w:b/>
                <w:bCs/>
                <w:noProof/>
                <w:color w:val="auto"/>
              </w:rPr>
              <w:t>5.1.</w:t>
            </w:r>
            <w:r w:rsidRPr="0016460E">
              <w:rPr>
                <w:rFonts w:ascii="Arial" w:hAnsi="Arial" w:cs="Arial"/>
                <w:b/>
                <w:bCs/>
                <w:noProof/>
                <w:lang w:eastAsia="en-US"/>
              </w:rPr>
              <w:tab/>
            </w:r>
            <w:r w:rsidRPr="0016460E">
              <w:rPr>
                <w:rStyle w:val="Hyperlink"/>
                <w:rFonts w:ascii="Arial" w:hAnsi="Arial" w:cs="Arial"/>
                <w:b/>
                <w:bCs/>
                <w:noProof/>
                <w:color w:val="auto"/>
              </w:rPr>
              <w:t>Overall Conclusion</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_Toc222997212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32</w:t>
            </w:r>
            <w:r w:rsidRPr="0016460E">
              <w:rPr>
                <w:rFonts w:ascii="Arial" w:hAnsi="Arial" w:cs="Arial"/>
                <w:b/>
                <w:bCs/>
                <w:noProof/>
                <w:webHidden/>
              </w:rPr>
              <w:fldChar w:fldCharType="end"/>
            </w:r>
          </w:hyperlink>
        </w:p>
        <w:p w14:paraId="29413BA6" w14:textId="49E77EE8"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13" w:history="1">
            <w:r w:rsidRPr="0016460E">
              <w:rPr>
                <w:rStyle w:val="Hyperlink"/>
                <w:rFonts w:ascii="Arial" w:hAnsi="Arial" w:cs="Arial"/>
                <w:b/>
                <w:bCs/>
                <w:noProof/>
                <w:color w:val="auto"/>
              </w:rPr>
              <w:t>5.2.</w:t>
            </w:r>
            <w:r w:rsidRPr="0016460E">
              <w:rPr>
                <w:rFonts w:ascii="Arial" w:hAnsi="Arial" w:cs="Arial"/>
                <w:b/>
                <w:bCs/>
                <w:noProof/>
                <w:lang w:eastAsia="en-US"/>
              </w:rPr>
              <w:tab/>
            </w:r>
            <w:r w:rsidRPr="0016460E">
              <w:rPr>
                <w:rStyle w:val="Hyperlink"/>
                <w:rFonts w:ascii="Arial" w:hAnsi="Arial" w:cs="Arial"/>
                <w:b/>
                <w:bCs/>
                <w:noProof/>
                <w:color w:val="auto"/>
              </w:rPr>
              <w:t>Recommendations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_Toc222997213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33</w:t>
            </w:r>
            <w:r w:rsidRPr="0016460E">
              <w:rPr>
                <w:rFonts w:ascii="Arial" w:hAnsi="Arial" w:cs="Arial"/>
                <w:b/>
                <w:bCs/>
                <w:noProof/>
                <w:webHidden/>
              </w:rPr>
              <w:fldChar w:fldCharType="end"/>
            </w:r>
          </w:hyperlink>
        </w:p>
        <w:p w14:paraId="469A1D74" w14:textId="29F699A0" w:rsidR="004B60F2" w:rsidRPr="0016460E" w:rsidRDefault="004B60F2" w:rsidP="00705F49">
          <w:pPr>
            <w:pStyle w:val="TOC3"/>
            <w:tabs>
              <w:tab w:val="left" w:pos="1440"/>
              <w:tab w:val="right" w:leader="dot" w:pos="9016"/>
            </w:tabs>
            <w:spacing w:before="240" w:line="240" w:lineRule="auto"/>
            <w:jc w:val="left"/>
            <w:rPr>
              <w:rFonts w:ascii="Arial" w:hAnsi="Arial" w:cs="Arial"/>
              <w:b/>
              <w:bCs/>
              <w:i/>
              <w:iCs/>
              <w:noProof/>
              <w:lang w:eastAsia="en-US"/>
            </w:rPr>
          </w:pPr>
          <w:hyperlink w:anchor="_Toc222997214" w:history="1">
            <w:r w:rsidRPr="0016460E">
              <w:rPr>
                <w:rStyle w:val="Hyperlink"/>
                <w:rFonts w:ascii="Arial" w:hAnsi="Arial" w:cs="Arial"/>
                <w:b/>
                <w:bCs/>
                <w:i/>
                <w:iCs/>
                <w:noProof/>
                <w:color w:val="auto"/>
              </w:rPr>
              <w:t>5.2.1.</w:t>
            </w:r>
            <w:r w:rsidRPr="0016460E">
              <w:rPr>
                <w:rFonts w:ascii="Arial" w:hAnsi="Arial" w:cs="Arial"/>
                <w:b/>
                <w:bCs/>
                <w:i/>
                <w:iCs/>
                <w:noProof/>
                <w:lang w:eastAsia="en-US"/>
              </w:rPr>
              <w:tab/>
            </w:r>
            <w:r w:rsidRPr="0016460E">
              <w:rPr>
                <w:rStyle w:val="Hyperlink"/>
                <w:rFonts w:ascii="Arial" w:hAnsi="Arial" w:cs="Arial"/>
                <w:b/>
                <w:bCs/>
                <w:i/>
                <w:iCs/>
                <w:noProof/>
                <w:color w:val="auto"/>
              </w:rPr>
              <w:t>Embed Evidence-Based Apps in Supported, Stepped-Care Pathways</w:t>
            </w:r>
            <w:r w:rsidRPr="0016460E">
              <w:rPr>
                <w:rFonts w:ascii="Arial" w:hAnsi="Arial" w:cs="Arial"/>
                <w:b/>
                <w:bCs/>
                <w:i/>
                <w:iCs/>
                <w:noProof/>
                <w:webHidden/>
              </w:rPr>
              <w:tab/>
            </w:r>
            <w:r w:rsidRPr="0016460E">
              <w:rPr>
                <w:rFonts w:ascii="Arial" w:hAnsi="Arial" w:cs="Arial"/>
                <w:b/>
                <w:bCs/>
                <w:i/>
                <w:iCs/>
                <w:noProof/>
                <w:webHidden/>
              </w:rPr>
              <w:fldChar w:fldCharType="begin"/>
            </w:r>
            <w:r w:rsidRPr="0016460E">
              <w:rPr>
                <w:rFonts w:ascii="Arial" w:hAnsi="Arial" w:cs="Arial"/>
                <w:b/>
                <w:bCs/>
                <w:i/>
                <w:iCs/>
                <w:noProof/>
                <w:webHidden/>
              </w:rPr>
              <w:instrText xml:space="preserve"> PAGEREF _Toc222997214 \h </w:instrText>
            </w:r>
            <w:r w:rsidRPr="0016460E">
              <w:rPr>
                <w:rFonts w:ascii="Arial" w:hAnsi="Arial" w:cs="Arial"/>
                <w:b/>
                <w:bCs/>
                <w:i/>
                <w:iCs/>
                <w:noProof/>
                <w:webHidden/>
              </w:rPr>
            </w:r>
            <w:r w:rsidRPr="0016460E">
              <w:rPr>
                <w:rFonts w:ascii="Arial" w:hAnsi="Arial" w:cs="Arial"/>
                <w:b/>
                <w:bCs/>
                <w:i/>
                <w:iCs/>
                <w:noProof/>
                <w:webHidden/>
              </w:rPr>
              <w:fldChar w:fldCharType="separate"/>
            </w:r>
            <w:r w:rsidR="00705F49" w:rsidRPr="0016460E">
              <w:rPr>
                <w:rFonts w:ascii="Arial" w:hAnsi="Arial" w:cs="Arial"/>
                <w:b/>
                <w:bCs/>
                <w:i/>
                <w:iCs/>
                <w:noProof/>
                <w:webHidden/>
              </w:rPr>
              <w:t>33</w:t>
            </w:r>
            <w:r w:rsidRPr="0016460E">
              <w:rPr>
                <w:rFonts w:ascii="Arial" w:hAnsi="Arial" w:cs="Arial"/>
                <w:b/>
                <w:bCs/>
                <w:i/>
                <w:iCs/>
                <w:noProof/>
                <w:webHidden/>
              </w:rPr>
              <w:fldChar w:fldCharType="end"/>
            </w:r>
          </w:hyperlink>
        </w:p>
        <w:p w14:paraId="2168D64A" w14:textId="757A8F47" w:rsidR="004B60F2" w:rsidRPr="0016460E" w:rsidRDefault="004B60F2" w:rsidP="00705F49">
          <w:pPr>
            <w:pStyle w:val="TOC3"/>
            <w:tabs>
              <w:tab w:val="left" w:pos="1440"/>
              <w:tab w:val="right" w:leader="dot" w:pos="9016"/>
            </w:tabs>
            <w:spacing w:before="240" w:line="240" w:lineRule="auto"/>
            <w:jc w:val="left"/>
            <w:rPr>
              <w:rFonts w:ascii="Arial" w:hAnsi="Arial" w:cs="Arial"/>
              <w:b/>
              <w:bCs/>
              <w:i/>
              <w:iCs/>
              <w:noProof/>
              <w:lang w:eastAsia="en-US"/>
            </w:rPr>
          </w:pPr>
          <w:hyperlink w:anchor="_Toc222997215" w:history="1">
            <w:r w:rsidRPr="0016460E">
              <w:rPr>
                <w:rStyle w:val="Hyperlink"/>
                <w:rFonts w:ascii="Arial" w:hAnsi="Arial" w:cs="Arial"/>
                <w:b/>
                <w:bCs/>
                <w:i/>
                <w:iCs/>
                <w:noProof/>
                <w:color w:val="auto"/>
              </w:rPr>
              <w:t>5.2.2.</w:t>
            </w:r>
            <w:r w:rsidRPr="0016460E">
              <w:rPr>
                <w:rFonts w:ascii="Arial" w:hAnsi="Arial" w:cs="Arial"/>
                <w:b/>
                <w:bCs/>
                <w:i/>
                <w:iCs/>
                <w:noProof/>
                <w:lang w:eastAsia="en-US"/>
              </w:rPr>
              <w:tab/>
            </w:r>
            <w:r w:rsidRPr="0016460E">
              <w:rPr>
                <w:rStyle w:val="Hyperlink"/>
                <w:rFonts w:ascii="Arial" w:hAnsi="Arial" w:cs="Arial"/>
                <w:b/>
                <w:bCs/>
                <w:i/>
                <w:iCs/>
                <w:noProof/>
                <w:color w:val="auto"/>
              </w:rPr>
              <w:t>Design for Engagement and Equity Through Co-Design and Human Support</w:t>
            </w:r>
            <w:r w:rsidRPr="0016460E">
              <w:rPr>
                <w:rFonts w:ascii="Arial" w:hAnsi="Arial" w:cs="Arial"/>
                <w:b/>
                <w:bCs/>
                <w:i/>
                <w:iCs/>
                <w:noProof/>
                <w:webHidden/>
              </w:rPr>
              <w:tab/>
            </w:r>
            <w:r w:rsidRPr="0016460E">
              <w:rPr>
                <w:rFonts w:ascii="Arial" w:hAnsi="Arial" w:cs="Arial"/>
                <w:b/>
                <w:bCs/>
                <w:i/>
                <w:iCs/>
                <w:noProof/>
                <w:webHidden/>
              </w:rPr>
              <w:fldChar w:fldCharType="begin"/>
            </w:r>
            <w:r w:rsidRPr="0016460E">
              <w:rPr>
                <w:rFonts w:ascii="Arial" w:hAnsi="Arial" w:cs="Arial"/>
                <w:b/>
                <w:bCs/>
                <w:i/>
                <w:iCs/>
                <w:noProof/>
                <w:webHidden/>
              </w:rPr>
              <w:instrText xml:space="preserve"> PAGEREF _Toc222997215 \h </w:instrText>
            </w:r>
            <w:r w:rsidRPr="0016460E">
              <w:rPr>
                <w:rFonts w:ascii="Arial" w:hAnsi="Arial" w:cs="Arial"/>
                <w:b/>
                <w:bCs/>
                <w:i/>
                <w:iCs/>
                <w:noProof/>
                <w:webHidden/>
              </w:rPr>
            </w:r>
            <w:r w:rsidRPr="0016460E">
              <w:rPr>
                <w:rFonts w:ascii="Arial" w:hAnsi="Arial" w:cs="Arial"/>
                <w:b/>
                <w:bCs/>
                <w:i/>
                <w:iCs/>
                <w:noProof/>
                <w:webHidden/>
              </w:rPr>
              <w:fldChar w:fldCharType="separate"/>
            </w:r>
            <w:r w:rsidR="00705F49" w:rsidRPr="0016460E">
              <w:rPr>
                <w:rFonts w:ascii="Arial" w:hAnsi="Arial" w:cs="Arial"/>
                <w:b/>
                <w:bCs/>
                <w:i/>
                <w:iCs/>
                <w:noProof/>
                <w:webHidden/>
              </w:rPr>
              <w:t>33</w:t>
            </w:r>
            <w:r w:rsidRPr="0016460E">
              <w:rPr>
                <w:rFonts w:ascii="Arial" w:hAnsi="Arial" w:cs="Arial"/>
                <w:b/>
                <w:bCs/>
                <w:i/>
                <w:iCs/>
                <w:noProof/>
                <w:webHidden/>
              </w:rPr>
              <w:fldChar w:fldCharType="end"/>
            </w:r>
          </w:hyperlink>
        </w:p>
        <w:p w14:paraId="4DF1A4FB" w14:textId="616E2EB8" w:rsidR="004B60F2" w:rsidRPr="0016460E" w:rsidRDefault="004B60F2" w:rsidP="00705F49">
          <w:pPr>
            <w:pStyle w:val="TOC3"/>
            <w:tabs>
              <w:tab w:val="left" w:pos="1440"/>
              <w:tab w:val="right" w:leader="dot" w:pos="9016"/>
            </w:tabs>
            <w:spacing w:before="240" w:line="240" w:lineRule="auto"/>
            <w:jc w:val="left"/>
            <w:rPr>
              <w:rFonts w:ascii="Arial" w:hAnsi="Arial" w:cs="Arial"/>
              <w:b/>
              <w:bCs/>
              <w:i/>
              <w:iCs/>
              <w:noProof/>
              <w:lang w:eastAsia="en-US"/>
            </w:rPr>
          </w:pPr>
          <w:hyperlink w:anchor="_Toc222997216" w:history="1">
            <w:r w:rsidRPr="0016460E">
              <w:rPr>
                <w:rStyle w:val="Hyperlink"/>
                <w:rFonts w:ascii="Arial" w:hAnsi="Arial" w:cs="Arial"/>
                <w:b/>
                <w:bCs/>
                <w:i/>
                <w:iCs/>
                <w:noProof/>
                <w:color w:val="auto"/>
              </w:rPr>
              <w:t>5.2.3.</w:t>
            </w:r>
            <w:r w:rsidRPr="0016460E">
              <w:rPr>
                <w:rFonts w:ascii="Arial" w:hAnsi="Arial" w:cs="Arial"/>
                <w:b/>
                <w:bCs/>
                <w:i/>
                <w:iCs/>
                <w:noProof/>
                <w:lang w:eastAsia="en-US"/>
              </w:rPr>
              <w:tab/>
            </w:r>
            <w:r w:rsidRPr="0016460E">
              <w:rPr>
                <w:rStyle w:val="Hyperlink"/>
                <w:rFonts w:ascii="Arial" w:hAnsi="Arial" w:cs="Arial"/>
                <w:b/>
                <w:bCs/>
                <w:i/>
                <w:iCs/>
                <w:noProof/>
                <w:color w:val="auto"/>
              </w:rPr>
              <w:t>Strengthen Governance, Safety Monitoring and Transparency for Mental Health Apps</w:t>
            </w:r>
            <w:r w:rsidRPr="0016460E">
              <w:rPr>
                <w:rFonts w:ascii="Arial" w:hAnsi="Arial" w:cs="Arial"/>
                <w:b/>
                <w:bCs/>
                <w:i/>
                <w:iCs/>
                <w:noProof/>
                <w:webHidden/>
              </w:rPr>
              <w:tab/>
            </w:r>
            <w:r w:rsidRPr="0016460E">
              <w:rPr>
                <w:rFonts w:ascii="Arial" w:hAnsi="Arial" w:cs="Arial"/>
                <w:b/>
                <w:bCs/>
                <w:i/>
                <w:iCs/>
                <w:noProof/>
                <w:webHidden/>
              </w:rPr>
              <w:fldChar w:fldCharType="begin"/>
            </w:r>
            <w:r w:rsidRPr="0016460E">
              <w:rPr>
                <w:rFonts w:ascii="Arial" w:hAnsi="Arial" w:cs="Arial"/>
                <w:b/>
                <w:bCs/>
                <w:i/>
                <w:iCs/>
                <w:noProof/>
                <w:webHidden/>
              </w:rPr>
              <w:instrText xml:space="preserve"> PAGEREF _Toc222997216 \h </w:instrText>
            </w:r>
            <w:r w:rsidRPr="0016460E">
              <w:rPr>
                <w:rFonts w:ascii="Arial" w:hAnsi="Arial" w:cs="Arial"/>
                <w:b/>
                <w:bCs/>
                <w:i/>
                <w:iCs/>
                <w:noProof/>
                <w:webHidden/>
              </w:rPr>
            </w:r>
            <w:r w:rsidRPr="0016460E">
              <w:rPr>
                <w:rFonts w:ascii="Arial" w:hAnsi="Arial" w:cs="Arial"/>
                <w:b/>
                <w:bCs/>
                <w:i/>
                <w:iCs/>
                <w:noProof/>
                <w:webHidden/>
              </w:rPr>
              <w:fldChar w:fldCharType="separate"/>
            </w:r>
            <w:r w:rsidR="00705F49" w:rsidRPr="0016460E">
              <w:rPr>
                <w:rFonts w:ascii="Arial" w:hAnsi="Arial" w:cs="Arial"/>
                <w:b/>
                <w:bCs/>
                <w:i/>
                <w:iCs/>
                <w:noProof/>
                <w:webHidden/>
              </w:rPr>
              <w:t>34</w:t>
            </w:r>
            <w:r w:rsidRPr="0016460E">
              <w:rPr>
                <w:rFonts w:ascii="Arial" w:hAnsi="Arial" w:cs="Arial"/>
                <w:b/>
                <w:bCs/>
                <w:i/>
                <w:iCs/>
                <w:noProof/>
                <w:webHidden/>
              </w:rPr>
              <w:fldChar w:fldCharType="end"/>
            </w:r>
          </w:hyperlink>
        </w:p>
        <w:p w14:paraId="4A5311B1" w14:textId="21B5DD01" w:rsidR="004B60F2" w:rsidRPr="0016460E" w:rsidRDefault="004B60F2" w:rsidP="00705F49">
          <w:pPr>
            <w:pStyle w:val="TOC1"/>
            <w:tabs>
              <w:tab w:val="left" w:pos="440"/>
              <w:tab w:val="right" w:leader="dot" w:pos="9016"/>
            </w:tabs>
            <w:spacing w:before="240" w:line="240" w:lineRule="auto"/>
            <w:jc w:val="left"/>
            <w:rPr>
              <w:rFonts w:ascii="Arial" w:hAnsi="Arial" w:cs="Arial"/>
              <w:b/>
              <w:bCs/>
              <w:noProof/>
              <w:lang w:eastAsia="en-US"/>
            </w:rPr>
          </w:pPr>
          <w:hyperlink w:anchor="_Toc222997217" w:history="1">
            <w:r w:rsidRPr="0016460E">
              <w:rPr>
                <w:rStyle w:val="Hyperlink"/>
                <w:rFonts w:ascii="Arial" w:hAnsi="Arial" w:cs="Arial"/>
                <w:b/>
                <w:bCs/>
                <w:noProof/>
                <w:color w:val="auto"/>
                <w:lang w:bidi="en-GB"/>
              </w:rPr>
              <w:t>6.</w:t>
            </w:r>
            <w:r w:rsidRPr="0016460E">
              <w:rPr>
                <w:rFonts w:ascii="Arial" w:hAnsi="Arial" w:cs="Arial"/>
                <w:b/>
                <w:bCs/>
                <w:noProof/>
                <w:lang w:eastAsia="en-US"/>
              </w:rPr>
              <w:tab/>
            </w:r>
            <w:r w:rsidRPr="0016460E">
              <w:rPr>
                <w:rStyle w:val="Hyperlink"/>
                <w:rFonts w:ascii="Arial" w:hAnsi="Arial" w:cs="Arial"/>
                <w:b/>
                <w:bCs/>
                <w:noProof/>
                <w:color w:val="auto"/>
                <w:lang w:bidi="en-GB"/>
              </w:rPr>
              <w:t>CHAPTER 6 – References and Appendices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_Toc222997217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36</w:t>
            </w:r>
            <w:r w:rsidRPr="0016460E">
              <w:rPr>
                <w:rFonts w:ascii="Arial" w:hAnsi="Arial" w:cs="Arial"/>
                <w:b/>
                <w:bCs/>
                <w:noProof/>
                <w:webHidden/>
              </w:rPr>
              <w:fldChar w:fldCharType="end"/>
            </w:r>
          </w:hyperlink>
        </w:p>
        <w:p w14:paraId="6FDA8B57" w14:textId="1DD93E3A"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18" w:history="1">
            <w:r w:rsidRPr="0016460E">
              <w:rPr>
                <w:rStyle w:val="Hyperlink"/>
                <w:rFonts w:ascii="Arial" w:hAnsi="Arial" w:cs="Arial"/>
                <w:b/>
                <w:bCs/>
                <w:noProof/>
                <w:color w:val="auto"/>
              </w:rPr>
              <w:t>6.1.</w:t>
            </w:r>
            <w:r w:rsidRPr="0016460E">
              <w:rPr>
                <w:rFonts w:ascii="Arial" w:hAnsi="Arial" w:cs="Arial"/>
                <w:b/>
                <w:bCs/>
                <w:noProof/>
                <w:lang w:eastAsia="en-US"/>
              </w:rPr>
              <w:tab/>
            </w:r>
            <w:r w:rsidRPr="0016460E">
              <w:rPr>
                <w:rStyle w:val="Hyperlink"/>
                <w:rFonts w:ascii="Arial" w:hAnsi="Arial" w:cs="Arial"/>
                <w:b/>
                <w:bCs/>
                <w:noProof/>
                <w:color w:val="auto"/>
              </w:rPr>
              <w:t>References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_Toc222997218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36</w:t>
            </w:r>
            <w:r w:rsidRPr="0016460E">
              <w:rPr>
                <w:rFonts w:ascii="Arial" w:hAnsi="Arial" w:cs="Arial"/>
                <w:b/>
                <w:bCs/>
                <w:noProof/>
                <w:webHidden/>
              </w:rPr>
              <w:fldChar w:fldCharType="end"/>
            </w:r>
          </w:hyperlink>
        </w:p>
        <w:p w14:paraId="2E2072DB" w14:textId="21626100" w:rsidR="004B60F2" w:rsidRPr="0016460E" w:rsidRDefault="004B60F2" w:rsidP="00705F49">
          <w:pPr>
            <w:pStyle w:val="TOC2"/>
            <w:tabs>
              <w:tab w:val="left" w:pos="960"/>
              <w:tab w:val="right" w:leader="dot" w:pos="9016"/>
            </w:tabs>
            <w:spacing w:before="240" w:line="240" w:lineRule="auto"/>
            <w:jc w:val="left"/>
            <w:rPr>
              <w:rFonts w:ascii="Arial" w:hAnsi="Arial" w:cs="Arial"/>
              <w:b/>
              <w:bCs/>
              <w:noProof/>
              <w:lang w:eastAsia="en-US"/>
            </w:rPr>
          </w:pPr>
          <w:hyperlink w:anchor="_Toc222997219" w:history="1">
            <w:r w:rsidRPr="0016460E">
              <w:rPr>
                <w:rStyle w:val="Hyperlink"/>
                <w:rFonts w:ascii="Arial" w:hAnsi="Arial" w:cs="Arial"/>
                <w:b/>
                <w:bCs/>
                <w:noProof/>
                <w:color w:val="auto"/>
              </w:rPr>
              <w:t>6.2.</w:t>
            </w:r>
            <w:r w:rsidRPr="0016460E">
              <w:rPr>
                <w:rFonts w:ascii="Arial" w:hAnsi="Arial" w:cs="Arial"/>
                <w:b/>
                <w:bCs/>
                <w:noProof/>
                <w:lang w:eastAsia="en-US"/>
              </w:rPr>
              <w:tab/>
            </w:r>
            <w:r w:rsidRPr="0016460E">
              <w:rPr>
                <w:rStyle w:val="Hyperlink"/>
                <w:rFonts w:ascii="Arial" w:hAnsi="Arial" w:cs="Arial"/>
                <w:b/>
                <w:bCs/>
                <w:noProof/>
                <w:color w:val="auto"/>
              </w:rPr>
              <w:t>Appendices</w:t>
            </w:r>
            <w:r w:rsidRPr="0016460E">
              <w:rPr>
                <w:rFonts w:ascii="Arial" w:hAnsi="Arial" w:cs="Arial"/>
                <w:b/>
                <w:bCs/>
                <w:noProof/>
                <w:webHidden/>
              </w:rPr>
              <w:tab/>
            </w:r>
            <w:r w:rsidRPr="0016460E">
              <w:rPr>
                <w:rFonts w:ascii="Arial" w:hAnsi="Arial" w:cs="Arial"/>
                <w:b/>
                <w:bCs/>
                <w:noProof/>
                <w:webHidden/>
              </w:rPr>
              <w:fldChar w:fldCharType="begin"/>
            </w:r>
            <w:r w:rsidRPr="0016460E">
              <w:rPr>
                <w:rFonts w:ascii="Arial" w:hAnsi="Arial" w:cs="Arial"/>
                <w:b/>
                <w:bCs/>
                <w:noProof/>
                <w:webHidden/>
              </w:rPr>
              <w:instrText xml:space="preserve"> PAGEREF _Toc222997219 \h </w:instrText>
            </w:r>
            <w:r w:rsidRPr="0016460E">
              <w:rPr>
                <w:rFonts w:ascii="Arial" w:hAnsi="Arial" w:cs="Arial"/>
                <w:b/>
                <w:bCs/>
                <w:noProof/>
                <w:webHidden/>
              </w:rPr>
            </w:r>
            <w:r w:rsidRPr="0016460E">
              <w:rPr>
                <w:rFonts w:ascii="Arial" w:hAnsi="Arial" w:cs="Arial"/>
                <w:b/>
                <w:bCs/>
                <w:noProof/>
                <w:webHidden/>
              </w:rPr>
              <w:fldChar w:fldCharType="separate"/>
            </w:r>
            <w:r w:rsidR="00705F49" w:rsidRPr="0016460E">
              <w:rPr>
                <w:rFonts w:ascii="Arial" w:hAnsi="Arial" w:cs="Arial"/>
                <w:b/>
                <w:bCs/>
                <w:noProof/>
                <w:webHidden/>
              </w:rPr>
              <w:t>49</w:t>
            </w:r>
            <w:r w:rsidRPr="0016460E">
              <w:rPr>
                <w:rFonts w:ascii="Arial" w:hAnsi="Arial" w:cs="Arial"/>
                <w:b/>
                <w:bCs/>
                <w:noProof/>
                <w:webHidden/>
              </w:rPr>
              <w:fldChar w:fldCharType="end"/>
            </w:r>
          </w:hyperlink>
        </w:p>
        <w:p w14:paraId="2256030B" w14:textId="77777777" w:rsidR="00EE05E2" w:rsidRPr="0016460E" w:rsidRDefault="004B60F2" w:rsidP="00705F49">
          <w:pPr>
            <w:spacing w:line="240" w:lineRule="auto"/>
            <w:jc w:val="left"/>
            <w:rPr>
              <w:rFonts w:ascii="Arial" w:hAnsi="Arial" w:cs="Arial"/>
              <w:b/>
              <w:bCs/>
              <w:noProof/>
            </w:rPr>
          </w:pPr>
          <w:r w:rsidRPr="0016460E">
            <w:rPr>
              <w:rFonts w:ascii="Arial" w:hAnsi="Arial" w:cs="Arial"/>
              <w:b/>
              <w:bCs/>
              <w:noProof/>
            </w:rPr>
            <w:fldChar w:fldCharType="end"/>
          </w:r>
        </w:p>
        <w:p w14:paraId="447B55EC" w14:textId="77777777" w:rsidR="00EE05E2" w:rsidRPr="0016460E" w:rsidRDefault="00EE05E2" w:rsidP="00705F49">
          <w:pPr>
            <w:spacing w:line="240" w:lineRule="auto"/>
            <w:jc w:val="left"/>
            <w:rPr>
              <w:rFonts w:ascii="Arial" w:hAnsi="Arial" w:cs="Arial"/>
              <w:b/>
              <w:bCs/>
              <w:noProof/>
            </w:rPr>
          </w:pPr>
        </w:p>
        <w:p w14:paraId="2222D57C" w14:textId="77777777" w:rsidR="00880784" w:rsidRPr="0016460E" w:rsidRDefault="00880784" w:rsidP="00705F49">
          <w:pPr>
            <w:spacing w:line="240" w:lineRule="auto"/>
            <w:jc w:val="left"/>
            <w:rPr>
              <w:rFonts w:ascii="Arial" w:hAnsi="Arial" w:cs="Arial"/>
              <w:b/>
              <w:bCs/>
              <w:noProof/>
            </w:rPr>
          </w:pPr>
        </w:p>
        <w:p w14:paraId="0BB4FCC2" w14:textId="77777777" w:rsidR="00F479AE" w:rsidRPr="0016460E" w:rsidRDefault="00F479AE" w:rsidP="00705F49">
          <w:pPr>
            <w:spacing w:line="240" w:lineRule="auto"/>
            <w:jc w:val="left"/>
            <w:rPr>
              <w:rFonts w:ascii="Arial" w:hAnsi="Arial" w:cs="Arial"/>
              <w:b/>
              <w:bCs/>
              <w:noProof/>
            </w:rPr>
          </w:pPr>
        </w:p>
        <w:p w14:paraId="0B9EA22A" w14:textId="77777777" w:rsidR="00705F49" w:rsidRPr="0016460E" w:rsidRDefault="00705F49" w:rsidP="00705F49">
          <w:pPr>
            <w:spacing w:line="240" w:lineRule="auto"/>
            <w:jc w:val="left"/>
            <w:rPr>
              <w:rFonts w:ascii="Arial" w:hAnsi="Arial" w:cs="Arial"/>
              <w:b/>
              <w:bCs/>
              <w:noProof/>
            </w:rPr>
          </w:pPr>
        </w:p>
        <w:p w14:paraId="5D5ABC6F" w14:textId="77777777" w:rsidR="00705F49" w:rsidRPr="0016460E" w:rsidRDefault="00705F49" w:rsidP="00705F49">
          <w:pPr>
            <w:spacing w:line="240" w:lineRule="auto"/>
            <w:jc w:val="left"/>
            <w:rPr>
              <w:rFonts w:ascii="Arial" w:hAnsi="Arial" w:cs="Arial"/>
              <w:b/>
              <w:bCs/>
              <w:noProof/>
            </w:rPr>
          </w:pPr>
        </w:p>
        <w:p w14:paraId="644BAD22" w14:textId="77777777" w:rsidR="00705F49" w:rsidRPr="0016460E" w:rsidRDefault="00705F49" w:rsidP="00705F49">
          <w:pPr>
            <w:spacing w:line="240" w:lineRule="auto"/>
            <w:jc w:val="left"/>
            <w:rPr>
              <w:rFonts w:ascii="Arial" w:hAnsi="Arial" w:cs="Arial"/>
              <w:b/>
              <w:bCs/>
              <w:noProof/>
            </w:rPr>
          </w:pPr>
        </w:p>
        <w:p w14:paraId="4CF65978" w14:textId="77777777" w:rsidR="00705F49" w:rsidRPr="0016460E" w:rsidRDefault="00705F49" w:rsidP="00705F49">
          <w:pPr>
            <w:spacing w:line="240" w:lineRule="auto"/>
            <w:jc w:val="left"/>
            <w:rPr>
              <w:rFonts w:ascii="Arial" w:hAnsi="Arial" w:cs="Arial"/>
              <w:b/>
              <w:bCs/>
              <w:noProof/>
            </w:rPr>
          </w:pPr>
        </w:p>
        <w:p w14:paraId="4017D314" w14:textId="77777777" w:rsidR="00705F49" w:rsidRPr="0016460E" w:rsidRDefault="00705F49" w:rsidP="00705F49">
          <w:pPr>
            <w:spacing w:line="240" w:lineRule="auto"/>
            <w:jc w:val="left"/>
            <w:rPr>
              <w:rFonts w:ascii="Arial" w:hAnsi="Arial" w:cs="Arial"/>
              <w:b/>
              <w:bCs/>
              <w:noProof/>
            </w:rPr>
          </w:pPr>
        </w:p>
        <w:p w14:paraId="206D5E84" w14:textId="77777777" w:rsidR="00705F49" w:rsidRPr="0016460E" w:rsidRDefault="00705F49" w:rsidP="00705F49">
          <w:pPr>
            <w:spacing w:line="240" w:lineRule="auto"/>
            <w:jc w:val="left"/>
            <w:rPr>
              <w:rFonts w:ascii="Arial" w:hAnsi="Arial" w:cs="Arial"/>
              <w:b/>
              <w:bCs/>
              <w:noProof/>
            </w:rPr>
          </w:pPr>
        </w:p>
        <w:p w14:paraId="23561240" w14:textId="77777777" w:rsidR="00705F49" w:rsidRPr="0016460E" w:rsidRDefault="00705F49" w:rsidP="00705F49">
          <w:pPr>
            <w:spacing w:line="240" w:lineRule="auto"/>
            <w:jc w:val="left"/>
            <w:rPr>
              <w:rFonts w:ascii="Arial" w:hAnsi="Arial" w:cs="Arial"/>
              <w:b/>
              <w:bCs/>
              <w:noProof/>
            </w:rPr>
          </w:pPr>
        </w:p>
        <w:p w14:paraId="79FBEB27" w14:textId="77777777" w:rsidR="00705F49" w:rsidRPr="0016460E" w:rsidRDefault="00705F49" w:rsidP="00705F49">
          <w:pPr>
            <w:spacing w:line="240" w:lineRule="auto"/>
            <w:jc w:val="left"/>
            <w:rPr>
              <w:rFonts w:ascii="Arial" w:hAnsi="Arial" w:cs="Arial"/>
              <w:b/>
              <w:bCs/>
              <w:noProof/>
            </w:rPr>
          </w:pPr>
        </w:p>
        <w:p w14:paraId="530F231F" w14:textId="77777777" w:rsidR="00705F49" w:rsidRPr="0016460E" w:rsidRDefault="00705F49" w:rsidP="00705F49">
          <w:pPr>
            <w:spacing w:line="240" w:lineRule="auto"/>
            <w:jc w:val="left"/>
            <w:rPr>
              <w:rFonts w:ascii="Arial" w:hAnsi="Arial" w:cs="Arial"/>
              <w:b/>
              <w:bCs/>
              <w:noProof/>
            </w:rPr>
          </w:pPr>
        </w:p>
        <w:p w14:paraId="0DC249CC" w14:textId="77777777" w:rsidR="00705F49" w:rsidRPr="0016460E" w:rsidRDefault="00705F49" w:rsidP="00705F49">
          <w:pPr>
            <w:spacing w:line="240" w:lineRule="auto"/>
            <w:jc w:val="left"/>
            <w:rPr>
              <w:rFonts w:ascii="Arial" w:hAnsi="Arial" w:cs="Arial"/>
              <w:b/>
              <w:bCs/>
              <w:noProof/>
            </w:rPr>
          </w:pPr>
        </w:p>
        <w:p w14:paraId="1A8C8E0A" w14:textId="77777777" w:rsidR="00705F49" w:rsidRPr="0016460E" w:rsidRDefault="00705F49" w:rsidP="00705F49">
          <w:pPr>
            <w:spacing w:line="240" w:lineRule="auto"/>
            <w:jc w:val="left"/>
            <w:rPr>
              <w:rFonts w:ascii="Arial" w:hAnsi="Arial" w:cs="Arial"/>
              <w:b/>
              <w:bCs/>
              <w:noProof/>
            </w:rPr>
          </w:pPr>
        </w:p>
        <w:p w14:paraId="1950909B" w14:textId="77777777" w:rsidR="00705F49" w:rsidRPr="0016460E" w:rsidRDefault="00705F49" w:rsidP="00705F49">
          <w:pPr>
            <w:spacing w:line="240" w:lineRule="auto"/>
            <w:jc w:val="left"/>
            <w:rPr>
              <w:rFonts w:ascii="Arial" w:hAnsi="Arial" w:cs="Arial"/>
              <w:b/>
              <w:bCs/>
              <w:noProof/>
            </w:rPr>
          </w:pPr>
        </w:p>
        <w:p w14:paraId="19753CFC" w14:textId="77777777" w:rsidR="00705F49" w:rsidRPr="0016460E" w:rsidRDefault="00705F49" w:rsidP="00705F49">
          <w:pPr>
            <w:spacing w:line="240" w:lineRule="auto"/>
            <w:jc w:val="left"/>
            <w:rPr>
              <w:rFonts w:ascii="Arial" w:hAnsi="Arial" w:cs="Arial"/>
              <w:b/>
              <w:bCs/>
              <w:noProof/>
            </w:rPr>
          </w:pPr>
        </w:p>
        <w:p w14:paraId="4934058A" w14:textId="77777777" w:rsidR="00705F49" w:rsidRPr="0016460E" w:rsidRDefault="00705F49" w:rsidP="00705F49">
          <w:pPr>
            <w:spacing w:line="240" w:lineRule="auto"/>
            <w:jc w:val="left"/>
            <w:rPr>
              <w:rFonts w:ascii="Arial" w:hAnsi="Arial" w:cs="Arial"/>
              <w:b/>
              <w:bCs/>
              <w:noProof/>
            </w:rPr>
          </w:pPr>
        </w:p>
        <w:p w14:paraId="5C2836E5" w14:textId="7A9F2EBC" w:rsidR="006167F0" w:rsidRPr="006801A5" w:rsidRDefault="00000000" w:rsidP="00B7794E">
          <w:pPr>
            <w:spacing w:before="240" w:after="240" w:line="240" w:lineRule="auto"/>
            <w:jc w:val="left"/>
            <w:rPr>
              <w:rFonts w:ascii="Arial" w:hAnsi="Arial" w:cs="Arial"/>
              <w:b/>
              <w:bCs/>
              <w:sz w:val="32"/>
              <w:szCs w:val="32"/>
            </w:rPr>
          </w:pPr>
        </w:p>
      </w:sdtContent>
    </w:sdt>
    <w:p w14:paraId="69941E5D" w14:textId="2EB4EA5A" w:rsidR="00EF6341" w:rsidRPr="006801A5" w:rsidRDefault="00AA24B9" w:rsidP="00CF01E1">
      <w:pPr>
        <w:pStyle w:val="Heading1"/>
        <w:numPr>
          <w:ilvl w:val="0"/>
          <w:numId w:val="156"/>
        </w:numPr>
        <w:spacing w:before="240" w:after="160" w:line="360" w:lineRule="auto"/>
        <w:rPr>
          <w:rFonts w:cs="Arial"/>
          <w:b w:val="0"/>
        </w:rPr>
      </w:pPr>
      <w:bookmarkStart w:id="0" w:name="_Toc222989896"/>
      <w:bookmarkStart w:id="1" w:name="_Toc222997182"/>
      <w:r w:rsidRPr="006801A5">
        <w:rPr>
          <w:rFonts w:cs="Arial"/>
        </w:rPr>
        <w:t xml:space="preserve">Chapter </w:t>
      </w:r>
      <w:r w:rsidR="00730C3C" w:rsidRPr="006801A5">
        <w:rPr>
          <w:rFonts w:cs="Arial"/>
        </w:rPr>
        <w:t>1: Introduction</w:t>
      </w:r>
      <w:bookmarkEnd w:id="0"/>
      <w:bookmarkEnd w:id="1"/>
    </w:p>
    <w:p w14:paraId="7EB24CC9" w14:textId="2B1128FF" w:rsidR="00BD2909" w:rsidRPr="001B6E43" w:rsidRDefault="00BD2909" w:rsidP="00CF01E1">
      <w:pPr>
        <w:pStyle w:val="Heading2"/>
        <w:numPr>
          <w:ilvl w:val="1"/>
          <w:numId w:val="149"/>
        </w:numPr>
        <w:spacing w:before="240" w:after="160"/>
        <w:jc w:val="left"/>
        <w:rPr>
          <w:rFonts w:ascii="Arial" w:hAnsi="Arial" w:cs="Arial"/>
          <w:b/>
          <w:bCs/>
          <w:color w:val="auto"/>
          <w:sz w:val="28"/>
          <w:szCs w:val="28"/>
        </w:rPr>
      </w:pPr>
      <w:bookmarkStart w:id="2" w:name="_Toc222989897"/>
      <w:bookmarkStart w:id="3" w:name="_Toc222997183"/>
      <w:r w:rsidRPr="001B6E43">
        <w:rPr>
          <w:rStyle w:val="normaltextrun"/>
          <w:rFonts w:ascii="Arial" w:hAnsi="Arial" w:cs="Arial"/>
          <w:b/>
          <w:bCs/>
          <w:color w:val="auto"/>
          <w:sz w:val="28"/>
          <w:szCs w:val="28"/>
        </w:rPr>
        <w:t>Introduction</w:t>
      </w:r>
      <w:bookmarkEnd w:id="2"/>
      <w:bookmarkEnd w:id="3"/>
    </w:p>
    <w:p w14:paraId="7E8B3DE4" w14:textId="21E7B8DE" w:rsidR="00BA09D2" w:rsidRPr="0016460E" w:rsidRDefault="00C24FB7" w:rsidP="00CF01E1">
      <w:pPr>
        <w:spacing w:before="240"/>
        <w:jc w:val="left"/>
        <w:rPr>
          <w:rFonts w:ascii="Arial" w:hAnsi="Arial" w:cs="Arial"/>
          <w:lang w:eastAsia="en-US"/>
        </w:rPr>
      </w:pPr>
      <w:r w:rsidRPr="0016460E">
        <w:rPr>
          <w:rFonts w:ascii="Arial" w:hAnsi="Arial" w:cs="Arial"/>
          <w:lang w:eastAsia="en-US"/>
        </w:rPr>
        <w:t>The prevalence of mental health disorders, especially anxiety, depression, and stress-related disorders, has been growing in the global stage, and causes a heavy burden on the health and social care systems</w:t>
      </w:r>
      <w:r w:rsidR="0073671D" w:rsidRPr="0016460E">
        <w:rPr>
          <w:rFonts w:ascii="Arial" w:hAnsi="Arial" w:cs="Arial"/>
          <w:lang w:eastAsia="en-US"/>
        </w:rPr>
        <w:t xml:space="preserve"> (Fan et al., 2025)</w:t>
      </w:r>
      <w:r w:rsidRPr="0016460E">
        <w:rPr>
          <w:rFonts w:ascii="Arial" w:hAnsi="Arial" w:cs="Arial"/>
          <w:lang w:eastAsia="en-US"/>
        </w:rPr>
        <w:t xml:space="preserve">. Even though the knowledge about the necessity of timely and affordable psychological assistance is increasing and is given a priority by </w:t>
      </w:r>
      <w:r w:rsidR="00876178" w:rsidRPr="0016460E">
        <w:rPr>
          <w:rFonts w:ascii="Arial" w:hAnsi="Arial" w:cs="Arial"/>
          <w:lang w:eastAsia="en-US"/>
        </w:rPr>
        <w:t>policymakers</w:t>
      </w:r>
      <w:r w:rsidRPr="0016460E">
        <w:rPr>
          <w:rFonts w:ascii="Arial" w:hAnsi="Arial" w:cs="Arial"/>
          <w:lang w:eastAsia="en-US"/>
        </w:rPr>
        <w:t>, too many people still struggle to access such assistance because of stigma, workforce limitations, and extremely long lines, as well as geographical disparities</w:t>
      </w:r>
      <w:r w:rsidR="003807FC" w:rsidRPr="0016460E">
        <w:rPr>
          <w:rFonts w:ascii="Arial" w:hAnsi="Arial" w:cs="Arial"/>
          <w:lang w:eastAsia="en-US"/>
        </w:rPr>
        <w:t xml:space="preserve"> (Liu et al., 2025)</w:t>
      </w:r>
      <w:r w:rsidRPr="0016460E">
        <w:rPr>
          <w:rFonts w:ascii="Arial" w:hAnsi="Arial" w:cs="Arial"/>
          <w:lang w:eastAsia="en-US"/>
        </w:rPr>
        <w:t>. The last ten years have witnessed a fast pace of technological development and the mass adoption of smartphones, which led to the development of mobile mental health apps as new digital solutions to enhancing access to care</w:t>
      </w:r>
      <w:r w:rsidR="00BD4BCC" w:rsidRPr="0016460E">
        <w:rPr>
          <w:rFonts w:ascii="Arial" w:hAnsi="Arial" w:cs="Arial"/>
          <w:lang w:eastAsia="en-US"/>
        </w:rPr>
        <w:t xml:space="preserve"> (Litke et al., 2023)</w:t>
      </w:r>
      <w:r w:rsidRPr="0016460E">
        <w:rPr>
          <w:rFonts w:ascii="Arial" w:hAnsi="Arial" w:cs="Arial"/>
          <w:lang w:eastAsia="en-US"/>
        </w:rPr>
        <w:t xml:space="preserve">. </w:t>
      </w:r>
      <w:r w:rsidR="00876178" w:rsidRPr="0016460E">
        <w:rPr>
          <w:rFonts w:ascii="Arial" w:hAnsi="Arial" w:cs="Arial"/>
          <w:lang w:eastAsia="en-US"/>
        </w:rPr>
        <w:t>Mood tracking</w:t>
      </w:r>
      <w:r w:rsidRPr="0016460E">
        <w:rPr>
          <w:rFonts w:ascii="Arial" w:hAnsi="Arial" w:cs="Arial"/>
          <w:lang w:eastAsia="en-US"/>
        </w:rPr>
        <w:t xml:space="preserve"> guided therapeutic exercises, meditation programme, and self-monitoring systems are some of the features of these applications, which place them as flexible and scalable interventions.</w:t>
      </w:r>
    </w:p>
    <w:p w14:paraId="18072CD8" w14:textId="0599F651" w:rsidR="00BD2909" w:rsidRPr="0016460E" w:rsidRDefault="00C24FB7" w:rsidP="00CF01E1">
      <w:pPr>
        <w:spacing w:before="240"/>
        <w:jc w:val="left"/>
        <w:rPr>
          <w:rFonts w:ascii="Arial" w:hAnsi="Arial" w:cs="Arial"/>
          <w:lang w:eastAsia="en-US"/>
        </w:rPr>
      </w:pPr>
      <w:r w:rsidRPr="0016460E">
        <w:rPr>
          <w:rFonts w:ascii="Arial" w:hAnsi="Arial" w:cs="Arial"/>
          <w:lang w:eastAsia="en-US"/>
        </w:rPr>
        <w:t>Although the current studies show encouraging results in terms of symptom reduction and access, there are some worries about long-term involvement, clinical validity, ethical regulation, and fair accessibility to underserved populations. In this respect, the main purpose of this dissertation is to take a critical look at how mobile mental health applications can help to improve the outcomes in the areas of anxiety, depression, stress. The research aims at testing their effectiveness, user activity, and accessibility, at the same time examining their possible inclusion in health and social care practice. This study will help advance academic and professional discussions as to whether the responsible and evidence-based use of digital mental health technologies by incorporating the existing digital health literature.</w:t>
      </w:r>
      <w:r w:rsidR="00BD2909" w:rsidRPr="0016460E">
        <w:rPr>
          <w:rStyle w:val="eop"/>
          <w:rFonts w:ascii="Arial" w:hAnsi="Arial" w:cs="Arial"/>
        </w:rPr>
        <w:t> </w:t>
      </w:r>
    </w:p>
    <w:p w14:paraId="66501BF4" w14:textId="3E7B8158" w:rsidR="00BD2909" w:rsidRPr="002368E7" w:rsidRDefault="00BD2909" w:rsidP="00CF01E1">
      <w:pPr>
        <w:pStyle w:val="Heading2"/>
        <w:numPr>
          <w:ilvl w:val="1"/>
          <w:numId w:val="149"/>
        </w:numPr>
        <w:spacing w:before="240" w:after="160"/>
        <w:jc w:val="left"/>
        <w:rPr>
          <w:rStyle w:val="normaltextrun"/>
          <w:sz w:val="28"/>
          <w:szCs w:val="28"/>
        </w:rPr>
      </w:pPr>
      <w:bookmarkStart w:id="4" w:name="_Toc222989898"/>
      <w:bookmarkStart w:id="5" w:name="_Toc222997184"/>
      <w:r w:rsidRPr="002368E7">
        <w:rPr>
          <w:rStyle w:val="normaltextrun"/>
          <w:rFonts w:ascii="Arial" w:hAnsi="Arial" w:cs="Arial"/>
          <w:b/>
          <w:bCs/>
          <w:color w:val="auto"/>
          <w:sz w:val="28"/>
          <w:szCs w:val="28"/>
        </w:rPr>
        <w:t>Definitions and Terminology</w:t>
      </w:r>
      <w:bookmarkEnd w:id="4"/>
      <w:bookmarkEnd w:id="5"/>
    </w:p>
    <w:p w14:paraId="176F24DB" w14:textId="2E7640FD"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t>Mental Health:</w:t>
      </w:r>
      <w:r w:rsidRPr="0016460E">
        <w:rPr>
          <w:rFonts w:ascii="Arial" w:hAnsi="Arial" w:cs="Arial"/>
          <w:lang w:eastAsia="en-US"/>
        </w:rPr>
        <w:t xml:space="preserve"> This is the psychological, emotional and social wellbeing of people that allows them to manage stress and live normally and be productive in the society</w:t>
      </w:r>
      <w:r w:rsidR="006E3FA5" w:rsidRPr="0016460E">
        <w:rPr>
          <w:rFonts w:ascii="Arial" w:hAnsi="Arial" w:cs="Arial"/>
          <w:lang w:eastAsia="en-US"/>
        </w:rPr>
        <w:t xml:space="preserve"> (WHO, 2022)</w:t>
      </w:r>
      <w:r w:rsidRPr="0016460E">
        <w:rPr>
          <w:rFonts w:ascii="Arial" w:hAnsi="Arial" w:cs="Arial"/>
          <w:lang w:eastAsia="en-US"/>
        </w:rPr>
        <w:t>.</w:t>
      </w:r>
    </w:p>
    <w:p w14:paraId="1DE5972A" w14:textId="77777777"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t>Anxiety Disorders:</w:t>
      </w:r>
      <w:r w:rsidRPr="0016460E">
        <w:rPr>
          <w:rFonts w:ascii="Arial" w:hAnsi="Arial" w:cs="Arial"/>
          <w:lang w:eastAsia="en-US"/>
        </w:rPr>
        <w:t xml:space="preserve"> Medical issues that are typified by an excessive fear, worry and physiological arousal, which disrupt the normal manner of functioning.</w:t>
      </w:r>
    </w:p>
    <w:p w14:paraId="0BE4E32E" w14:textId="77777777"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lastRenderedPageBreak/>
        <w:t>Depression:</w:t>
      </w:r>
      <w:r w:rsidRPr="0016460E">
        <w:rPr>
          <w:rFonts w:ascii="Arial" w:hAnsi="Arial" w:cs="Arial"/>
          <w:lang w:eastAsia="en-US"/>
        </w:rPr>
        <w:t xml:space="preserve"> A mood disorder, which is characterized by the constant low mood, loss of interest or pleasure, and cognitive and physical dysfunctions </w:t>
      </w:r>
      <w:proofErr w:type="gramStart"/>
      <w:r w:rsidRPr="0016460E">
        <w:rPr>
          <w:rFonts w:ascii="Arial" w:hAnsi="Arial" w:cs="Arial"/>
          <w:lang w:eastAsia="en-US"/>
        </w:rPr>
        <w:t>with regard to</w:t>
      </w:r>
      <w:proofErr w:type="gramEnd"/>
      <w:r w:rsidRPr="0016460E">
        <w:rPr>
          <w:rFonts w:ascii="Arial" w:hAnsi="Arial" w:cs="Arial"/>
          <w:lang w:eastAsia="en-US"/>
        </w:rPr>
        <w:t xml:space="preserve"> normal functioning.</w:t>
      </w:r>
    </w:p>
    <w:p w14:paraId="66EC02AC" w14:textId="5B3700CC"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t>Stress:</w:t>
      </w:r>
      <w:r w:rsidRPr="0016460E">
        <w:rPr>
          <w:rFonts w:ascii="Arial" w:hAnsi="Arial" w:cs="Arial"/>
          <w:lang w:eastAsia="en-US"/>
        </w:rPr>
        <w:t xml:space="preserve"> This is a psychological and physiological reaction to challenges or pressure that is perceived, and can be harmful when sustained</w:t>
      </w:r>
      <w:r w:rsidR="00FF5B40" w:rsidRPr="0016460E">
        <w:rPr>
          <w:rFonts w:ascii="Arial" w:hAnsi="Arial" w:cs="Arial"/>
          <w:lang w:eastAsia="en-US"/>
        </w:rPr>
        <w:t xml:space="preserve"> (Chu et al., 2024)</w:t>
      </w:r>
      <w:r w:rsidRPr="0016460E">
        <w:rPr>
          <w:rFonts w:ascii="Arial" w:hAnsi="Arial" w:cs="Arial"/>
          <w:lang w:eastAsia="en-US"/>
        </w:rPr>
        <w:t>.</w:t>
      </w:r>
    </w:p>
    <w:p w14:paraId="072F6BB6" w14:textId="77777777"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t>Mobile Mental health applications:</w:t>
      </w:r>
      <w:r w:rsidRPr="0016460E">
        <w:rPr>
          <w:rFonts w:ascii="Arial" w:hAnsi="Arial" w:cs="Arial"/>
          <w:lang w:eastAsia="en-US"/>
        </w:rPr>
        <w:t xml:space="preserve"> Digital applications accessible on a smartphone that can be used to offer therapeutic interventions, mood monitoring, psychoeducation or self-help.</w:t>
      </w:r>
    </w:p>
    <w:p w14:paraId="4143D5D2" w14:textId="71A87F79"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t>Digital Mental Health Interventions</w:t>
      </w:r>
      <w:r w:rsidR="00297BC6" w:rsidRPr="0016460E">
        <w:rPr>
          <w:rFonts w:ascii="Arial" w:hAnsi="Arial" w:cs="Arial"/>
          <w:b/>
          <w:bCs/>
          <w:lang w:eastAsia="en-US"/>
        </w:rPr>
        <w:t>:</w:t>
      </w:r>
      <w:r w:rsidR="00297BC6" w:rsidRPr="0016460E">
        <w:rPr>
          <w:rFonts w:ascii="Arial" w:hAnsi="Arial" w:cs="Arial"/>
          <w:lang w:eastAsia="en-US"/>
        </w:rPr>
        <w:t xml:space="preserve"> </w:t>
      </w:r>
      <w:r w:rsidRPr="0016460E">
        <w:rPr>
          <w:rFonts w:ascii="Arial" w:hAnsi="Arial" w:cs="Arial"/>
          <w:lang w:eastAsia="en-US"/>
        </w:rPr>
        <w:t>Digital Mental Health services are technology-driven mental health services provided digitally via mobile or online</w:t>
      </w:r>
      <w:r w:rsidR="00623792" w:rsidRPr="0016460E">
        <w:rPr>
          <w:rFonts w:ascii="Arial" w:hAnsi="Arial" w:cs="Arial"/>
          <w:lang w:eastAsia="en-US"/>
        </w:rPr>
        <w:t xml:space="preserve"> (Chaudhury et al., 2020)</w:t>
      </w:r>
      <w:r w:rsidRPr="0016460E">
        <w:rPr>
          <w:rFonts w:ascii="Arial" w:hAnsi="Arial" w:cs="Arial"/>
          <w:lang w:eastAsia="en-US"/>
        </w:rPr>
        <w:t>.</w:t>
      </w:r>
    </w:p>
    <w:p w14:paraId="626EB5AD" w14:textId="77777777" w:rsidR="000974C6" w:rsidRPr="0016460E" w:rsidRDefault="000974C6" w:rsidP="00CF01E1">
      <w:pPr>
        <w:spacing w:before="240"/>
        <w:jc w:val="left"/>
        <w:rPr>
          <w:rFonts w:ascii="Arial" w:hAnsi="Arial" w:cs="Arial"/>
          <w:lang w:eastAsia="en-US"/>
        </w:rPr>
      </w:pPr>
      <w:r w:rsidRPr="0016460E">
        <w:rPr>
          <w:rFonts w:ascii="Arial" w:hAnsi="Arial" w:cs="Arial"/>
          <w:b/>
          <w:bCs/>
          <w:lang w:eastAsia="en-US"/>
        </w:rPr>
        <w:t>User Engagement:</w:t>
      </w:r>
      <w:r w:rsidRPr="0016460E">
        <w:rPr>
          <w:rFonts w:ascii="Arial" w:hAnsi="Arial" w:cs="Arial"/>
          <w:lang w:eastAsia="en-US"/>
        </w:rPr>
        <w:t xml:space="preserve"> The degree of active activity, compliance, and sustained use of a digital mental health tool.</w:t>
      </w:r>
    </w:p>
    <w:p w14:paraId="1FD7273F" w14:textId="50531F8A" w:rsidR="00BD2909" w:rsidRPr="0016460E" w:rsidRDefault="000974C6" w:rsidP="00CF01E1">
      <w:pPr>
        <w:spacing w:before="240"/>
        <w:jc w:val="left"/>
        <w:rPr>
          <w:rFonts w:ascii="Arial" w:hAnsi="Arial" w:cs="Arial"/>
          <w:lang w:eastAsia="en-US"/>
        </w:rPr>
      </w:pPr>
      <w:r w:rsidRPr="0016460E">
        <w:rPr>
          <w:rFonts w:ascii="Arial" w:hAnsi="Arial" w:cs="Arial"/>
          <w:b/>
          <w:bCs/>
          <w:lang w:eastAsia="en-US"/>
        </w:rPr>
        <w:t>Clinical Translation:</w:t>
      </w:r>
      <w:r w:rsidRPr="0016460E">
        <w:rPr>
          <w:rFonts w:ascii="Arial" w:hAnsi="Arial" w:cs="Arial"/>
          <w:lang w:eastAsia="en-US"/>
        </w:rPr>
        <w:t xml:space="preserve"> The process involves implementing research-based digital tools into the official health and social care practice</w:t>
      </w:r>
      <w:r w:rsidR="00F73CC1" w:rsidRPr="0016460E">
        <w:rPr>
          <w:rFonts w:ascii="Arial" w:hAnsi="Arial" w:cs="Arial"/>
          <w:lang w:eastAsia="en-US"/>
        </w:rPr>
        <w:t xml:space="preserve"> (Clohessy et al., 2024)</w:t>
      </w:r>
      <w:r w:rsidR="00B75875" w:rsidRPr="0016460E">
        <w:rPr>
          <w:rFonts w:ascii="Arial" w:hAnsi="Arial" w:cs="Arial"/>
          <w:lang w:eastAsia="en-US"/>
        </w:rPr>
        <w:t>.</w:t>
      </w:r>
      <w:r w:rsidR="00BD2909" w:rsidRPr="0016460E">
        <w:rPr>
          <w:rStyle w:val="eop"/>
          <w:rFonts w:ascii="Arial" w:hAnsi="Arial" w:cs="Arial"/>
        </w:rPr>
        <w:t> </w:t>
      </w:r>
    </w:p>
    <w:p w14:paraId="1C096159" w14:textId="6E017A83" w:rsidR="00BD2909" w:rsidRPr="0016460E" w:rsidRDefault="00BD2909" w:rsidP="00CF01E1">
      <w:pPr>
        <w:spacing w:before="240"/>
        <w:jc w:val="left"/>
        <w:rPr>
          <w:rFonts w:ascii="Arial" w:hAnsi="Arial" w:cs="Arial"/>
          <w:b/>
          <w:bCs/>
        </w:rPr>
      </w:pPr>
      <w:r w:rsidRPr="0016460E">
        <w:rPr>
          <w:rStyle w:val="normaltextrun"/>
          <w:rFonts w:ascii="Arial" w:hAnsi="Arial" w:cs="Arial"/>
          <w:b/>
          <w:bCs/>
        </w:rPr>
        <w:t>Acronyms and Abbreviations</w:t>
      </w:r>
    </w:p>
    <w:p w14:paraId="11829198" w14:textId="2403859D"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CBT</w:t>
      </w:r>
      <w:r w:rsidRPr="0016460E">
        <w:rPr>
          <w:rFonts w:ascii="Arial" w:hAnsi="Arial" w:cs="Arial"/>
          <w:sz w:val="22"/>
          <w:szCs w:val="22"/>
        </w:rPr>
        <w:t xml:space="preserve"> – Cognitive Behavioural Therap</w:t>
      </w:r>
      <w:r w:rsidR="004F196D" w:rsidRPr="0016460E">
        <w:rPr>
          <w:rFonts w:ascii="Arial" w:hAnsi="Arial" w:cs="Arial"/>
          <w:sz w:val="22"/>
          <w:szCs w:val="22"/>
        </w:rPr>
        <w:t>y</w:t>
      </w:r>
    </w:p>
    <w:p w14:paraId="59183136"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TAM</w:t>
      </w:r>
      <w:r w:rsidRPr="0016460E">
        <w:rPr>
          <w:rFonts w:ascii="Arial" w:hAnsi="Arial" w:cs="Arial"/>
          <w:sz w:val="22"/>
          <w:szCs w:val="22"/>
        </w:rPr>
        <w:t xml:space="preserve"> – Technology Acceptance Model</w:t>
      </w:r>
    </w:p>
    <w:p w14:paraId="1024B8EA"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NHS</w:t>
      </w:r>
      <w:r w:rsidRPr="0016460E">
        <w:rPr>
          <w:rFonts w:ascii="Arial" w:hAnsi="Arial" w:cs="Arial"/>
          <w:sz w:val="22"/>
          <w:szCs w:val="22"/>
        </w:rPr>
        <w:t xml:space="preserve"> – National Health Service</w:t>
      </w:r>
    </w:p>
    <w:p w14:paraId="6BD6A9BE"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IAPT</w:t>
      </w:r>
      <w:r w:rsidRPr="0016460E">
        <w:rPr>
          <w:rFonts w:ascii="Arial" w:hAnsi="Arial" w:cs="Arial"/>
          <w:sz w:val="22"/>
          <w:szCs w:val="22"/>
        </w:rPr>
        <w:t xml:space="preserve"> – Improving Access to Psychological Therapies (programme within the NHS)</w:t>
      </w:r>
    </w:p>
    <w:p w14:paraId="253ADBD4"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DTAC</w:t>
      </w:r>
      <w:r w:rsidRPr="0016460E">
        <w:rPr>
          <w:rFonts w:ascii="Arial" w:hAnsi="Arial" w:cs="Arial"/>
          <w:sz w:val="22"/>
          <w:szCs w:val="22"/>
        </w:rPr>
        <w:t xml:space="preserve"> – Digital Technology Assessment Criteria</w:t>
      </w:r>
    </w:p>
    <w:p w14:paraId="5E102CF4"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WHO</w:t>
      </w:r>
      <w:r w:rsidRPr="0016460E">
        <w:rPr>
          <w:rFonts w:ascii="Arial" w:hAnsi="Arial" w:cs="Arial"/>
          <w:sz w:val="22"/>
          <w:szCs w:val="22"/>
        </w:rPr>
        <w:t xml:space="preserve"> – World Health Organization</w:t>
      </w:r>
    </w:p>
    <w:p w14:paraId="2D997DC9"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RCT</w:t>
      </w:r>
      <w:r w:rsidRPr="0016460E">
        <w:rPr>
          <w:rFonts w:ascii="Arial" w:hAnsi="Arial" w:cs="Arial"/>
          <w:sz w:val="22"/>
          <w:szCs w:val="22"/>
        </w:rPr>
        <w:t xml:space="preserve"> – Randomised Controlled Trial</w:t>
      </w:r>
    </w:p>
    <w:p w14:paraId="747B4622"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mHealth</w:t>
      </w:r>
      <w:r w:rsidRPr="0016460E">
        <w:rPr>
          <w:rFonts w:ascii="Arial" w:hAnsi="Arial" w:cs="Arial"/>
          <w:sz w:val="22"/>
          <w:szCs w:val="22"/>
        </w:rPr>
        <w:t xml:space="preserve"> – Mobile Health (digital health delivered through mobile devices)</w:t>
      </w:r>
    </w:p>
    <w:p w14:paraId="383E7672" w14:textId="77777777" w:rsidR="004431A3" w:rsidRPr="0016460E" w:rsidRDefault="004431A3" w:rsidP="00CF01E1">
      <w:pPr>
        <w:pStyle w:val="paragraph"/>
        <w:numPr>
          <w:ilvl w:val="0"/>
          <w:numId w:val="165"/>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AI</w:t>
      </w:r>
      <w:r w:rsidRPr="0016460E">
        <w:rPr>
          <w:rFonts w:ascii="Arial" w:hAnsi="Arial" w:cs="Arial"/>
          <w:sz w:val="22"/>
          <w:szCs w:val="22"/>
        </w:rPr>
        <w:t xml:space="preserve"> – Artificial Intelligence</w:t>
      </w:r>
    </w:p>
    <w:p w14:paraId="127770C8" w14:textId="77777777" w:rsidR="004431A3" w:rsidRPr="0016460E" w:rsidRDefault="004431A3" w:rsidP="00CF01E1">
      <w:pPr>
        <w:pStyle w:val="paragraph"/>
        <w:numPr>
          <w:ilvl w:val="0"/>
          <w:numId w:val="166"/>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PHQ-9</w:t>
      </w:r>
      <w:r w:rsidRPr="0016460E">
        <w:rPr>
          <w:rFonts w:ascii="Arial" w:hAnsi="Arial" w:cs="Arial"/>
          <w:sz w:val="22"/>
          <w:szCs w:val="22"/>
        </w:rPr>
        <w:t xml:space="preserve"> – Patient Health Questionnaire-9 (depression scale)</w:t>
      </w:r>
    </w:p>
    <w:p w14:paraId="2EE8556C" w14:textId="40F00DC4" w:rsidR="00BD2909" w:rsidRPr="0016460E" w:rsidRDefault="004431A3" w:rsidP="00CF01E1">
      <w:pPr>
        <w:pStyle w:val="paragraph"/>
        <w:numPr>
          <w:ilvl w:val="0"/>
          <w:numId w:val="166"/>
        </w:numPr>
        <w:spacing w:before="240" w:beforeAutospacing="0" w:after="160" w:afterAutospacing="0" w:line="360" w:lineRule="auto"/>
        <w:textAlignment w:val="baseline"/>
        <w:rPr>
          <w:rFonts w:ascii="Arial" w:hAnsi="Arial" w:cs="Arial"/>
          <w:sz w:val="22"/>
          <w:szCs w:val="22"/>
        </w:rPr>
      </w:pPr>
      <w:r w:rsidRPr="0016460E">
        <w:rPr>
          <w:rFonts w:ascii="Arial" w:hAnsi="Arial" w:cs="Arial"/>
          <w:b/>
          <w:bCs/>
          <w:sz w:val="22"/>
          <w:szCs w:val="22"/>
        </w:rPr>
        <w:t>GAD-7</w:t>
      </w:r>
      <w:r w:rsidRPr="0016460E">
        <w:rPr>
          <w:rFonts w:ascii="Arial" w:hAnsi="Arial" w:cs="Arial"/>
          <w:sz w:val="22"/>
          <w:szCs w:val="22"/>
        </w:rPr>
        <w:t xml:space="preserve"> – Generalised Anxiety Disorder-7 scale</w:t>
      </w:r>
    </w:p>
    <w:p w14:paraId="636A08D3" w14:textId="21957574" w:rsidR="00BD2909" w:rsidRPr="00AD3D2D" w:rsidRDefault="00BD2909" w:rsidP="00CF01E1">
      <w:pPr>
        <w:pStyle w:val="Heading2"/>
        <w:numPr>
          <w:ilvl w:val="1"/>
          <w:numId w:val="149"/>
        </w:numPr>
        <w:spacing w:before="240" w:after="160"/>
        <w:jc w:val="left"/>
        <w:rPr>
          <w:rStyle w:val="normaltextrun"/>
          <w:sz w:val="28"/>
          <w:szCs w:val="28"/>
        </w:rPr>
      </w:pPr>
      <w:bookmarkStart w:id="6" w:name="_Toc222989899"/>
      <w:bookmarkStart w:id="7" w:name="_Toc222997185"/>
      <w:r w:rsidRPr="00AD3D2D">
        <w:rPr>
          <w:rStyle w:val="normaltextrun"/>
          <w:rFonts w:ascii="Arial" w:hAnsi="Arial" w:cs="Arial"/>
          <w:b/>
          <w:bCs/>
          <w:color w:val="auto"/>
          <w:sz w:val="28"/>
          <w:szCs w:val="28"/>
        </w:rPr>
        <w:lastRenderedPageBreak/>
        <w:t>Rationale for Research</w:t>
      </w:r>
      <w:bookmarkEnd w:id="6"/>
      <w:bookmarkEnd w:id="7"/>
      <w:r w:rsidRPr="00AD3D2D">
        <w:rPr>
          <w:rStyle w:val="normaltextrun"/>
          <w:sz w:val="28"/>
          <w:szCs w:val="28"/>
        </w:rPr>
        <w:t> </w:t>
      </w:r>
    </w:p>
    <w:p w14:paraId="75E17D56" w14:textId="7CA02941" w:rsidR="00BD2909" w:rsidRPr="0016460E" w:rsidRDefault="00F31733" w:rsidP="00CF01E1">
      <w:pPr>
        <w:spacing w:before="240"/>
        <w:jc w:val="left"/>
        <w:rPr>
          <w:rFonts w:ascii="Arial" w:hAnsi="Arial" w:cs="Arial"/>
          <w:lang w:eastAsia="en-US"/>
        </w:rPr>
      </w:pPr>
      <w:r w:rsidRPr="0016460E">
        <w:rPr>
          <w:rFonts w:ascii="Arial" w:hAnsi="Arial" w:cs="Arial"/>
          <w:lang w:eastAsia="en-US"/>
        </w:rPr>
        <w:t>The choice of mobile mental health applications as an object of study is a symptom of modern technological shifts and long-standing systemic issues in mental health care delivery. Although mental health awareness has increased, there have been gaps in treatment across the world especially in the low-resource context and in the underserved groups. Online health technologies have been placed as universally applicable solutions that can address geographical, financial and stigma-related obstacles</w:t>
      </w:r>
      <w:r w:rsidR="007D3DD9" w:rsidRPr="0016460E">
        <w:rPr>
          <w:rFonts w:ascii="Arial" w:hAnsi="Arial" w:cs="Arial"/>
          <w:lang w:eastAsia="en-US"/>
        </w:rPr>
        <w:t xml:space="preserve"> (</w:t>
      </w:r>
      <w:proofErr w:type="spellStart"/>
      <w:r w:rsidR="007D3DD9" w:rsidRPr="0016460E">
        <w:rPr>
          <w:rFonts w:ascii="Arial" w:hAnsi="Arial" w:cs="Arial"/>
          <w:lang w:eastAsia="en-US"/>
        </w:rPr>
        <w:t>Anawade</w:t>
      </w:r>
      <w:proofErr w:type="spellEnd"/>
      <w:r w:rsidR="007D3DD9" w:rsidRPr="0016460E">
        <w:rPr>
          <w:rFonts w:ascii="Arial" w:hAnsi="Arial" w:cs="Arial"/>
          <w:lang w:eastAsia="en-US"/>
        </w:rPr>
        <w:t>, Sharma and Gahane, 2024)</w:t>
      </w:r>
      <w:r w:rsidRPr="0016460E">
        <w:rPr>
          <w:rFonts w:ascii="Arial" w:hAnsi="Arial" w:cs="Arial"/>
          <w:lang w:eastAsia="en-US"/>
        </w:rPr>
        <w:t xml:space="preserve">. Nonetheless, the literature available gives a piecemeal evaluation of their effectiveness. Although certain randomised controlled trials show encouraging data with regards to symptom amelioration, other research findings raise the issue of short time participation, uneven standards of evidence, as well as restricted </w:t>
      </w:r>
      <w:proofErr w:type="gramStart"/>
      <w:r w:rsidRPr="0016460E">
        <w:rPr>
          <w:rFonts w:ascii="Arial" w:hAnsi="Arial" w:cs="Arial"/>
          <w:lang w:eastAsia="en-US"/>
        </w:rPr>
        <w:t>long term</w:t>
      </w:r>
      <w:proofErr w:type="gramEnd"/>
      <w:r w:rsidRPr="0016460E">
        <w:rPr>
          <w:rFonts w:ascii="Arial" w:hAnsi="Arial" w:cs="Arial"/>
          <w:lang w:eastAsia="en-US"/>
        </w:rPr>
        <w:t xml:space="preserve"> information</w:t>
      </w:r>
      <w:r w:rsidR="005B16DA" w:rsidRPr="0016460E">
        <w:rPr>
          <w:rFonts w:ascii="Arial" w:hAnsi="Arial" w:cs="Arial"/>
          <w:lang w:eastAsia="en-US"/>
        </w:rPr>
        <w:t xml:space="preserve"> (Azoulay, 2022)</w:t>
      </w:r>
      <w:r w:rsidRPr="0016460E">
        <w:rPr>
          <w:rFonts w:ascii="Arial" w:hAnsi="Arial" w:cs="Arial"/>
          <w:lang w:eastAsia="en-US"/>
        </w:rPr>
        <w:t xml:space="preserve">. </w:t>
      </w:r>
      <w:r w:rsidR="00451BE0" w:rsidRPr="0016460E">
        <w:rPr>
          <w:rFonts w:ascii="Arial" w:hAnsi="Arial" w:cs="Arial"/>
          <w:lang w:eastAsia="en-US"/>
        </w:rPr>
        <w:t>S</w:t>
      </w:r>
      <w:r w:rsidRPr="0016460E">
        <w:rPr>
          <w:rFonts w:ascii="Arial" w:hAnsi="Arial" w:cs="Arial"/>
          <w:lang w:eastAsia="en-US"/>
        </w:rPr>
        <w:t>tudy indicates that there are inequalities in the access and digital literacy of marginalised populations that poses ethical and equity issues. The issue of data privacy, regulatory control, and the degree of compliance of commercially available applications with the work of evidence-based therapeutic frameworks are also debated. This therefore calls the necessity of an extensive synthesis that will consider not only its efficacy but also its engagement, accessibility, and ethical ramifications. The current study fills such gaps through a critical review of existing literature and the ways in which mobile mental health apps may be implemented in health and social care practice in a responsible and effective manner.</w:t>
      </w:r>
      <w:r w:rsidR="00BD2909" w:rsidRPr="0016460E">
        <w:rPr>
          <w:rStyle w:val="eop"/>
          <w:rFonts w:ascii="Arial" w:hAnsi="Arial" w:cs="Arial"/>
        </w:rPr>
        <w:t> </w:t>
      </w:r>
    </w:p>
    <w:p w14:paraId="669241A7" w14:textId="39A3D02D" w:rsidR="00BD2909" w:rsidRPr="00AD3D2D" w:rsidRDefault="00BD2909" w:rsidP="00CF01E1">
      <w:pPr>
        <w:pStyle w:val="Heading2"/>
        <w:numPr>
          <w:ilvl w:val="1"/>
          <w:numId w:val="149"/>
        </w:numPr>
        <w:spacing w:before="240" w:after="160"/>
        <w:jc w:val="left"/>
        <w:rPr>
          <w:rStyle w:val="normaltextrun"/>
          <w:sz w:val="28"/>
          <w:szCs w:val="28"/>
        </w:rPr>
      </w:pPr>
      <w:bookmarkStart w:id="8" w:name="_Toc222989900"/>
      <w:bookmarkStart w:id="9" w:name="_Toc222997186"/>
      <w:r w:rsidRPr="00AD3D2D">
        <w:rPr>
          <w:rStyle w:val="normaltextrun"/>
          <w:rFonts w:ascii="Arial" w:hAnsi="Arial" w:cs="Arial"/>
          <w:b/>
          <w:bCs/>
          <w:color w:val="auto"/>
          <w:sz w:val="28"/>
          <w:szCs w:val="28"/>
        </w:rPr>
        <w:t>Aim and Objectives</w:t>
      </w:r>
      <w:bookmarkEnd w:id="8"/>
      <w:bookmarkEnd w:id="9"/>
      <w:r w:rsidRPr="00AD3D2D">
        <w:rPr>
          <w:rStyle w:val="normaltextrun"/>
          <w:sz w:val="28"/>
          <w:szCs w:val="28"/>
        </w:rPr>
        <w:t> </w:t>
      </w:r>
    </w:p>
    <w:p w14:paraId="510C0486" w14:textId="77777777" w:rsidR="000971AC" w:rsidRPr="0016460E" w:rsidRDefault="000971AC" w:rsidP="00CF01E1">
      <w:pPr>
        <w:pStyle w:val="paragraph"/>
        <w:spacing w:before="240" w:beforeAutospacing="0" w:after="160" w:afterAutospacing="0" w:line="360" w:lineRule="auto"/>
        <w:textAlignment w:val="baseline"/>
        <w:rPr>
          <w:rFonts w:ascii="Arial" w:hAnsi="Arial" w:cs="Arial"/>
          <w:b/>
          <w:bCs/>
          <w:sz w:val="22"/>
          <w:szCs w:val="22"/>
        </w:rPr>
      </w:pPr>
      <w:r w:rsidRPr="0016460E">
        <w:rPr>
          <w:rFonts w:ascii="Arial" w:hAnsi="Arial" w:cs="Arial"/>
          <w:b/>
          <w:bCs/>
          <w:sz w:val="22"/>
          <w:szCs w:val="22"/>
        </w:rPr>
        <w:t>Research Aim</w:t>
      </w:r>
    </w:p>
    <w:p w14:paraId="551662F8" w14:textId="77777777" w:rsidR="000971AC" w:rsidRPr="0016460E" w:rsidRDefault="000971AC" w:rsidP="00CF01E1">
      <w:pPr>
        <w:pStyle w:val="paragraph"/>
        <w:spacing w:before="240" w:beforeAutospacing="0" w:after="160" w:afterAutospacing="0" w:line="360" w:lineRule="auto"/>
        <w:textAlignment w:val="baseline"/>
        <w:rPr>
          <w:rFonts w:ascii="Arial" w:hAnsi="Arial" w:cs="Arial"/>
          <w:sz w:val="22"/>
          <w:szCs w:val="22"/>
        </w:rPr>
      </w:pPr>
      <w:r w:rsidRPr="0016460E">
        <w:rPr>
          <w:rFonts w:ascii="Arial" w:hAnsi="Arial" w:cs="Arial"/>
          <w:sz w:val="22"/>
          <w:szCs w:val="22"/>
        </w:rPr>
        <w:t>To critically explore the role of mobile mental health applications in enhancing mental health outcomes, particularly in relation to anxiety, depression, and stress, and to evaluate their efficacy, engagement, accessibility, and clinical applicability within health and social care contexts.</w:t>
      </w:r>
    </w:p>
    <w:p w14:paraId="6B413202" w14:textId="77777777" w:rsidR="0043126C" w:rsidRPr="0016460E" w:rsidRDefault="000971AC" w:rsidP="00CF01E1">
      <w:pPr>
        <w:pStyle w:val="paragraph"/>
        <w:spacing w:before="240" w:beforeAutospacing="0" w:after="160" w:afterAutospacing="0" w:line="360" w:lineRule="auto"/>
        <w:textAlignment w:val="baseline"/>
        <w:rPr>
          <w:rFonts w:ascii="Arial" w:hAnsi="Arial" w:cs="Arial"/>
          <w:b/>
          <w:bCs/>
          <w:sz w:val="22"/>
          <w:szCs w:val="22"/>
        </w:rPr>
      </w:pPr>
      <w:r w:rsidRPr="0016460E">
        <w:rPr>
          <w:rFonts w:ascii="Arial" w:hAnsi="Arial" w:cs="Arial"/>
          <w:b/>
          <w:bCs/>
          <w:sz w:val="22"/>
          <w:szCs w:val="22"/>
        </w:rPr>
        <w:t>Research Objectives</w:t>
      </w:r>
    </w:p>
    <w:p w14:paraId="0C2E8A53" w14:textId="77777777" w:rsidR="0043126C" w:rsidRPr="0016460E" w:rsidRDefault="000971AC" w:rsidP="00CF01E1">
      <w:pPr>
        <w:pStyle w:val="paragraph"/>
        <w:numPr>
          <w:ilvl w:val="0"/>
          <w:numId w:val="147"/>
        </w:numPr>
        <w:spacing w:before="240" w:beforeAutospacing="0" w:after="160" w:afterAutospacing="0" w:line="360" w:lineRule="auto"/>
        <w:textAlignment w:val="baseline"/>
        <w:rPr>
          <w:rFonts w:ascii="Arial" w:hAnsi="Arial" w:cs="Arial"/>
          <w:b/>
          <w:bCs/>
          <w:sz w:val="22"/>
          <w:szCs w:val="22"/>
        </w:rPr>
      </w:pPr>
      <w:r w:rsidRPr="0016460E">
        <w:rPr>
          <w:rFonts w:ascii="Arial" w:hAnsi="Arial" w:cs="Arial"/>
          <w:sz w:val="22"/>
          <w:szCs w:val="22"/>
        </w:rPr>
        <w:t>To Define and examine the purpose of mobile mental health apps in self-managing and therapy facilitation among users.</w:t>
      </w:r>
    </w:p>
    <w:p w14:paraId="6074F78F" w14:textId="77777777" w:rsidR="0043126C" w:rsidRPr="0016460E" w:rsidRDefault="000971AC" w:rsidP="00CF01E1">
      <w:pPr>
        <w:pStyle w:val="paragraph"/>
        <w:numPr>
          <w:ilvl w:val="0"/>
          <w:numId w:val="147"/>
        </w:numPr>
        <w:spacing w:before="240" w:beforeAutospacing="0" w:after="160" w:afterAutospacing="0" w:line="360" w:lineRule="auto"/>
        <w:textAlignment w:val="baseline"/>
        <w:rPr>
          <w:rFonts w:ascii="Arial" w:hAnsi="Arial" w:cs="Arial"/>
          <w:b/>
          <w:bCs/>
          <w:sz w:val="22"/>
          <w:szCs w:val="22"/>
        </w:rPr>
      </w:pPr>
      <w:r w:rsidRPr="0016460E">
        <w:rPr>
          <w:rFonts w:ascii="Arial" w:hAnsi="Arial" w:cs="Arial"/>
          <w:sz w:val="22"/>
          <w:szCs w:val="22"/>
        </w:rPr>
        <w:t>To Analyse evidence-based mental health apps to mitigate the symptoms of anxiety and mood disorders.</w:t>
      </w:r>
    </w:p>
    <w:p w14:paraId="0B3F3E3E" w14:textId="77777777" w:rsidR="0043126C" w:rsidRPr="0016460E" w:rsidRDefault="000971AC" w:rsidP="00CF01E1">
      <w:pPr>
        <w:pStyle w:val="paragraph"/>
        <w:numPr>
          <w:ilvl w:val="0"/>
          <w:numId w:val="147"/>
        </w:numPr>
        <w:spacing w:before="240" w:beforeAutospacing="0" w:after="160" w:afterAutospacing="0" w:line="360" w:lineRule="auto"/>
        <w:textAlignment w:val="baseline"/>
        <w:rPr>
          <w:rFonts w:ascii="Arial" w:hAnsi="Arial" w:cs="Arial"/>
          <w:b/>
          <w:bCs/>
          <w:sz w:val="22"/>
          <w:szCs w:val="22"/>
        </w:rPr>
      </w:pPr>
      <w:r w:rsidRPr="0016460E">
        <w:rPr>
          <w:rFonts w:ascii="Arial" w:hAnsi="Arial" w:cs="Arial"/>
          <w:sz w:val="22"/>
          <w:szCs w:val="22"/>
        </w:rPr>
        <w:lastRenderedPageBreak/>
        <w:t>To Evaluate user engagement, retention, and access problems with the heterogeneous and underserved groups.</w:t>
      </w:r>
    </w:p>
    <w:p w14:paraId="7FA3F3C5" w14:textId="54738DF3" w:rsidR="00BD2909" w:rsidRPr="0016460E" w:rsidRDefault="000971AC" w:rsidP="00CF01E1">
      <w:pPr>
        <w:pStyle w:val="paragraph"/>
        <w:numPr>
          <w:ilvl w:val="0"/>
          <w:numId w:val="147"/>
        </w:numPr>
        <w:spacing w:before="240" w:beforeAutospacing="0" w:after="160" w:afterAutospacing="0" w:line="360" w:lineRule="auto"/>
        <w:textAlignment w:val="baseline"/>
        <w:rPr>
          <w:rFonts w:ascii="Arial" w:hAnsi="Arial" w:cs="Arial"/>
          <w:b/>
          <w:bCs/>
          <w:sz w:val="22"/>
          <w:szCs w:val="22"/>
        </w:rPr>
      </w:pPr>
      <w:r w:rsidRPr="0016460E">
        <w:rPr>
          <w:rFonts w:ascii="Arial" w:hAnsi="Arial" w:cs="Arial"/>
          <w:sz w:val="22"/>
          <w:szCs w:val="22"/>
        </w:rPr>
        <w:t>To Provide recommendations in clinical translation, usability and ethical application of digital mental health tools.</w:t>
      </w:r>
      <w:r w:rsidR="00BD2909" w:rsidRPr="0016460E">
        <w:rPr>
          <w:rStyle w:val="eop"/>
          <w:rFonts w:ascii="Arial" w:hAnsi="Arial" w:cs="Arial"/>
          <w:sz w:val="22"/>
          <w:szCs w:val="22"/>
        </w:rPr>
        <w:t> </w:t>
      </w:r>
    </w:p>
    <w:p w14:paraId="4FCBBEC2" w14:textId="702689B0" w:rsidR="00BD2909" w:rsidRPr="00AD3D2D" w:rsidRDefault="00BD2909" w:rsidP="00CF01E1">
      <w:pPr>
        <w:pStyle w:val="Heading2"/>
        <w:numPr>
          <w:ilvl w:val="1"/>
          <w:numId w:val="149"/>
        </w:numPr>
        <w:spacing w:before="240" w:after="160"/>
        <w:jc w:val="left"/>
        <w:rPr>
          <w:rStyle w:val="normaltextrun"/>
          <w:sz w:val="28"/>
          <w:szCs w:val="28"/>
        </w:rPr>
      </w:pPr>
      <w:bookmarkStart w:id="10" w:name="_Toc222989901"/>
      <w:bookmarkStart w:id="11" w:name="_Toc222997187"/>
      <w:r w:rsidRPr="00AD3D2D">
        <w:rPr>
          <w:rStyle w:val="normaltextrun"/>
          <w:rFonts w:ascii="Arial" w:hAnsi="Arial" w:cs="Arial"/>
          <w:b/>
          <w:bCs/>
          <w:color w:val="auto"/>
          <w:sz w:val="28"/>
          <w:szCs w:val="28"/>
        </w:rPr>
        <w:t>Conclusion</w:t>
      </w:r>
      <w:bookmarkEnd w:id="10"/>
      <w:bookmarkEnd w:id="11"/>
      <w:r w:rsidRPr="00AD3D2D">
        <w:rPr>
          <w:rStyle w:val="normaltextrun"/>
          <w:sz w:val="28"/>
          <w:szCs w:val="28"/>
        </w:rPr>
        <w:t> </w:t>
      </w:r>
    </w:p>
    <w:p w14:paraId="4F5E599E" w14:textId="525290BB" w:rsidR="00415CF9" w:rsidRPr="0016460E" w:rsidRDefault="00B17296" w:rsidP="00CF01E1">
      <w:pPr>
        <w:spacing w:before="240"/>
        <w:jc w:val="left"/>
        <w:rPr>
          <w:rStyle w:val="eop"/>
          <w:rFonts w:ascii="Arial" w:hAnsi="Arial" w:cs="Arial"/>
        </w:rPr>
      </w:pPr>
      <w:r w:rsidRPr="0016460E">
        <w:rPr>
          <w:rFonts w:ascii="Arial" w:hAnsi="Arial" w:cs="Arial"/>
          <w:lang w:eastAsia="en-US"/>
        </w:rPr>
        <w:t xml:space="preserve">The chapter has presented the importance of mobile mental health applications which is growing, in the context of expanding mental health demands and digital health innovation. It has established major terminology, the rationale of conducting the study, and the broad research aim and objectives. The discussion has also indicated the long-running controversy on efficacy, engagement, accessibility, and ethical integration in health and social care systems, hence showing the importance of the research in both academic and practical terms. The following chapter will give an in-depth overview of the literature where the review will critically examine available literature on mobile mental health applications, identification of theoretical frameworks used, analysis of the empirical evidence, and further elucidate the research gap which the dissertation will be based on. </w:t>
      </w:r>
      <w:r w:rsidR="00BD2909" w:rsidRPr="0016460E">
        <w:rPr>
          <w:rStyle w:val="normaltextrun"/>
          <w:rFonts w:ascii="Arial" w:hAnsi="Arial" w:cs="Arial"/>
        </w:rPr>
        <w:t> </w:t>
      </w:r>
      <w:r w:rsidR="00BD2909" w:rsidRPr="0016460E">
        <w:rPr>
          <w:rStyle w:val="eop"/>
          <w:rFonts w:ascii="Arial" w:hAnsi="Arial" w:cs="Arial"/>
        </w:rPr>
        <w:t> </w:t>
      </w:r>
    </w:p>
    <w:p w14:paraId="7AF8D37A" w14:textId="77777777" w:rsidR="007F17CE" w:rsidRPr="0016460E" w:rsidRDefault="007F17CE" w:rsidP="00CF01E1">
      <w:pPr>
        <w:spacing w:before="240"/>
        <w:jc w:val="left"/>
        <w:rPr>
          <w:rFonts w:ascii="Arial" w:hAnsi="Arial" w:cs="Arial"/>
          <w:lang w:eastAsia="en-US"/>
        </w:rPr>
      </w:pPr>
    </w:p>
    <w:p w14:paraId="4F393CB2" w14:textId="77777777" w:rsidR="00B4648E" w:rsidRPr="0016460E" w:rsidRDefault="00B4648E" w:rsidP="00CF01E1">
      <w:pPr>
        <w:spacing w:before="240"/>
        <w:jc w:val="left"/>
        <w:rPr>
          <w:rFonts w:ascii="Arial" w:hAnsi="Arial" w:cs="Arial"/>
          <w:lang w:eastAsia="en-US"/>
        </w:rPr>
      </w:pPr>
    </w:p>
    <w:p w14:paraId="0E1DA1BD" w14:textId="77777777" w:rsidR="00B4648E" w:rsidRPr="0016460E" w:rsidRDefault="00B4648E" w:rsidP="00CF01E1">
      <w:pPr>
        <w:spacing w:before="240"/>
        <w:jc w:val="left"/>
        <w:rPr>
          <w:rFonts w:ascii="Arial" w:hAnsi="Arial" w:cs="Arial"/>
          <w:lang w:eastAsia="en-US"/>
        </w:rPr>
      </w:pPr>
    </w:p>
    <w:p w14:paraId="2592F527" w14:textId="77777777" w:rsidR="00B4648E" w:rsidRPr="0016460E" w:rsidRDefault="00B4648E" w:rsidP="00CF01E1">
      <w:pPr>
        <w:spacing w:before="240"/>
        <w:jc w:val="left"/>
        <w:rPr>
          <w:rFonts w:ascii="Arial" w:hAnsi="Arial" w:cs="Arial"/>
          <w:lang w:eastAsia="en-US"/>
        </w:rPr>
      </w:pPr>
    </w:p>
    <w:p w14:paraId="009E4FE1" w14:textId="77777777" w:rsidR="00B4648E" w:rsidRPr="0016460E" w:rsidRDefault="00B4648E" w:rsidP="00CF01E1">
      <w:pPr>
        <w:spacing w:before="240"/>
        <w:jc w:val="left"/>
        <w:rPr>
          <w:rFonts w:ascii="Arial" w:hAnsi="Arial" w:cs="Arial"/>
          <w:lang w:eastAsia="en-US"/>
        </w:rPr>
      </w:pPr>
    </w:p>
    <w:p w14:paraId="2AA9EA38" w14:textId="77777777" w:rsidR="00B4648E" w:rsidRPr="0016460E" w:rsidRDefault="00B4648E" w:rsidP="00CF01E1">
      <w:pPr>
        <w:spacing w:before="240"/>
        <w:jc w:val="left"/>
        <w:rPr>
          <w:rFonts w:ascii="Arial" w:hAnsi="Arial" w:cs="Arial"/>
          <w:lang w:eastAsia="en-US"/>
        </w:rPr>
      </w:pPr>
    </w:p>
    <w:p w14:paraId="1C86C6A6" w14:textId="77777777" w:rsidR="00B4648E" w:rsidRPr="0016460E" w:rsidRDefault="00B4648E" w:rsidP="00CF01E1">
      <w:pPr>
        <w:spacing w:before="240"/>
        <w:jc w:val="left"/>
        <w:rPr>
          <w:rFonts w:ascii="Arial" w:hAnsi="Arial" w:cs="Arial"/>
          <w:lang w:eastAsia="en-US"/>
        </w:rPr>
      </w:pPr>
    </w:p>
    <w:p w14:paraId="3031B2D3" w14:textId="77777777" w:rsidR="00B4648E" w:rsidRPr="0016460E" w:rsidRDefault="00B4648E" w:rsidP="00CF01E1">
      <w:pPr>
        <w:spacing w:before="240"/>
        <w:jc w:val="left"/>
        <w:rPr>
          <w:rFonts w:ascii="Arial" w:hAnsi="Arial" w:cs="Arial"/>
          <w:lang w:eastAsia="en-US"/>
        </w:rPr>
      </w:pPr>
    </w:p>
    <w:p w14:paraId="65EE36D4" w14:textId="77777777" w:rsidR="00B4648E" w:rsidRPr="0016460E" w:rsidRDefault="00B4648E" w:rsidP="00CF01E1">
      <w:pPr>
        <w:spacing w:before="240"/>
        <w:jc w:val="left"/>
        <w:rPr>
          <w:rFonts w:ascii="Arial" w:hAnsi="Arial" w:cs="Arial"/>
          <w:lang w:eastAsia="en-US"/>
        </w:rPr>
      </w:pPr>
    </w:p>
    <w:p w14:paraId="4BD9D6EB" w14:textId="77777777" w:rsidR="00B4648E" w:rsidRPr="0016460E" w:rsidRDefault="00B4648E" w:rsidP="00CF01E1">
      <w:pPr>
        <w:spacing w:before="240"/>
        <w:jc w:val="left"/>
        <w:rPr>
          <w:rFonts w:ascii="Arial" w:hAnsi="Arial" w:cs="Arial"/>
          <w:lang w:eastAsia="en-US"/>
        </w:rPr>
      </w:pPr>
    </w:p>
    <w:p w14:paraId="27ED29BE" w14:textId="77777777" w:rsidR="00B4648E" w:rsidRPr="0016460E" w:rsidRDefault="00B4648E" w:rsidP="00CF01E1">
      <w:pPr>
        <w:spacing w:before="240"/>
        <w:jc w:val="left"/>
        <w:rPr>
          <w:rFonts w:ascii="Arial" w:hAnsi="Arial" w:cs="Arial"/>
          <w:lang w:eastAsia="en-US"/>
        </w:rPr>
      </w:pPr>
    </w:p>
    <w:p w14:paraId="5A976C0E" w14:textId="77777777" w:rsidR="001119CB" w:rsidRPr="0016460E" w:rsidRDefault="001119CB" w:rsidP="00CF01E1">
      <w:pPr>
        <w:spacing w:before="240"/>
        <w:jc w:val="left"/>
        <w:rPr>
          <w:rFonts w:ascii="Arial" w:hAnsi="Arial" w:cs="Arial"/>
          <w:lang w:eastAsia="en-US"/>
        </w:rPr>
      </w:pPr>
    </w:p>
    <w:p w14:paraId="6BA7DF87" w14:textId="500D7725" w:rsidR="00BD2909" w:rsidRPr="00EF3D5C" w:rsidRDefault="00D23298" w:rsidP="00CF01E1">
      <w:pPr>
        <w:pStyle w:val="Heading1"/>
        <w:numPr>
          <w:ilvl w:val="0"/>
          <w:numId w:val="152"/>
        </w:numPr>
        <w:spacing w:before="240" w:after="160" w:line="360" w:lineRule="auto"/>
        <w:rPr>
          <w:rFonts w:cs="Arial"/>
        </w:rPr>
      </w:pPr>
      <w:bookmarkStart w:id="12" w:name="_Toc222989902"/>
      <w:bookmarkStart w:id="13" w:name="_Toc222997188"/>
      <w:r w:rsidRPr="00EF3D5C">
        <w:rPr>
          <w:rFonts w:cs="Arial"/>
        </w:rPr>
        <w:lastRenderedPageBreak/>
        <w:t xml:space="preserve">Chapter </w:t>
      </w:r>
      <w:r w:rsidR="000D0641" w:rsidRPr="00EF3D5C">
        <w:rPr>
          <w:rFonts w:cs="Arial"/>
        </w:rPr>
        <w:t>2</w:t>
      </w:r>
      <w:r w:rsidR="003314EE" w:rsidRPr="00EF3D5C">
        <w:rPr>
          <w:rFonts w:cs="Arial"/>
        </w:rPr>
        <w:t xml:space="preserve">: </w:t>
      </w:r>
      <w:r w:rsidR="00BD2909" w:rsidRPr="00EF3D5C">
        <w:rPr>
          <w:rFonts w:cs="Arial"/>
        </w:rPr>
        <w:t xml:space="preserve">Background </w:t>
      </w:r>
      <w:r w:rsidR="00F44833" w:rsidRPr="00EF3D5C">
        <w:rPr>
          <w:rFonts w:cs="Arial"/>
        </w:rPr>
        <w:t xml:space="preserve">Information and </w:t>
      </w:r>
      <w:r w:rsidR="00BD2909" w:rsidRPr="00EF3D5C">
        <w:rPr>
          <w:rFonts w:cs="Arial"/>
        </w:rPr>
        <w:t>Analysis</w:t>
      </w:r>
      <w:bookmarkEnd w:id="12"/>
      <w:bookmarkEnd w:id="13"/>
    </w:p>
    <w:p w14:paraId="223734F5" w14:textId="59D40837" w:rsidR="00BD2909" w:rsidRPr="00947C28" w:rsidRDefault="00BD2909" w:rsidP="00CF01E1">
      <w:pPr>
        <w:pStyle w:val="Heading2"/>
        <w:numPr>
          <w:ilvl w:val="1"/>
          <w:numId w:val="152"/>
        </w:numPr>
        <w:spacing w:before="240" w:after="160"/>
        <w:jc w:val="left"/>
        <w:rPr>
          <w:rFonts w:ascii="Arial" w:hAnsi="Arial" w:cs="Arial"/>
          <w:b/>
          <w:bCs/>
          <w:color w:val="auto"/>
          <w:sz w:val="28"/>
          <w:szCs w:val="28"/>
        </w:rPr>
      </w:pPr>
      <w:bookmarkStart w:id="14" w:name="_Toc222989903"/>
      <w:bookmarkStart w:id="15" w:name="_Toc222997189"/>
      <w:r w:rsidRPr="00947C28">
        <w:rPr>
          <w:rStyle w:val="normaltextrun"/>
          <w:rFonts w:ascii="Arial" w:hAnsi="Arial" w:cs="Arial"/>
          <w:b/>
          <w:bCs/>
          <w:color w:val="auto"/>
          <w:sz w:val="28"/>
          <w:szCs w:val="28"/>
        </w:rPr>
        <w:t>Introduction</w:t>
      </w:r>
      <w:bookmarkEnd w:id="14"/>
      <w:bookmarkEnd w:id="15"/>
    </w:p>
    <w:p w14:paraId="1ADF7C27" w14:textId="6C0B4025" w:rsidR="00BD2909" w:rsidRPr="0016460E" w:rsidRDefault="00B129E4" w:rsidP="00CF01E1">
      <w:pPr>
        <w:spacing w:before="240"/>
        <w:jc w:val="left"/>
        <w:rPr>
          <w:rFonts w:ascii="Arial" w:hAnsi="Arial" w:cs="Arial"/>
          <w:lang w:eastAsia="en-US"/>
        </w:rPr>
      </w:pPr>
      <w:r w:rsidRPr="0016460E">
        <w:rPr>
          <w:rFonts w:ascii="Arial" w:hAnsi="Arial" w:cs="Arial"/>
          <w:lang w:eastAsia="en-US"/>
        </w:rPr>
        <w:t xml:space="preserve">The chapter gives the historical, theoretical, and contextual background required to comprehend the origin and the present applicability of mobile mental health application. It places the topic of the research in the context of more general trends in mental health care, digital health innovation, and the transformation of healthcare policies. Analysis of the development of the psychological interventions, development of digital technologies, and subsequent growth of the need to obtain mental health services easily, this chapter sets the contextual environment in which mobile mental health applications stand to gain ground. It also </w:t>
      </w:r>
      <w:r w:rsidR="00532AD7" w:rsidRPr="0016460E">
        <w:rPr>
          <w:rFonts w:ascii="Arial" w:hAnsi="Arial" w:cs="Arial"/>
          <w:lang w:eastAsia="en-US"/>
        </w:rPr>
        <w:t>analyses</w:t>
      </w:r>
      <w:r w:rsidRPr="0016460E">
        <w:rPr>
          <w:rFonts w:ascii="Arial" w:hAnsi="Arial" w:cs="Arial"/>
          <w:lang w:eastAsia="en-US"/>
        </w:rPr>
        <w:t xml:space="preserve"> major theoretical frameworks that are used to support digital mental health interventions and assesses how these theoretical frameworks guide modern practice. </w:t>
      </w:r>
      <w:r w:rsidR="00A22A00" w:rsidRPr="0016460E">
        <w:rPr>
          <w:rFonts w:ascii="Arial" w:hAnsi="Arial" w:cs="Arial"/>
          <w:lang w:eastAsia="en-US"/>
        </w:rPr>
        <w:t>T</w:t>
      </w:r>
      <w:r w:rsidRPr="0016460E">
        <w:rPr>
          <w:rFonts w:ascii="Arial" w:hAnsi="Arial" w:cs="Arial"/>
          <w:lang w:eastAsia="en-US"/>
        </w:rPr>
        <w:t xml:space="preserve">he chapter </w:t>
      </w:r>
      <w:proofErr w:type="gramStart"/>
      <w:r w:rsidRPr="0016460E">
        <w:rPr>
          <w:rFonts w:ascii="Arial" w:hAnsi="Arial" w:cs="Arial"/>
          <w:lang w:eastAsia="en-US"/>
        </w:rPr>
        <w:t>takes into account</w:t>
      </w:r>
      <w:proofErr w:type="gramEnd"/>
      <w:r w:rsidRPr="0016460E">
        <w:rPr>
          <w:rFonts w:ascii="Arial" w:hAnsi="Arial" w:cs="Arial"/>
          <w:lang w:eastAsia="en-US"/>
        </w:rPr>
        <w:t xml:space="preserve"> international and UK specific situations, such as policy, regulation, and practicum. All this background analysis is a systematic basis of the following methodological procedure and critical analysis in later chapters.</w:t>
      </w:r>
    </w:p>
    <w:p w14:paraId="0AAAB744" w14:textId="17D5698A" w:rsidR="00BD2909" w:rsidRPr="00B51212" w:rsidRDefault="00BD2909" w:rsidP="00CF01E1">
      <w:pPr>
        <w:pStyle w:val="Heading2"/>
        <w:numPr>
          <w:ilvl w:val="1"/>
          <w:numId w:val="152"/>
        </w:numPr>
        <w:spacing w:before="240" w:after="160"/>
        <w:jc w:val="left"/>
        <w:rPr>
          <w:rStyle w:val="normaltextrun"/>
          <w:sz w:val="28"/>
          <w:szCs w:val="28"/>
        </w:rPr>
      </w:pPr>
      <w:bookmarkStart w:id="16" w:name="_Toc222989904"/>
      <w:bookmarkStart w:id="17" w:name="_Toc222997190"/>
      <w:r w:rsidRPr="00B51212">
        <w:rPr>
          <w:rStyle w:val="normaltextrun"/>
          <w:rFonts w:ascii="Arial" w:hAnsi="Arial" w:cs="Arial"/>
          <w:b/>
          <w:bCs/>
          <w:color w:val="auto"/>
          <w:sz w:val="28"/>
          <w:szCs w:val="28"/>
        </w:rPr>
        <w:t>Historical Background</w:t>
      </w:r>
      <w:bookmarkEnd w:id="16"/>
      <w:bookmarkEnd w:id="17"/>
    </w:p>
    <w:p w14:paraId="7C0B098F" w14:textId="6EBA16A2" w:rsidR="007548A6" w:rsidRPr="0016460E" w:rsidRDefault="007548A6" w:rsidP="00CF01E1">
      <w:pPr>
        <w:spacing w:before="240"/>
        <w:jc w:val="left"/>
        <w:rPr>
          <w:rFonts w:ascii="Arial" w:hAnsi="Arial" w:cs="Arial"/>
          <w:lang w:eastAsia="en-US"/>
        </w:rPr>
      </w:pPr>
      <w:r w:rsidRPr="0016460E">
        <w:rPr>
          <w:rFonts w:ascii="Arial" w:hAnsi="Arial" w:cs="Arial"/>
          <w:lang w:eastAsia="en-US"/>
        </w:rPr>
        <w:t>Structured mental health intervention has its roots in the early twentieth and nineteenth century developments in psychiatry and psychology when institutional care was prevalent in mental health treatment</w:t>
      </w:r>
      <w:r w:rsidR="009E3A32" w:rsidRPr="0016460E">
        <w:rPr>
          <w:rFonts w:ascii="Arial" w:hAnsi="Arial" w:cs="Arial"/>
          <w:lang w:eastAsia="en-US"/>
        </w:rPr>
        <w:t xml:space="preserve"> (George et al., 2023)</w:t>
      </w:r>
      <w:r w:rsidRPr="0016460E">
        <w:rPr>
          <w:rFonts w:ascii="Arial" w:hAnsi="Arial" w:cs="Arial"/>
          <w:lang w:eastAsia="en-US"/>
        </w:rPr>
        <w:t>. A major change occurred in the middle of the twentieth century with the movement known as deinstitutionalisation that sought to move patients out of the massive psychiatric hospitals into the community-based care. It was at this time that cognitive and behaviour therapies came to the forefront especially after the efforts of Aaron Beck in creating cognitive behavioural therapy (CBT) in the 1960s</w:t>
      </w:r>
      <w:r w:rsidR="006621D1" w:rsidRPr="0016460E">
        <w:rPr>
          <w:rFonts w:ascii="Arial" w:hAnsi="Arial" w:cs="Arial"/>
          <w:lang w:eastAsia="en-US"/>
        </w:rPr>
        <w:t xml:space="preserve"> (Chand, </w:t>
      </w:r>
      <w:proofErr w:type="spellStart"/>
      <w:r w:rsidR="006621D1" w:rsidRPr="0016460E">
        <w:rPr>
          <w:rFonts w:ascii="Arial" w:hAnsi="Arial" w:cs="Arial"/>
          <w:lang w:eastAsia="en-US"/>
        </w:rPr>
        <w:t>Kuckel</w:t>
      </w:r>
      <w:proofErr w:type="spellEnd"/>
      <w:r w:rsidR="006621D1" w:rsidRPr="0016460E">
        <w:rPr>
          <w:rFonts w:ascii="Arial" w:hAnsi="Arial" w:cs="Arial"/>
          <w:lang w:eastAsia="en-US"/>
        </w:rPr>
        <w:t xml:space="preserve"> and Huecker, 2023)</w:t>
      </w:r>
      <w:r w:rsidRPr="0016460E">
        <w:rPr>
          <w:rFonts w:ascii="Arial" w:hAnsi="Arial" w:cs="Arial"/>
          <w:lang w:eastAsia="en-US"/>
        </w:rPr>
        <w:t>. The structure and skills-based nature of CBT would later be used in digital forms with a great degree of flexibility. The late twentieth century was also marked by the appearance of new approaches to telemedicine and online therapy in the 1990s, which created some preliminary foundations of remote mental health care</w:t>
      </w:r>
      <w:r w:rsidR="008C5273" w:rsidRPr="0016460E">
        <w:rPr>
          <w:rFonts w:ascii="Arial" w:hAnsi="Arial" w:cs="Arial"/>
          <w:lang w:eastAsia="en-US"/>
        </w:rPr>
        <w:t xml:space="preserve"> (Di Carlo et al., 2020)</w:t>
      </w:r>
      <w:r w:rsidRPr="0016460E">
        <w:rPr>
          <w:rFonts w:ascii="Arial" w:hAnsi="Arial" w:cs="Arial"/>
          <w:lang w:eastAsia="en-US"/>
        </w:rPr>
        <w:t>.</w:t>
      </w:r>
    </w:p>
    <w:p w14:paraId="4E7AB9BF" w14:textId="76562FA2" w:rsidR="007548A6" w:rsidRPr="0016460E" w:rsidRDefault="007548A6" w:rsidP="00CF01E1">
      <w:pPr>
        <w:spacing w:before="240"/>
        <w:jc w:val="left"/>
        <w:rPr>
          <w:rFonts w:ascii="Arial" w:hAnsi="Arial" w:cs="Arial"/>
          <w:lang w:eastAsia="en-US"/>
        </w:rPr>
      </w:pPr>
      <w:r w:rsidRPr="0016460E">
        <w:rPr>
          <w:rFonts w:ascii="Arial" w:hAnsi="Arial" w:cs="Arial"/>
          <w:lang w:eastAsia="en-US"/>
        </w:rPr>
        <w:t>The spread of internet connectivity during the early years of the 21</w:t>
      </w:r>
      <w:r w:rsidRPr="0016460E">
        <w:rPr>
          <w:rFonts w:ascii="Arial" w:hAnsi="Arial" w:cs="Arial"/>
          <w:vertAlign w:val="superscript"/>
          <w:lang w:eastAsia="en-US"/>
        </w:rPr>
        <w:t>st</w:t>
      </w:r>
      <w:r w:rsidR="00C96F10" w:rsidRPr="0016460E">
        <w:rPr>
          <w:rFonts w:ascii="Arial" w:hAnsi="Arial" w:cs="Arial"/>
          <w:lang w:eastAsia="en-US"/>
        </w:rPr>
        <w:t xml:space="preserve"> </w:t>
      </w:r>
      <w:r w:rsidRPr="0016460E">
        <w:rPr>
          <w:rFonts w:ascii="Arial" w:hAnsi="Arial" w:cs="Arial"/>
          <w:lang w:eastAsia="en-US"/>
        </w:rPr>
        <w:t xml:space="preserve">century brought web-based mental health interventions, such as online CBT programmes and online self-help platforms. </w:t>
      </w:r>
      <w:r w:rsidR="007C54E2" w:rsidRPr="0016460E">
        <w:rPr>
          <w:rFonts w:ascii="Arial" w:hAnsi="Arial" w:cs="Arial"/>
          <w:lang w:eastAsia="en-US"/>
        </w:rPr>
        <w:t xml:space="preserve">However </w:t>
      </w:r>
      <w:r w:rsidRPr="0016460E">
        <w:rPr>
          <w:rFonts w:ascii="Arial" w:hAnsi="Arial" w:cs="Arial"/>
          <w:lang w:eastAsia="en-US"/>
        </w:rPr>
        <w:t>the real change came after the introduction of smartphones in 2007, which made it possible to have portable real-time, user-centred applications</w:t>
      </w:r>
      <w:r w:rsidR="00C03EEE" w:rsidRPr="0016460E">
        <w:rPr>
          <w:rFonts w:ascii="Arial" w:hAnsi="Arial" w:cs="Arial"/>
          <w:lang w:eastAsia="en-US"/>
        </w:rPr>
        <w:t xml:space="preserve"> (Keller et al., 2020)</w:t>
      </w:r>
      <w:r w:rsidRPr="0016460E">
        <w:rPr>
          <w:rFonts w:ascii="Arial" w:hAnsi="Arial" w:cs="Arial"/>
          <w:lang w:eastAsia="en-US"/>
        </w:rPr>
        <w:t xml:space="preserve">. Distribution of health-related applications was made easy by introduction of apps </w:t>
      </w:r>
      <w:r w:rsidRPr="0016460E">
        <w:rPr>
          <w:rFonts w:ascii="Arial" w:hAnsi="Arial" w:cs="Arial"/>
          <w:lang w:eastAsia="en-US"/>
        </w:rPr>
        <w:lastRenderedPageBreak/>
        <w:t>markets. By the early 2010s, mental health apps had flooded commercial markets, providing mood tracking, meditation, stress reducing exercises and psychoeducational applications</w:t>
      </w:r>
      <w:r w:rsidR="00F44D4D" w:rsidRPr="0016460E">
        <w:rPr>
          <w:rFonts w:ascii="Arial" w:hAnsi="Arial" w:cs="Arial"/>
          <w:lang w:eastAsia="en-US"/>
        </w:rPr>
        <w:t xml:space="preserve"> (Bégin et al., 2022)</w:t>
      </w:r>
      <w:r w:rsidRPr="0016460E">
        <w:rPr>
          <w:rFonts w:ascii="Arial" w:hAnsi="Arial" w:cs="Arial"/>
          <w:lang w:eastAsia="en-US"/>
        </w:rPr>
        <w:t>. The idea of digital solutions to minimise gaps in treatments became increasingly acknowledged in the global mental health efforts, with the greatest focus on the low-resource environments. The COVID-19 pandemic also boosted the use of the digital even further, with lockdowns and service disruptions becoming the primary reasons to rely on remote and app-based mental health services</w:t>
      </w:r>
      <w:r w:rsidR="00D41DEA" w:rsidRPr="0016460E">
        <w:rPr>
          <w:rFonts w:ascii="Arial" w:hAnsi="Arial" w:cs="Arial"/>
          <w:lang w:eastAsia="en-US"/>
        </w:rPr>
        <w:t xml:space="preserve"> (Malla and Joober, 2020)</w:t>
      </w:r>
      <w:r w:rsidRPr="0016460E">
        <w:rPr>
          <w:rFonts w:ascii="Arial" w:hAnsi="Arial" w:cs="Arial"/>
          <w:lang w:eastAsia="en-US"/>
        </w:rPr>
        <w:t>.</w:t>
      </w:r>
    </w:p>
    <w:p w14:paraId="4D42201B" w14:textId="56F3B14B" w:rsidR="00BD2909" w:rsidRPr="0016460E" w:rsidRDefault="007548A6" w:rsidP="00CF01E1">
      <w:pPr>
        <w:spacing w:before="240"/>
        <w:jc w:val="left"/>
        <w:rPr>
          <w:rFonts w:ascii="Arial" w:hAnsi="Arial" w:cs="Arial"/>
          <w:lang w:eastAsia="en-US"/>
        </w:rPr>
      </w:pPr>
      <w:r w:rsidRPr="0016460E">
        <w:rPr>
          <w:rFonts w:ascii="Arial" w:hAnsi="Arial" w:cs="Arial"/>
          <w:lang w:eastAsia="en-US"/>
        </w:rPr>
        <w:t xml:space="preserve">Large organisations have played a major role in shaping and assessing digital mental health. The World Health Organization has advocated the use of digital health </w:t>
      </w:r>
      <w:proofErr w:type="gramStart"/>
      <w:r w:rsidRPr="0016460E">
        <w:rPr>
          <w:rFonts w:ascii="Arial" w:hAnsi="Arial" w:cs="Arial"/>
          <w:lang w:eastAsia="en-US"/>
        </w:rPr>
        <w:t>in order to</w:t>
      </w:r>
      <w:proofErr w:type="gramEnd"/>
      <w:r w:rsidRPr="0016460E">
        <w:rPr>
          <w:rFonts w:ascii="Arial" w:hAnsi="Arial" w:cs="Arial"/>
          <w:lang w:eastAsia="en-US"/>
        </w:rPr>
        <w:t xml:space="preserve"> increase access to care worldwide. The National Health Service in the UK has incorporated both the digital mental health tools via the NHS Apps Library and the digital therapy programmes under the Improving Access to Psychological Therapies services</w:t>
      </w:r>
      <w:r w:rsidR="00485FB5" w:rsidRPr="0016460E">
        <w:rPr>
          <w:rFonts w:ascii="Arial" w:hAnsi="Arial" w:cs="Arial"/>
          <w:lang w:eastAsia="en-US"/>
        </w:rPr>
        <w:t xml:space="preserve"> (NHS England, 2026)</w:t>
      </w:r>
      <w:r w:rsidRPr="0016460E">
        <w:rPr>
          <w:rFonts w:ascii="Arial" w:hAnsi="Arial" w:cs="Arial"/>
          <w:lang w:eastAsia="en-US"/>
        </w:rPr>
        <w:t>. Schools and online health research centres have provided empirical analyses of the effectiveness of apps and usage behaviour. Taken together, these breakthroughs show that the traditional models of psychiatry which were institution-</w:t>
      </w:r>
      <w:proofErr w:type="spellStart"/>
      <w:r w:rsidRPr="0016460E">
        <w:rPr>
          <w:rFonts w:ascii="Arial" w:hAnsi="Arial" w:cs="Arial"/>
          <w:lang w:eastAsia="en-US"/>
        </w:rPr>
        <w:t>centered</w:t>
      </w:r>
      <w:proofErr w:type="spellEnd"/>
      <w:r w:rsidRPr="0016460E">
        <w:rPr>
          <w:rFonts w:ascii="Arial" w:hAnsi="Arial" w:cs="Arial"/>
          <w:lang w:eastAsia="en-US"/>
        </w:rPr>
        <w:t xml:space="preserve"> began to transform into user-directed, technology-based mental health support, forming the modern view of mobile mental health applications.</w:t>
      </w:r>
      <w:r w:rsidR="00BD2909" w:rsidRPr="0016460E">
        <w:rPr>
          <w:rStyle w:val="eop"/>
          <w:rFonts w:ascii="Arial" w:eastAsia="Calibri Light" w:hAnsi="Arial" w:cs="Arial"/>
        </w:rPr>
        <w:t> </w:t>
      </w:r>
    </w:p>
    <w:p w14:paraId="7CD6820C" w14:textId="64B7F662" w:rsidR="00BD2909" w:rsidRPr="00B04D9D" w:rsidRDefault="00BD2909" w:rsidP="00CF01E1">
      <w:pPr>
        <w:pStyle w:val="Heading2"/>
        <w:numPr>
          <w:ilvl w:val="1"/>
          <w:numId w:val="152"/>
        </w:numPr>
        <w:spacing w:before="240" w:after="160"/>
        <w:jc w:val="left"/>
        <w:rPr>
          <w:rStyle w:val="normaltextrun"/>
          <w:sz w:val="28"/>
          <w:szCs w:val="28"/>
        </w:rPr>
      </w:pPr>
      <w:bookmarkStart w:id="18" w:name="_Toc222989905"/>
      <w:bookmarkStart w:id="19" w:name="_Toc222997191"/>
      <w:r w:rsidRPr="00B04D9D">
        <w:rPr>
          <w:rStyle w:val="normaltextrun"/>
          <w:rFonts w:ascii="Arial" w:hAnsi="Arial" w:cs="Arial"/>
          <w:b/>
          <w:bCs/>
          <w:color w:val="auto"/>
          <w:sz w:val="28"/>
          <w:szCs w:val="28"/>
        </w:rPr>
        <w:t>Theoretical Background</w:t>
      </w:r>
      <w:bookmarkEnd w:id="18"/>
      <w:bookmarkEnd w:id="19"/>
    </w:p>
    <w:p w14:paraId="25108393" w14:textId="1DFD11AF" w:rsidR="004B4BB9" w:rsidRPr="0016460E" w:rsidRDefault="004B4BB9" w:rsidP="00CF01E1">
      <w:pPr>
        <w:pStyle w:val="paragraph"/>
        <w:spacing w:before="240" w:line="360" w:lineRule="auto"/>
        <w:textAlignment w:val="baseline"/>
        <w:rPr>
          <w:rFonts w:ascii="Arial" w:hAnsi="Arial" w:cs="Arial"/>
          <w:sz w:val="22"/>
          <w:szCs w:val="22"/>
        </w:rPr>
      </w:pPr>
      <w:r w:rsidRPr="0016460E">
        <w:rPr>
          <w:rFonts w:ascii="Arial" w:hAnsi="Arial" w:cs="Arial"/>
          <w:sz w:val="22"/>
          <w:szCs w:val="22"/>
        </w:rPr>
        <w:t xml:space="preserve">Modern studies of mobile mental health apps are highly guided by behavioural and cognitive therapeutic approaches. It is also noted that most evidence-based mental health applications are based on the principles of cognitive behavioural therapy and include cognitive restructuring, behavioural activation, and mood monitoring strategies </w:t>
      </w:r>
      <w:r w:rsidR="001838A4" w:rsidRPr="0016460E">
        <w:rPr>
          <w:rFonts w:ascii="Arial" w:hAnsi="Arial" w:cs="Arial"/>
          <w:sz w:val="22"/>
          <w:szCs w:val="22"/>
        </w:rPr>
        <w:t>(</w:t>
      </w:r>
      <w:proofErr w:type="spellStart"/>
      <w:r w:rsidR="001838A4" w:rsidRPr="0016460E">
        <w:rPr>
          <w:rFonts w:ascii="Arial" w:hAnsi="Arial" w:cs="Arial"/>
          <w:sz w:val="22"/>
          <w:szCs w:val="22"/>
        </w:rPr>
        <w:t>Shahsavar</w:t>
      </w:r>
      <w:proofErr w:type="spellEnd"/>
      <w:r w:rsidR="001838A4" w:rsidRPr="0016460E">
        <w:rPr>
          <w:rFonts w:ascii="Arial" w:hAnsi="Arial" w:cs="Arial"/>
          <w:sz w:val="22"/>
          <w:szCs w:val="22"/>
        </w:rPr>
        <w:t xml:space="preserve"> and Choudhury, 2025)</w:t>
      </w:r>
      <w:r w:rsidRPr="0016460E">
        <w:rPr>
          <w:rFonts w:ascii="Arial" w:hAnsi="Arial" w:cs="Arial"/>
          <w:sz w:val="22"/>
          <w:szCs w:val="22"/>
        </w:rPr>
        <w:t>. CBT is a systematic and quantifiable method that can be easily converted into digital formats. The research shows that anxiety and depressive symptoms reduce moderately in various interventions but long-term compliance is variable. Although CBT-based applications have some potential, the weaknesses are the lack of therapist engagement and the simplification of complicated mental dynamics.</w:t>
      </w:r>
    </w:p>
    <w:p w14:paraId="0594522F" w14:textId="1E308ABB" w:rsidR="004B4BB9" w:rsidRPr="0016460E" w:rsidRDefault="004B4BB9" w:rsidP="00CF01E1">
      <w:pPr>
        <w:pStyle w:val="paragraph"/>
        <w:spacing w:before="240" w:line="360" w:lineRule="auto"/>
        <w:textAlignment w:val="baseline"/>
        <w:rPr>
          <w:rFonts w:ascii="Arial" w:hAnsi="Arial" w:cs="Arial"/>
          <w:sz w:val="22"/>
          <w:szCs w:val="22"/>
        </w:rPr>
      </w:pPr>
      <w:r w:rsidRPr="0016460E">
        <w:rPr>
          <w:rFonts w:ascii="Arial" w:hAnsi="Arial" w:cs="Arial"/>
          <w:sz w:val="22"/>
          <w:szCs w:val="22"/>
        </w:rPr>
        <w:t xml:space="preserve">In a systematic review in the BMJ Open, </w:t>
      </w:r>
      <w:proofErr w:type="spellStart"/>
      <w:r w:rsidRPr="0016460E">
        <w:rPr>
          <w:rFonts w:ascii="Arial" w:hAnsi="Arial" w:cs="Arial"/>
          <w:sz w:val="22"/>
          <w:szCs w:val="22"/>
        </w:rPr>
        <w:t>Almuqrin</w:t>
      </w:r>
      <w:proofErr w:type="spellEnd"/>
      <w:r w:rsidRPr="0016460E">
        <w:rPr>
          <w:rFonts w:ascii="Arial" w:hAnsi="Arial" w:cs="Arial"/>
          <w:sz w:val="22"/>
          <w:szCs w:val="22"/>
        </w:rPr>
        <w:t xml:space="preserve"> et al. (2025) highlight the clinical translation and implementation science theory in the context of digital mental health. The study proposes five suggestions to incorporate smartphone applications in healthcare system such as regulatory control, user-centred design and evidence-based validation</w:t>
      </w:r>
      <w:r w:rsidR="007B1F71" w:rsidRPr="0016460E">
        <w:rPr>
          <w:rFonts w:ascii="Arial" w:hAnsi="Arial" w:cs="Arial"/>
          <w:sz w:val="22"/>
          <w:szCs w:val="22"/>
        </w:rPr>
        <w:t xml:space="preserve"> (</w:t>
      </w:r>
      <w:proofErr w:type="spellStart"/>
      <w:r w:rsidR="007B1F71" w:rsidRPr="0016460E">
        <w:rPr>
          <w:rFonts w:ascii="Arial" w:hAnsi="Arial" w:cs="Arial"/>
          <w:sz w:val="22"/>
          <w:szCs w:val="22"/>
        </w:rPr>
        <w:t>Almuqrin</w:t>
      </w:r>
      <w:proofErr w:type="spellEnd"/>
      <w:r w:rsidR="007B1F71" w:rsidRPr="0016460E">
        <w:rPr>
          <w:rFonts w:ascii="Arial" w:hAnsi="Arial" w:cs="Arial"/>
          <w:sz w:val="22"/>
          <w:szCs w:val="22"/>
        </w:rPr>
        <w:t xml:space="preserve"> et al., 2025)</w:t>
      </w:r>
      <w:r w:rsidRPr="0016460E">
        <w:rPr>
          <w:rFonts w:ascii="Arial" w:hAnsi="Arial" w:cs="Arial"/>
          <w:sz w:val="22"/>
          <w:szCs w:val="22"/>
        </w:rPr>
        <w:t xml:space="preserve">. It is important to note that this framework places digital mental health in the wider contexts of healthcare governance and policy instead of considering apps as discrete instruments. The advantage of this view is that it is pragmatic and it emphasizes </w:t>
      </w:r>
      <w:r w:rsidRPr="0016460E">
        <w:rPr>
          <w:rFonts w:ascii="Arial" w:hAnsi="Arial" w:cs="Arial"/>
          <w:sz w:val="22"/>
          <w:szCs w:val="22"/>
        </w:rPr>
        <w:lastRenderedPageBreak/>
        <w:t>accountability and integration. Nevertheless, there is still a problem with standardisation of regulations and quality uniformity between all commercial platforms.</w:t>
      </w:r>
    </w:p>
    <w:p w14:paraId="262175E5" w14:textId="130C9C8A" w:rsidR="004B4BB9" w:rsidRPr="0016460E" w:rsidRDefault="004B4BB9" w:rsidP="00CF01E1">
      <w:pPr>
        <w:pStyle w:val="paragraph"/>
        <w:spacing w:before="240" w:line="360" w:lineRule="auto"/>
        <w:textAlignment w:val="baseline"/>
        <w:rPr>
          <w:rFonts w:ascii="Arial" w:hAnsi="Arial" w:cs="Arial"/>
          <w:sz w:val="22"/>
          <w:szCs w:val="22"/>
        </w:rPr>
      </w:pPr>
      <w:r w:rsidRPr="0016460E">
        <w:rPr>
          <w:rFonts w:ascii="Arial" w:hAnsi="Arial" w:cs="Arial"/>
          <w:sz w:val="22"/>
          <w:szCs w:val="22"/>
        </w:rPr>
        <w:t>Bear et al. (2024) discuss the engagement theory in the context of marginalised and underserved youth, pointing at the relevance of acceptability, culture adaptation, and digital inclusion. Their work indicates that the issue of engagement depends on technological design, as well as on socioeconomic factors, digital literacy, and trust</w:t>
      </w:r>
      <w:r w:rsidR="000F1049" w:rsidRPr="0016460E">
        <w:rPr>
          <w:rFonts w:ascii="Arial" w:hAnsi="Arial" w:cs="Arial"/>
          <w:sz w:val="22"/>
          <w:szCs w:val="22"/>
        </w:rPr>
        <w:t xml:space="preserve"> (Bear et al., 2024)</w:t>
      </w:r>
      <w:r w:rsidRPr="0016460E">
        <w:rPr>
          <w:rFonts w:ascii="Arial" w:hAnsi="Arial" w:cs="Arial"/>
          <w:sz w:val="22"/>
          <w:szCs w:val="22"/>
        </w:rPr>
        <w:t xml:space="preserve">. The results imply that the user engagement theories should not be limited to the usability </w:t>
      </w:r>
      <w:r w:rsidR="00532AD7" w:rsidRPr="0016460E">
        <w:rPr>
          <w:rFonts w:ascii="Arial" w:hAnsi="Arial" w:cs="Arial"/>
          <w:sz w:val="22"/>
          <w:szCs w:val="22"/>
        </w:rPr>
        <w:t>metrics but</w:t>
      </w:r>
      <w:r w:rsidRPr="0016460E">
        <w:rPr>
          <w:rFonts w:ascii="Arial" w:hAnsi="Arial" w:cs="Arial"/>
          <w:sz w:val="22"/>
          <w:szCs w:val="22"/>
        </w:rPr>
        <w:t xml:space="preserve"> also incorporate social determinants of health. Although this uncovers much more knowledge, it also exposes that it is a very complicated issue to have equitable access. Together, these theoretical advances help to show that mobile mental health applications exist at the convergence of psychological theory, implementation science, and social equity models but that there is a still debated issue about long-term effectiveness and standardisation.</w:t>
      </w:r>
    </w:p>
    <w:p w14:paraId="6AC950B5" w14:textId="29CA2AB0" w:rsidR="00707CB0" w:rsidRPr="0016460E" w:rsidRDefault="004B4BB9" w:rsidP="00CF01E1">
      <w:pPr>
        <w:pStyle w:val="paragraph"/>
        <w:spacing w:before="240" w:line="360" w:lineRule="auto"/>
        <w:textAlignment w:val="baseline"/>
        <w:rPr>
          <w:rFonts w:ascii="Arial" w:hAnsi="Arial" w:cs="Arial"/>
          <w:sz w:val="22"/>
          <w:szCs w:val="22"/>
        </w:rPr>
      </w:pPr>
      <w:r w:rsidRPr="0016460E">
        <w:rPr>
          <w:rFonts w:ascii="Arial" w:hAnsi="Arial" w:cs="Arial"/>
          <w:sz w:val="22"/>
          <w:szCs w:val="22"/>
        </w:rPr>
        <w:t xml:space="preserve">The other theoretical perspective that can be applied towards the mobile mental health application is the Technology Acceptance Model (TAM), which describes the adoption and use of digital systems by users depending on their perceived usefulness and perceived ease of use. Recently, a peer-reviewed article by </w:t>
      </w:r>
      <w:proofErr w:type="spellStart"/>
      <w:r w:rsidRPr="0016460E">
        <w:rPr>
          <w:rFonts w:ascii="Arial" w:hAnsi="Arial" w:cs="Arial"/>
          <w:sz w:val="22"/>
          <w:szCs w:val="22"/>
        </w:rPr>
        <w:t>Torous</w:t>
      </w:r>
      <w:proofErr w:type="spellEnd"/>
      <w:r w:rsidRPr="0016460E">
        <w:rPr>
          <w:rFonts w:ascii="Arial" w:hAnsi="Arial" w:cs="Arial"/>
          <w:sz w:val="22"/>
          <w:szCs w:val="22"/>
        </w:rPr>
        <w:t xml:space="preserve"> et al. (2023) in Digital Medicine, has investigated the engagement </w:t>
      </w:r>
      <w:r w:rsidR="00532AD7" w:rsidRPr="0016460E">
        <w:rPr>
          <w:rFonts w:ascii="Arial" w:hAnsi="Arial" w:cs="Arial"/>
          <w:sz w:val="22"/>
          <w:szCs w:val="22"/>
        </w:rPr>
        <w:t>behaviour</w:t>
      </w:r>
      <w:r w:rsidRPr="0016460E">
        <w:rPr>
          <w:rFonts w:ascii="Arial" w:hAnsi="Arial" w:cs="Arial"/>
          <w:sz w:val="22"/>
          <w:szCs w:val="22"/>
        </w:rPr>
        <w:t xml:space="preserve"> in digital mental health applications and identified that long-lasting use was significantly connected with the user perceptions of usefulness, personal usefulness, and ease of interface design</w:t>
      </w:r>
      <w:r w:rsidR="003A653A" w:rsidRPr="0016460E">
        <w:rPr>
          <w:rFonts w:ascii="Arial" w:hAnsi="Arial" w:cs="Arial"/>
          <w:sz w:val="22"/>
          <w:szCs w:val="22"/>
        </w:rPr>
        <w:t xml:space="preserve"> (</w:t>
      </w:r>
      <w:proofErr w:type="spellStart"/>
      <w:r w:rsidR="003A653A" w:rsidRPr="0016460E">
        <w:rPr>
          <w:rFonts w:ascii="Arial" w:hAnsi="Arial" w:cs="Arial"/>
          <w:sz w:val="22"/>
          <w:szCs w:val="22"/>
        </w:rPr>
        <w:t>Torous</w:t>
      </w:r>
      <w:proofErr w:type="spellEnd"/>
      <w:r w:rsidR="003A653A" w:rsidRPr="0016460E">
        <w:rPr>
          <w:rFonts w:ascii="Arial" w:hAnsi="Arial" w:cs="Arial"/>
          <w:sz w:val="22"/>
          <w:szCs w:val="22"/>
        </w:rPr>
        <w:t xml:space="preserve"> et al., 2021)</w:t>
      </w:r>
      <w:r w:rsidRPr="0016460E">
        <w:rPr>
          <w:rFonts w:ascii="Arial" w:hAnsi="Arial" w:cs="Arial"/>
          <w:sz w:val="22"/>
          <w:szCs w:val="22"/>
        </w:rPr>
        <w:t>. The paper emphasizes that the applications that may prove to be clinically effective fail to work in cases where users feel that the application is complex, intrusive, or not immediately beneficial. Theoretically, TAM enhances insights into the reasons why high dropout rates are common with digital mental health trials although the results of symptom reduction are promising</w:t>
      </w:r>
      <w:r w:rsidR="00BB0A8D" w:rsidRPr="0016460E">
        <w:rPr>
          <w:rFonts w:ascii="Arial" w:hAnsi="Arial" w:cs="Arial"/>
          <w:sz w:val="22"/>
          <w:szCs w:val="22"/>
        </w:rPr>
        <w:t xml:space="preserve"> (Moshe et al., 2022)</w:t>
      </w:r>
      <w:r w:rsidRPr="0016460E">
        <w:rPr>
          <w:rFonts w:ascii="Arial" w:hAnsi="Arial" w:cs="Arial"/>
          <w:sz w:val="22"/>
          <w:szCs w:val="22"/>
        </w:rPr>
        <w:t>. TAM might overly simplify the determinants of behaviour by largely concentrating on individual perceptions whilst underestimating the structural determinants of behaviour like digital literacy, socioeconomic status and cultural context</w:t>
      </w:r>
      <w:r w:rsidR="00795A35" w:rsidRPr="0016460E">
        <w:rPr>
          <w:rFonts w:ascii="Arial" w:hAnsi="Arial" w:cs="Arial"/>
          <w:sz w:val="22"/>
          <w:szCs w:val="22"/>
        </w:rPr>
        <w:t xml:space="preserve"> (Lee, Ramasamy and Subbarao, 2025)</w:t>
      </w:r>
      <w:r w:rsidRPr="0016460E">
        <w:rPr>
          <w:rFonts w:ascii="Arial" w:hAnsi="Arial" w:cs="Arial"/>
          <w:sz w:val="22"/>
          <w:szCs w:val="22"/>
        </w:rPr>
        <w:t>. Within the framework of this dissertation, the incorporation of the Technology Acceptance Model is a valuable framework of behaviour and usability to balance clinical and implementation theories with a more inclusive insight into the engagement, retention, and practical implementation of mobile mental health interventions.</w:t>
      </w:r>
    </w:p>
    <w:p w14:paraId="529565AC" w14:textId="2FDA399D" w:rsidR="00BD2909" w:rsidRPr="00B04D9D" w:rsidRDefault="00BD2909" w:rsidP="00CF01E1">
      <w:pPr>
        <w:pStyle w:val="Heading2"/>
        <w:numPr>
          <w:ilvl w:val="1"/>
          <w:numId w:val="152"/>
        </w:numPr>
        <w:spacing w:before="240" w:after="160"/>
        <w:jc w:val="left"/>
        <w:rPr>
          <w:rStyle w:val="normaltextrun"/>
          <w:sz w:val="28"/>
          <w:szCs w:val="28"/>
        </w:rPr>
      </w:pPr>
      <w:bookmarkStart w:id="20" w:name="_Toc222989906"/>
      <w:bookmarkStart w:id="21" w:name="_Toc222997192"/>
      <w:r w:rsidRPr="00B04D9D">
        <w:rPr>
          <w:rStyle w:val="normaltextrun"/>
          <w:rFonts w:ascii="Arial" w:hAnsi="Arial" w:cs="Arial"/>
          <w:b/>
          <w:bCs/>
          <w:color w:val="auto"/>
          <w:sz w:val="28"/>
          <w:szCs w:val="28"/>
        </w:rPr>
        <w:lastRenderedPageBreak/>
        <w:t>International Context</w:t>
      </w:r>
      <w:bookmarkEnd w:id="20"/>
      <w:bookmarkEnd w:id="21"/>
    </w:p>
    <w:p w14:paraId="22D0F991" w14:textId="5A2EADB6" w:rsidR="00E47EC0" w:rsidRPr="0016460E" w:rsidRDefault="00E47EC0" w:rsidP="00CF01E1">
      <w:pPr>
        <w:spacing w:before="240"/>
        <w:jc w:val="left"/>
        <w:rPr>
          <w:rFonts w:ascii="Arial" w:hAnsi="Arial" w:cs="Arial"/>
          <w:lang w:eastAsia="en-US"/>
        </w:rPr>
      </w:pPr>
      <w:r w:rsidRPr="0016460E">
        <w:rPr>
          <w:rFonts w:ascii="Arial" w:hAnsi="Arial" w:cs="Arial"/>
          <w:lang w:eastAsia="en-US"/>
        </w:rPr>
        <w:t>Mobile mental health applications are rapidly being considered as a scalable solution to anxiety, depression, and stress-related disorders burden in the world. The World Health Organization approximates depression to be prevalent in 280 million people across the world whilst anxiety disorders are prevalent in more than 300 million people</w:t>
      </w:r>
      <w:r w:rsidR="000A64B4" w:rsidRPr="0016460E">
        <w:rPr>
          <w:rFonts w:ascii="Arial" w:hAnsi="Arial" w:cs="Arial"/>
          <w:lang w:eastAsia="en-US"/>
        </w:rPr>
        <w:t xml:space="preserve"> (World Health Organization, 2025)</w:t>
      </w:r>
      <w:r w:rsidRPr="0016460E">
        <w:rPr>
          <w:rFonts w:ascii="Arial" w:hAnsi="Arial" w:cs="Arial"/>
          <w:lang w:eastAsia="en-US"/>
        </w:rPr>
        <w:t xml:space="preserve">. Meanwhile, the world treatment gap is still enormous, with </w:t>
      </w:r>
      <w:r w:rsidR="00250243" w:rsidRPr="0016460E">
        <w:rPr>
          <w:rFonts w:ascii="Arial" w:hAnsi="Arial" w:cs="Arial"/>
          <w:lang w:eastAsia="en-US"/>
        </w:rPr>
        <w:t xml:space="preserve">most of </w:t>
      </w:r>
      <w:r w:rsidRPr="0016460E">
        <w:rPr>
          <w:rFonts w:ascii="Arial" w:hAnsi="Arial" w:cs="Arial"/>
          <w:lang w:eastAsia="en-US"/>
        </w:rPr>
        <w:t>the population in the low and</w:t>
      </w:r>
      <w:r w:rsidR="00943E70" w:rsidRPr="0016460E">
        <w:rPr>
          <w:rFonts w:ascii="Arial" w:hAnsi="Arial" w:cs="Arial"/>
          <w:lang w:eastAsia="en-US"/>
        </w:rPr>
        <w:t xml:space="preserve"> </w:t>
      </w:r>
      <w:r w:rsidRPr="0016460E">
        <w:rPr>
          <w:rFonts w:ascii="Arial" w:hAnsi="Arial" w:cs="Arial"/>
          <w:lang w:eastAsia="en-US"/>
        </w:rPr>
        <w:t>middle-income countries having no formal mental health assistance. In turn, in various areas, digital health strategies have become part of national mental health plans. The federally funded Head to Health of Australia program offers free access to digital mental health services, such as app-based interventions and serves millions of users each year</w:t>
      </w:r>
      <w:r w:rsidR="00FB7AEF" w:rsidRPr="0016460E">
        <w:rPr>
          <w:rFonts w:ascii="Arial" w:hAnsi="Arial" w:cs="Arial"/>
          <w:lang w:eastAsia="en-US"/>
        </w:rPr>
        <w:t xml:space="preserve"> (UNSW, 2025)</w:t>
      </w:r>
      <w:r w:rsidRPr="0016460E">
        <w:rPr>
          <w:rFonts w:ascii="Arial" w:hAnsi="Arial" w:cs="Arial"/>
          <w:lang w:eastAsia="en-US"/>
        </w:rPr>
        <w:t xml:space="preserve">. </w:t>
      </w:r>
      <w:r w:rsidR="00BC13CE" w:rsidRPr="0016460E">
        <w:rPr>
          <w:rFonts w:ascii="Arial" w:hAnsi="Arial" w:cs="Arial"/>
          <w:lang w:eastAsia="en-US"/>
        </w:rPr>
        <w:t>T</w:t>
      </w:r>
      <w:r w:rsidRPr="0016460E">
        <w:rPr>
          <w:rFonts w:ascii="Arial" w:hAnsi="Arial" w:cs="Arial"/>
          <w:lang w:eastAsia="en-US"/>
        </w:rPr>
        <w:t>he digital mental health market in the United States is projected to be worth more than $5 billion in 2022, signifying a booming business and employer-sponsored digital therapy design</w:t>
      </w:r>
      <w:r w:rsidR="00FE4736" w:rsidRPr="0016460E">
        <w:rPr>
          <w:rFonts w:ascii="Arial" w:hAnsi="Arial" w:cs="Arial"/>
          <w:lang w:eastAsia="en-US"/>
        </w:rPr>
        <w:t xml:space="preserve"> (Gleason, 2021)</w:t>
      </w:r>
      <w:r w:rsidRPr="0016460E">
        <w:rPr>
          <w:rFonts w:ascii="Arial" w:hAnsi="Arial" w:cs="Arial"/>
          <w:lang w:eastAsia="en-US"/>
        </w:rPr>
        <w:t>. Nonetheless, the degree of regulatory monitoring differs with the different countries and several apps that are sold commercially have not been properly clinically tested.</w:t>
      </w:r>
    </w:p>
    <w:p w14:paraId="302C6B72" w14:textId="061D407D" w:rsidR="00BD2909" w:rsidRPr="0016460E" w:rsidRDefault="00E47EC0" w:rsidP="00CF01E1">
      <w:pPr>
        <w:spacing w:before="240"/>
        <w:jc w:val="left"/>
        <w:rPr>
          <w:rFonts w:ascii="Arial" w:hAnsi="Arial" w:cs="Arial"/>
          <w:lang w:eastAsia="en-US"/>
        </w:rPr>
      </w:pPr>
      <w:r w:rsidRPr="0016460E">
        <w:rPr>
          <w:rFonts w:ascii="Arial" w:hAnsi="Arial" w:cs="Arial"/>
          <w:lang w:eastAsia="en-US"/>
        </w:rPr>
        <w:t xml:space="preserve">In comparison, high-income nations, including the United Kingdom, Australia and Canada, have established systematic systems of digital health assessment to measure the safety and evidence criteria, but the United States is largely market-driven innovation with patchwork control. Contrary, mobile mental health solutions have been prioritized in low and middle-income countries </w:t>
      </w:r>
      <w:proofErr w:type="gramStart"/>
      <w:r w:rsidRPr="0016460E">
        <w:rPr>
          <w:rFonts w:ascii="Arial" w:hAnsi="Arial" w:cs="Arial"/>
          <w:lang w:eastAsia="en-US"/>
        </w:rPr>
        <w:t>in an attempt to</w:t>
      </w:r>
      <w:proofErr w:type="gramEnd"/>
      <w:r w:rsidRPr="0016460E">
        <w:rPr>
          <w:rFonts w:ascii="Arial" w:hAnsi="Arial" w:cs="Arial"/>
          <w:lang w:eastAsia="en-US"/>
        </w:rPr>
        <w:t xml:space="preserve"> deal with shortages of the workforce. </w:t>
      </w:r>
      <w:r w:rsidR="00302C70" w:rsidRPr="0016460E">
        <w:rPr>
          <w:rFonts w:ascii="Arial" w:hAnsi="Arial" w:cs="Arial"/>
          <w:lang w:eastAsia="en-US"/>
        </w:rPr>
        <w:t>I</w:t>
      </w:r>
      <w:r w:rsidRPr="0016460E">
        <w:rPr>
          <w:rFonts w:ascii="Arial" w:hAnsi="Arial" w:cs="Arial"/>
          <w:lang w:eastAsia="en-US"/>
        </w:rPr>
        <w:t>n India, where the number of psychiatrists is less than 0.3 per 100,000 people, mobile-based mental health applications were tested to increase access</w:t>
      </w:r>
      <w:r w:rsidR="00F33D96" w:rsidRPr="0016460E">
        <w:rPr>
          <w:rFonts w:ascii="Arial" w:hAnsi="Arial" w:cs="Arial"/>
          <w:lang w:eastAsia="en-US"/>
        </w:rPr>
        <w:t xml:space="preserve"> (Think Global Health, 2021)</w:t>
      </w:r>
      <w:r w:rsidRPr="0016460E">
        <w:rPr>
          <w:rFonts w:ascii="Arial" w:hAnsi="Arial" w:cs="Arial"/>
          <w:lang w:eastAsia="en-US"/>
        </w:rPr>
        <w:t>. In the world, health organizations like the WHO Global Strategy on Digital Health (2020</w:t>
      </w:r>
      <w:r w:rsidR="00AA1D06" w:rsidRPr="0016460E">
        <w:rPr>
          <w:rFonts w:ascii="Arial" w:hAnsi="Arial" w:cs="Arial"/>
          <w:lang w:eastAsia="en-US"/>
        </w:rPr>
        <w:t>-</w:t>
      </w:r>
      <w:r w:rsidRPr="0016460E">
        <w:rPr>
          <w:rFonts w:ascii="Arial" w:hAnsi="Arial" w:cs="Arial"/>
          <w:lang w:eastAsia="en-US"/>
        </w:rPr>
        <w:t xml:space="preserve">25) have been advocating digital integration </w:t>
      </w:r>
      <w:proofErr w:type="gramStart"/>
      <w:r w:rsidRPr="0016460E">
        <w:rPr>
          <w:rFonts w:ascii="Arial" w:hAnsi="Arial" w:cs="Arial"/>
          <w:lang w:eastAsia="en-US"/>
        </w:rPr>
        <w:t>in order to</w:t>
      </w:r>
      <w:proofErr w:type="gramEnd"/>
      <w:r w:rsidRPr="0016460E">
        <w:rPr>
          <w:rFonts w:ascii="Arial" w:hAnsi="Arial" w:cs="Arial"/>
          <w:lang w:eastAsia="en-US"/>
        </w:rPr>
        <w:t xml:space="preserve"> minimize gaps in treatment</w:t>
      </w:r>
      <w:r w:rsidR="00DC2E53" w:rsidRPr="0016460E">
        <w:rPr>
          <w:rFonts w:ascii="Arial" w:hAnsi="Arial" w:cs="Arial"/>
          <w:lang w:eastAsia="en-US"/>
        </w:rPr>
        <w:t xml:space="preserve"> (</w:t>
      </w:r>
      <w:proofErr w:type="spellStart"/>
      <w:r w:rsidR="00DC2E53" w:rsidRPr="0016460E">
        <w:rPr>
          <w:rFonts w:ascii="Arial" w:hAnsi="Arial" w:cs="Arial"/>
          <w:lang w:eastAsia="en-US"/>
        </w:rPr>
        <w:t>Stoumpos</w:t>
      </w:r>
      <w:proofErr w:type="spellEnd"/>
      <w:r w:rsidR="00DC2E53" w:rsidRPr="0016460E">
        <w:rPr>
          <w:rFonts w:ascii="Arial" w:hAnsi="Arial" w:cs="Arial"/>
          <w:lang w:eastAsia="en-US"/>
        </w:rPr>
        <w:t xml:space="preserve">, Kitsios and </w:t>
      </w:r>
      <w:proofErr w:type="spellStart"/>
      <w:r w:rsidR="00DC2E53" w:rsidRPr="0016460E">
        <w:rPr>
          <w:rFonts w:ascii="Arial" w:hAnsi="Arial" w:cs="Arial"/>
          <w:lang w:eastAsia="en-US"/>
        </w:rPr>
        <w:t>Talias</w:t>
      </w:r>
      <w:proofErr w:type="spellEnd"/>
      <w:r w:rsidR="00DC2E53" w:rsidRPr="0016460E">
        <w:rPr>
          <w:rFonts w:ascii="Arial" w:hAnsi="Arial" w:cs="Arial"/>
          <w:lang w:eastAsia="en-US"/>
        </w:rPr>
        <w:t>, 2023)</w:t>
      </w:r>
      <w:r w:rsidRPr="0016460E">
        <w:rPr>
          <w:rFonts w:ascii="Arial" w:hAnsi="Arial" w:cs="Arial"/>
          <w:lang w:eastAsia="en-US"/>
        </w:rPr>
        <w:t xml:space="preserve">. Despite the high potential of international adoption, there are still issues that exist in terms of equity, privacy of data, long-term engagement, and uniform quality assurance between regions. </w:t>
      </w:r>
      <w:r w:rsidR="00BD2909" w:rsidRPr="0016460E">
        <w:rPr>
          <w:rStyle w:val="eop"/>
          <w:rFonts w:ascii="Arial" w:eastAsia="Calibri Light" w:hAnsi="Arial" w:cs="Arial"/>
        </w:rPr>
        <w:t>  </w:t>
      </w:r>
    </w:p>
    <w:p w14:paraId="3322C689" w14:textId="1AAE6072" w:rsidR="00BD2909" w:rsidRPr="00B04D9D" w:rsidRDefault="00BD2909" w:rsidP="00CF01E1">
      <w:pPr>
        <w:pStyle w:val="Heading2"/>
        <w:numPr>
          <w:ilvl w:val="1"/>
          <w:numId w:val="152"/>
        </w:numPr>
        <w:spacing w:before="240" w:after="160"/>
        <w:jc w:val="left"/>
        <w:rPr>
          <w:rStyle w:val="normaltextrun"/>
          <w:sz w:val="28"/>
          <w:szCs w:val="28"/>
        </w:rPr>
      </w:pPr>
      <w:r w:rsidRPr="00B04D9D">
        <w:rPr>
          <w:rStyle w:val="normaltextrun"/>
          <w:rFonts w:ascii="Arial" w:hAnsi="Arial" w:cs="Arial"/>
          <w:b/>
          <w:bCs/>
          <w:color w:val="auto"/>
          <w:sz w:val="28"/>
          <w:szCs w:val="28"/>
        </w:rPr>
        <w:t xml:space="preserve"> </w:t>
      </w:r>
      <w:bookmarkStart w:id="22" w:name="_Toc222989907"/>
      <w:bookmarkStart w:id="23" w:name="_Toc222997193"/>
      <w:r w:rsidRPr="00B04D9D">
        <w:rPr>
          <w:rStyle w:val="normaltextrun"/>
          <w:rFonts w:ascii="Arial" w:hAnsi="Arial" w:cs="Arial"/>
          <w:b/>
          <w:bCs/>
          <w:color w:val="auto"/>
          <w:sz w:val="28"/>
          <w:szCs w:val="28"/>
        </w:rPr>
        <w:t>National UK Context</w:t>
      </w:r>
      <w:bookmarkEnd w:id="22"/>
      <w:bookmarkEnd w:id="23"/>
    </w:p>
    <w:p w14:paraId="613467A3" w14:textId="71148B1B" w:rsidR="0073088C" w:rsidRPr="0016460E" w:rsidRDefault="0073088C" w:rsidP="00CF01E1">
      <w:pPr>
        <w:spacing w:before="240"/>
        <w:jc w:val="left"/>
        <w:rPr>
          <w:rFonts w:ascii="Arial" w:hAnsi="Arial" w:cs="Arial"/>
          <w:lang w:eastAsia="en-US"/>
        </w:rPr>
      </w:pPr>
      <w:r w:rsidRPr="0016460E">
        <w:rPr>
          <w:rFonts w:ascii="Arial" w:hAnsi="Arial" w:cs="Arial"/>
          <w:lang w:eastAsia="en-US"/>
        </w:rPr>
        <w:t xml:space="preserve">In the United Kingdom, mental health is one of the key public health priorities, and NHS statistics show that one out of every six adults </w:t>
      </w:r>
      <w:proofErr w:type="gramStart"/>
      <w:r w:rsidRPr="0016460E">
        <w:rPr>
          <w:rFonts w:ascii="Arial" w:hAnsi="Arial" w:cs="Arial"/>
          <w:lang w:eastAsia="en-US"/>
        </w:rPr>
        <w:t>has</w:t>
      </w:r>
      <w:proofErr w:type="gramEnd"/>
      <w:r w:rsidRPr="0016460E">
        <w:rPr>
          <w:rFonts w:ascii="Arial" w:hAnsi="Arial" w:cs="Arial"/>
          <w:lang w:eastAsia="en-US"/>
        </w:rPr>
        <w:t xml:space="preserve"> a common mental health disorder at least once every week</w:t>
      </w:r>
      <w:r w:rsidR="002A1CEC" w:rsidRPr="0016460E">
        <w:rPr>
          <w:rFonts w:ascii="Arial" w:hAnsi="Arial" w:cs="Arial"/>
          <w:lang w:eastAsia="en-US"/>
        </w:rPr>
        <w:t xml:space="preserve"> (Public Health England, 2018)</w:t>
      </w:r>
      <w:r w:rsidRPr="0016460E">
        <w:rPr>
          <w:rFonts w:ascii="Arial" w:hAnsi="Arial" w:cs="Arial"/>
          <w:lang w:eastAsia="en-US"/>
        </w:rPr>
        <w:t xml:space="preserve">. There is a high demand of services especially after the COVID-19 pandemic resulting in pressures in the waiting times of primary and secondary care services. In 2019, the NHS Long Term Plan (2019) promised to provide more digital mental health support and more people with access to psychological </w:t>
      </w:r>
      <w:r w:rsidRPr="0016460E">
        <w:rPr>
          <w:rFonts w:ascii="Arial" w:hAnsi="Arial" w:cs="Arial"/>
          <w:lang w:eastAsia="en-US"/>
        </w:rPr>
        <w:lastRenderedPageBreak/>
        <w:t>therapies up to 380,000 more adults annually</w:t>
      </w:r>
      <w:r w:rsidR="00DC6870" w:rsidRPr="0016460E">
        <w:rPr>
          <w:rFonts w:ascii="Arial" w:hAnsi="Arial" w:cs="Arial"/>
          <w:lang w:eastAsia="en-US"/>
        </w:rPr>
        <w:t xml:space="preserve"> (NHS England, 2024)</w:t>
      </w:r>
      <w:r w:rsidRPr="0016460E">
        <w:rPr>
          <w:rFonts w:ascii="Arial" w:hAnsi="Arial" w:cs="Arial"/>
          <w:lang w:eastAsia="en-US"/>
        </w:rPr>
        <w:t>. The finest example has been the introduction of mobile and online cognitive behavioural therapy programmes in the Improving Access to Psychological Therapies (IAPT) programme, where the recovery rates among service users were recorded at about 50%</w:t>
      </w:r>
      <w:r w:rsidR="00CC6FD2" w:rsidRPr="0016460E">
        <w:rPr>
          <w:rFonts w:ascii="Arial" w:hAnsi="Arial" w:cs="Arial"/>
          <w:lang w:eastAsia="en-US"/>
        </w:rPr>
        <w:t xml:space="preserve"> (Lawn et al., 2019)</w:t>
      </w:r>
      <w:r w:rsidRPr="0016460E">
        <w:rPr>
          <w:rFonts w:ascii="Arial" w:hAnsi="Arial" w:cs="Arial"/>
          <w:lang w:eastAsia="en-US"/>
        </w:rPr>
        <w:t>. Moreover, the NHS Apps Library is a collection of approved digital tools that are of the required clinical safety, data protection, and usability standards</w:t>
      </w:r>
      <w:r w:rsidR="00AC6164" w:rsidRPr="0016460E">
        <w:rPr>
          <w:rFonts w:ascii="Arial" w:hAnsi="Arial" w:cs="Arial"/>
          <w:lang w:eastAsia="en-US"/>
        </w:rPr>
        <w:t xml:space="preserve"> (NHS Digital, 2018)</w:t>
      </w:r>
      <w:r w:rsidRPr="0016460E">
        <w:rPr>
          <w:rFonts w:ascii="Arial" w:hAnsi="Arial" w:cs="Arial"/>
          <w:lang w:eastAsia="en-US"/>
        </w:rPr>
        <w:t>.</w:t>
      </w:r>
    </w:p>
    <w:p w14:paraId="09099AFE" w14:textId="2FB4A8F4" w:rsidR="00BD2909" w:rsidRPr="0016460E" w:rsidRDefault="0073088C" w:rsidP="00CF01E1">
      <w:pPr>
        <w:spacing w:before="240"/>
        <w:jc w:val="left"/>
        <w:rPr>
          <w:rFonts w:ascii="Arial" w:hAnsi="Arial" w:cs="Arial"/>
          <w:lang w:eastAsia="en-US"/>
        </w:rPr>
      </w:pPr>
      <w:r w:rsidRPr="0016460E">
        <w:rPr>
          <w:rFonts w:ascii="Arial" w:hAnsi="Arial" w:cs="Arial"/>
          <w:lang w:eastAsia="en-US"/>
        </w:rPr>
        <w:t xml:space="preserve">The regulatory and policy frameworks used in the UK to organize the policy and regulation of digital technologies are the Digital Technology Assessment Criteria (DTAC) to test digital health technologies and determine how they meet safety, privacy, and technical criteria. National Institute of Health and Care Excellence (NICE) also offers standards frameworks on evidence </w:t>
      </w:r>
      <w:proofErr w:type="gramStart"/>
      <w:r w:rsidRPr="0016460E">
        <w:rPr>
          <w:rFonts w:ascii="Arial" w:hAnsi="Arial" w:cs="Arial"/>
          <w:lang w:eastAsia="en-US"/>
        </w:rPr>
        <w:t>in regard to</w:t>
      </w:r>
      <w:proofErr w:type="gramEnd"/>
      <w:r w:rsidRPr="0016460E">
        <w:rPr>
          <w:rFonts w:ascii="Arial" w:hAnsi="Arial" w:cs="Arial"/>
          <w:lang w:eastAsia="en-US"/>
        </w:rPr>
        <w:t xml:space="preserve"> digital technologies in health</w:t>
      </w:r>
      <w:r w:rsidR="00331453" w:rsidRPr="0016460E">
        <w:rPr>
          <w:rFonts w:ascii="Arial" w:hAnsi="Arial" w:cs="Arial"/>
          <w:lang w:eastAsia="en-US"/>
        </w:rPr>
        <w:t xml:space="preserve"> (NICE, 2019)</w:t>
      </w:r>
      <w:r w:rsidRPr="0016460E">
        <w:rPr>
          <w:rFonts w:ascii="Arial" w:hAnsi="Arial" w:cs="Arial"/>
          <w:lang w:eastAsia="en-US"/>
        </w:rPr>
        <w:t xml:space="preserve">. These control systems are used to reduce risk factors of untested business applications and encourage clinically validated products. NHS Trusts have tested digital triage and remote mental health monitoring tools at the local level. NHS services based in London have launched mood monitoring apps to facilitate community mental health </w:t>
      </w:r>
      <w:r w:rsidR="00532AD7" w:rsidRPr="0016460E">
        <w:rPr>
          <w:rFonts w:ascii="Arial" w:hAnsi="Arial" w:cs="Arial"/>
          <w:lang w:eastAsia="en-US"/>
        </w:rPr>
        <w:t>teams and</w:t>
      </w:r>
      <w:r w:rsidRPr="0016460E">
        <w:rPr>
          <w:rFonts w:ascii="Arial" w:hAnsi="Arial" w:cs="Arial"/>
          <w:lang w:eastAsia="en-US"/>
        </w:rPr>
        <w:t xml:space="preserve"> report higher efficiency in appointments and self-reporting of patients</w:t>
      </w:r>
      <w:r w:rsidR="00560A30" w:rsidRPr="0016460E">
        <w:rPr>
          <w:rFonts w:ascii="Arial" w:hAnsi="Arial" w:cs="Arial"/>
          <w:lang w:eastAsia="en-US"/>
        </w:rPr>
        <w:t xml:space="preserve"> (IE Digital, 2026)</w:t>
      </w:r>
      <w:r w:rsidRPr="0016460E">
        <w:rPr>
          <w:rFonts w:ascii="Arial" w:hAnsi="Arial" w:cs="Arial"/>
          <w:lang w:eastAsia="en-US"/>
        </w:rPr>
        <w:t>. Nevertheless, the disparity in terms of regions is still present, more so in rural regions where they might not have much digital connectivity. Engagement levels are also affected by the socioeconomic factors and digital literacy. In general, the UK represents a relatively organized and policy-based manifestation of mobile integration of mental health, but further assessment is needed to provide equal access and maintain clinical efficiency.</w:t>
      </w:r>
      <w:r w:rsidR="00BD2909" w:rsidRPr="0016460E">
        <w:rPr>
          <w:rStyle w:val="eop"/>
          <w:rFonts w:ascii="Arial" w:eastAsia="Calibri Light" w:hAnsi="Arial" w:cs="Arial"/>
        </w:rPr>
        <w:t>  </w:t>
      </w:r>
    </w:p>
    <w:p w14:paraId="1CD397E1" w14:textId="540566DE" w:rsidR="00BD2909" w:rsidRPr="00B04D9D" w:rsidRDefault="00BD2909" w:rsidP="00CF01E1">
      <w:pPr>
        <w:pStyle w:val="Heading2"/>
        <w:numPr>
          <w:ilvl w:val="1"/>
          <w:numId w:val="152"/>
        </w:numPr>
        <w:spacing w:before="240" w:after="160"/>
        <w:jc w:val="left"/>
        <w:rPr>
          <w:rStyle w:val="normaltextrun"/>
          <w:sz w:val="28"/>
          <w:szCs w:val="28"/>
        </w:rPr>
      </w:pPr>
      <w:r w:rsidRPr="00B04D9D">
        <w:rPr>
          <w:rStyle w:val="normaltextrun"/>
          <w:rFonts w:ascii="Arial" w:hAnsi="Arial" w:cs="Arial"/>
          <w:b/>
          <w:bCs/>
          <w:color w:val="auto"/>
          <w:sz w:val="28"/>
          <w:szCs w:val="28"/>
        </w:rPr>
        <w:t xml:space="preserve"> </w:t>
      </w:r>
      <w:bookmarkStart w:id="24" w:name="_Toc222989908"/>
      <w:bookmarkStart w:id="25" w:name="_Toc222997194"/>
      <w:r w:rsidRPr="00B04D9D">
        <w:rPr>
          <w:rStyle w:val="normaltextrun"/>
          <w:rFonts w:ascii="Arial" w:hAnsi="Arial" w:cs="Arial"/>
          <w:b/>
          <w:bCs/>
          <w:color w:val="auto"/>
          <w:sz w:val="28"/>
          <w:szCs w:val="28"/>
        </w:rPr>
        <w:t>Conclusion</w:t>
      </w:r>
      <w:bookmarkEnd w:id="24"/>
      <w:bookmarkEnd w:id="25"/>
    </w:p>
    <w:p w14:paraId="5DDAF423" w14:textId="7A5EDC03" w:rsidR="000D0641" w:rsidRPr="0016460E" w:rsidRDefault="00D45AAE" w:rsidP="00CF01E1">
      <w:pPr>
        <w:spacing w:before="240"/>
        <w:jc w:val="left"/>
        <w:rPr>
          <w:rFonts w:ascii="Arial" w:hAnsi="Arial" w:cs="Arial"/>
          <w:lang w:eastAsia="en-US"/>
        </w:rPr>
      </w:pPr>
      <w:r w:rsidRPr="0016460E">
        <w:rPr>
          <w:rFonts w:ascii="Arial" w:hAnsi="Arial" w:cs="Arial"/>
          <w:lang w:eastAsia="en-US"/>
        </w:rPr>
        <w:t xml:space="preserve">This chapter has </w:t>
      </w:r>
      <w:r w:rsidR="00532AD7" w:rsidRPr="0016460E">
        <w:rPr>
          <w:rFonts w:ascii="Arial" w:hAnsi="Arial" w:cs="Arial"/>
          <w:lang w:eastAsia="en-US"/>
        </w:rPr>
        <w:t>analysed</w:t>
      </w:r>
      <w:r w:rsidRPr="0016460E">
        <w:rPr>
          <w:rFonts w:ascii="Arial" w:hAnsi="Arial" w:cs="Arial"/>
          <w:lang w:eastAsia="en-US"/>
        </w:rPr>
        <w:t xml:space="preserve"> the history, theoretical basis and landscape context of mobile mental health applications. Since early institutional models of psychiatry to modern digital innovations, the mental health care has been evolving due to the altered priorities in the direction of accessibility, scalability, and user-centred support. Existing digital interventions are based on theoretical approaches based on cognitive behavioural therapy, implementation science, and engagement theory, however, there is still a discussion about the long-term effectiveness and equality. Comparisons across different countries show that there are diverse regulatory and implementation practices, and the case of the UK points to systematic policy integration and constant accessibility issues. Through this background, the methodological approach in the following chapter will be prepared to discuss how the literature was systematically chosen and analysed to respond to the research aim and objectives. </w:t>
      </w:r>
    </w:p>
    <w:p w14:paraId="407ABDAE" w14:textId="4F32BB8B" w:rsidR="00880B2D" w:rsidRPr="0016460E" w:rsidRDefault="00880B2D" w:rsidP="00CF01E1">
      <w:pPr>
        <w:spacing w:before="240"/>
        <w:jc w:val="left"/>
        <w:rPr>
          <w:rFonts w:ascii="Arial" w:hAnsi="Arial" w:cs="Arial"/>
        </w:rPr>
        <w:sectPr w:rsidR="00880B2D" w:rsidRPr="0016460E">
          <w:footerReference w:type="default" r:id="rId10"/>
          <w:pgSz w:w="11906" w:h="16838"/>
          <w:pgMar w:top="1440" w:right="1440" w:bottom="1440" w:left="1440" w:header="708" w:footer="708" w:gutter="0"/>
          <w:cols w:space="708"/>
          <w:docGrid w:linePitch="360"/>
        </w:sectPr>
      </w:pPr>
    </w:p>
    <w:p w14:paraId="398427E3" w14:textId="6598CB46" w:rsidR="00292A36" w:rsidRPr="006B09CF" w:rsidRDefault="00986C58" w:rsidP="00CF01E1">
      <w:pPr>
        <w:pStyle w:val="Heading1"/>
        <w:numPr>
          <w:ilvl w:val="0"/>
          <w:numId w:val="153"/>
        </w:numPr>
        <w:spacing w:before="240" w:after="160" w:line="360" w:lineRule="auto"/>
        <w:rPr>
          <w:rFonts w:cs="Arial"/>
        </w:rPr>
      </w:pPr>
      <w:bookmarkStart w:id="26" w:name="_Toc222989909"/>
      <w:bookmarkStart w:id="27" w:name="_Toc222997195"/>
      <w:r w:rsidRPr="006B09CF">
        <w:rPr>
          <w:rFonts w:cs="Arial"/>
        </w:rPr>
        <w:lastRenderedPageBreak/>
        <w:t xml:space="preserve">Chapter </w:t>
      </w:r>
      <w:r w:rsidR="00292A36" w:rsidRPr="006B09CF">
        <w:rPr>
          <w:rFonts w:cs="Arial"/>
        </w:rPr>
        <w:t>3</w:t>
      </w:r>
      <w:r w:rsidR="000E6C9B" w:rsidRPr="006B09CF">
        <w:rPr>
          <w:rFonts w:cs="Arial"/>
        </w:rPr>
        <w:t xml:space="preserve">: </w:t>
      </w:r>
      <w:r w:rsidR="00E325CF" w:rsidRPr="006B09CF">
        <w:rPr>
          <w:rFonts w:cs="Arial"/>
        </w:rPr>
        <w:t>Methods and Search Strategy</w:t>
      </w:r>
      <w:bookmarkEnd w:id="26"/>
      <w:bookmarkEnd w:id="27"/>
      <w:r w:rsidR="00E325CF" w:rsidRPr="006B09CF">
        <w:rPr>
          <w:rFonts w:cs="Arial"/>
        </w:rPr>
        <w:t xml:space="preserve"> </w:t>
      </w:r>
    </w:p>
    <w:p w14:paraId="5A7AB555" w14:textId="16C07904" w:rsidR="003A66FD" w:rsidRPr="00B44E2F" w:rsidRDefault="00292A36" w:rsidP="00CF01E1">
      <w:pPr>
        <w:pStyle w:val="Heading2"/>
        <w:numPr>
          <w:ilvl w:val="1"/>
          <w:numId w:val="153"/>
        </w:numPr>
        <w:spacing w:before="240" w:after="160"/>
        <w:jc w:val="left"/>
        <w:rPr>
          <w:rFonts w:ascii="Arial" w:hAnsi="Arial" w:cs="Arial"/>
          <w:b/>
          <w:bCs/>
          <w:color w:val="auto"/>
          <w:sz w:val="28"/>
          <w:szCs w:val="28"/>
        </w:rPr>
      </w:pPr>
      <w:bookmarkStart w:id="28" w:name="_Toc222989910"/>
      <w:bookmarkStart w:id="29" w:name="_Toc222997196"/>
      <w:r w:rsidRPr="00B44E2F">
        <w:rPr>
          <w:rFonts w:ascii="Arial" w:hAnsi="Arial" w:cs="Arial"/>
          <w:b/>
          <w:bCs/>
          <w:color w:val="auto"/>
          <w:sz w:val="28"/>
          <w:szCs w:val="28"/>
        </w:rPr>
        <w:t>Introductio</w:t>
      </w:r>
      <w:bookmarkEnd w:id="28"/>
      <w:r w:rsidR="00802323" w:rsidRPr="00B44E2F">
        <w:rPr>
          <w:rFonts w:ascii="Arial" w:hAnsi="Arial" w:cs="Arial"/>
          <w:b/>
          <w:bCs/>
          <w:color w:val="auto"/>
          <w:sz w:val="28"/>
          <w:szCs w:val="28"/>
        </w:rPr>
        <w:t>n</w:t>
      </w:r>
      <w:bookmarkEnd w:id="29"/>
    </w:p>
    <w:p w14:paraId="6CBC7EFF" w14:textId="7B2DE310" w:rsidR="003A66FD" w:rsidRPr="0016460E" w:rsidRDefault="00852BB5" w:rsidP="00CF01E1">
      <w:pPr>
        <w:spacing w:before="240"/>
        <w:jc w:val="left"/>
        <w:rPr>
          <w:rFonts w:ascii="Arial" w:hAnsi="Arial" w:cs="Arial"/>
          <w:lang w:eastAsia="en-US"/>
        </w:rPr>
      </w:pPr>
      <w:r w:rsidRPr="0016460E">
        <w:rPr>
          <w:rFonts w:ascii="Arial" w:hAnsi="Arial" w:cs="Arial"/>
          <w:lang w:eastAsia="en-US"/>
        </w:rPr>
        <w:t>This chapter provides the methodological approach that has been followed in this dissertation, and how the research was carried out by using desk-based literature-based approach. Although the academic methodology poster has given a clear visual overview of the process, in this chapter, each element of the process has been elaborated in more detail, such as the search strategy, source validation, the inclusion and exclusion criteria, the themes in the analysis. The procedures outlined herein are the premise of how peer-reviewed literature on mobile mental health application are identified and selected and critically analysed. The systematic methodology makes it transparent, reliable, and scholarly, which ultimately leads to thematic findings in Chapter 4.</w:t>
      </w:r>
    </w:p>
    <w:p w14:paraId="644CE1D2" w14:textId="69833EB3" w:rsidR="009E5B14" w:rsidRPr="001B7905" w:rsidRDefault="00292A36" w:rsidP="00CF01E1">
      <w:pPr>
        <w:pStyle w:val="Heading2"/>
        <w:numPr>
          <w:ilvl w:val="1"/>
          <w:numId w:val="153"/>
        </w:numPr>
        <w:spacing w:before="240" w:after="160"/>
        <w:jc w:val="left"/>
        <w:rPr>
          <w:rFonts w:ascii="Arial" w:hAnsi="Arial" w:cs="Arial"/>
          <w:b/>
          <w:bCs/>
          <w:color w:val="auto"/>
          <w:sz w:val="28"/>
          <w:szCs w:val="28"/>
        </w:rPr>
      </w:pPr>
      <w:bookmarkStart w:id="30" w:name="_Toc222989911"/>
      <w:bookmarkStart w:id="31" w:name="_Toc222997197"/>
      <w:r w:rsidRPr="001B7905">
        <w:rPr>
          <w:rFonts w:ascii="Arial" w:hAnsi="Arial" w:cs="Arial"/>
          <w:b/>
          <w:bCs/>
          <w:color w:val="auto"/>
          <w:sz w:val="28"/>
          <w:szCs w:val="28"/>
        </w:rPr>
        <w:t>Search Strategy</w:t>
      </w:r>
      <w:bookmarkEnd w:id="30"/>
      <w:bookmarkEnd w:id="31"/>
    </w:p>
    <w:p w14:paraId="0293381E" w14:textId="2A560BA0" w:rsidR="00D13A82" w:rsidRPr="0016460E" w:rsidRDefault="00294E08" w:rsidP="00CF01E1">
      <w:pPr>
        <w:spacing w:before="240"/>
        <w:jc w:val="left"/>
        <w:rPr>
          <w:rFonts w:ascii="Arial" w:hAnsi="Arial" w:cs="Arial"/>
          <w:lang w:eastAsia="en-US"/>
        </w:rPr>
      </w:pPr>
      <w:r w:rsidRPr="0016460E">
        <w:rPr>
          <w:rFonts w:ascii="Arial" w:hAnsi="Arial" w:cs="Arial"/>
          <w:lang w:eastAsia="en-US"/>
        </w:rPr>
        <w:t xml:space="preserve">The key terms were created based on the objectives and the research title and used as the search strategy. Major search terms were mobile mental health applications, digital mental health, anxiety, depression, stress, user engagement, retention, and clinical effectiveness. Professional keywords and </w:t>
      </w:r>
      <w:r w:rsidR="00603B21" w:rsidRPr="0016460E">
        <w:rPr>
          <w:rFonts w:ascii="Arial" w:hAnsi="Arial" w:cs="Arial"/>
          <w:lang w:eastAsia="en-US"/>
        </w:rPr>
        <w:t>terms</w:t>
      </w:r>
      <w:r w:rsidRPr="0016460E">
        <w:rPr>
          <w:rFonts w:ascii="Arial" w:hAnsi="Arial" w:cs="Arial"/>
          <w:lang w:eastAsia="en-US"/>
        </w:rPr>
        <w:t xml:space="preserve"> like smartphone-based interventions, mHealth, cognitive behavioural therapy apps, and digital psychological interventions were added as well. The search results were narrowed with the help of the use of Boolean operators, and the terms were combined with either AND (e.g., mental health apps AND anxiety), OR (e.g., mobile applications OR smartphone interventions), and NOT were used where it was required to filter out irrelevant search results.</w:t>
      </w:r>
    </w:p>
    <w:p w14:paraId="57AFDE7A" w14:textId="25185B6A" w:rsidR="00B575E2" w:rsidRPr="001B7905" w:rsidRDefault="00292A36" w:rsidP="00CF01E1">
      <w:pPr>
        <w:pStyle w:val="Heading2"/>
        <w:numPr>
          <w:ilvl w:val="1"/>
          <w:numId w:val="153"/>
        </w:numPr>
        <w:spacing w:before="240" w:after="160"/>
        <w:jc w:val="left"/>
        <w:rPr>
          <w:rFonts w:ascii="Arial" w:hAnsi="Arial" w:cs="Arial"/>
          <w:b/>
          <w:bCs/>
          <w:color w:val="auto"/>
          <w:sz w:val="28"/>
          <w:szCs w:val="28"/>
        </w:rPr>
      </w:pPr>
      <w:bookmarkStart w:id="32" w:name="_Toc222989912"/>
      <w:bookmarkStart w:id="33" w:name="_Toc222997198"/>
      <w:r w:rsidRPr="001B7905">
        <w:rPr>
          <w:rFonts w:ascii="Arial" w:hAnsi="Arial" w:cs="Arial"/>
          <w:b/>
          <w:bCs/>
          <w:color w:val="auto"/>
          <w:sz w:val="28"/>
          <w:szCs w:val="28"/>
        </w:rPr>
        <w:t>Searching for Information</w:t>
      </w:r>
      <w:bookmarkEnd w:id="32"/>
      <w:bookmarkEnd w:id="33"/>
    </w:p>
    <w:p w14:paraId="6F09D47B" w14:textId="25B465A3" w:rsidR="00B575E2" w:rsidRPr="0016460E" w:rsidRDefault="001C04CD" w:rsidP="00CF01E1">
      <w:pPr>
        <w:spacing w:before="240"/>
        <w:jc w:val="left"/>
        <w:rPr>
          <w:rFonts w:ascii="Arial" w:hAnsi="Arial" w:cs="Arial"/>
          <w:lang w:eastAsia="en-US"/>
        </w:rPr>
      </w:pPr>
      <w:r w:rsidRPr="0016460E">
        <w:rPr>
          <w:rFonts w:ascii="Arial" w:hAnsi="Arial" w:cs="Arial"/>
          <w:lang w:eastAsia="en-US"/>
        </w:rPr>
        <w:t>The academic databases were chosen on credibility, relevance, and availability of peer-reviewed research. The main sources were Google scholar, PubMed, ScienceDirect, and the UWTSD University Library databases. The search in PubMed especially served well with medical and clinical research studies whereas the use of ScienceDirect also helped with multidisciplinary peer-reviewed journals</w:t>
      </w:r>
      <w:r w:rsidR="00821C58" w:rsidRPr="0016460E">
        <w:rPr>
          <w:rFonts w:ascii="Arial" w:hAnsi="Arial" w:cs="Arial"/>
          <w:lang w:eastAsia="en-US"/>
        </w:rPr>
        <w:t xml:space="preserve"> (</w:t>
      </w:r>
      <w:proofErr w:type="spellStart"/>
      <w:r w:rsidR="00821C58" w:rsidRPr="0016460E">
        <w:rPr>
          <w:rFonts w:ascii="Arial" w:hAnsi="Arial" w:cs="Arial"/>
          <w:lang w:eastAsia="en-US"/>
        </w:rPr>
        <w:t>Gusenbauer</w:t>
      </w:r>
      <w:proofErr w:type="spellEnd"/>
      <w:r w:rsidR="00821C58" w:rsidRPr="0016460E">
        <w:rPr>
          <w:rFonts w:ascii="Arial" w:hAnsi="Arial" w:cs="Arial"/>
          <w:lang w:eastAsia="en-US"/>
        </w:rPr>
        <w:t xml:space="preserve"> and Haddaway, 2020)</w:t>
      </w:r>
      <w:r w:rsidRPr="0016460E">
        <w:rPr>
          <w:rFonts w:ascii="Arial" w:hAnsi="Arial" w:cs="Arial"/>
          <w:lang w:eastAsia="en-US"/>
        </w:rPr>
        <w:t xml:space="preserve">. Google Scholar assisted in greater cross-referencing and citation monitoring. The filters have been used to improve the quality of results, e.g., publication date (mostly within 10 years), peer-reviewed, English, and relevance to mental health outcomes. In the case where feasible, user population and outcome measure studies were prioritised. The refinement of initial results </w:t>
      </w:r>
      <w:r w:rsidRPr="0016460E">
        <w:rPr>
          <w:rFonts w:ascii="Arial" w:hAnsi="Arial" w:cs="Arial"/>
          <w:lang w:eastAsia="en-US"/>
        </w:rPr>
        <w:lastRenderedPageBreak/>
        <w:t>was done by the search process that included fine-tuning of keywords and the narrowing of general terms</w:t>
      </w:r>
      <w:r w:rsidR="005905E4" w:rsidRPr="0016460E">
        <w:rPr>
          <w:rFonts w:ascii="Arial" w:hAnsi="Arial" w:cs="Arial"/>
          <w:lang w:eastAsia="en-US"/>
        </w:rPr>
        <w:t xml:space="preserve"> (</w:t>
      </w:r>
      <w:proofErr w:type="spellStart"/>
      <w:r w:rsidR="005905E4" w:rsidRPr="0016460E">
        <w:rPr>
          <w:rFonts w:ascii="Arial" w:hAnsi="Arial" w:cs="Arial"/>
          <w:lang w:eastAsia="en-US"/>
        </w:rPr>
        <w:t>Gusenbauer</w:t>
      </w:r>
      <w:proofErr w:type="spellEnd"/>
      <w:r w:rsidR="005905E4" w:rsidRPr="0016460E">
        <w:rPr>
          <w:rFonts w:ascii="Arial" w:hAnsi="Arial" w:cs="Arial"/>
          <w:lang w:eastAsia="en-US"/>
        </w:rPr>
        <w:t xml:space="preserve"> and </w:t>
      </w:r>
      <w:proofErr w:type="spellStart"/>
      <w:r w:rsidR="005905E4" w:rsidRPr="0016460E">
        <w:rPr>
          <w:rFonts w:ascii="Arial" w:hAnsi="Arial" w:cs="Arial"/>
          <w:lang w:eastAsia="en-US"/>
        </w:rPr>
        <w:t>Gauster</w:t>
      </w:r>
      <w:proofErr w:type="spellEnd"/>
      <w:r w:rsidR="005905E4" w:rsidRPr="0016460E">
        <w:rPr>
          <w:rFonts w:ascii="Arial" w:hAnsi="Arial" w:cs="Arial"/>
          <w:lang w:eastAsia="en-US"/>
        </w:rPr>
        <w:t>, 2024)</w:t>
      </w:r>
      <w:r w:rsidRPr="0016460E">
        <w:rPr>
          <w:rFonts w:ascii="Arial" w:hAnsi="Arial" w:cs="Arial"/>
          <w:lang w:eastAsia="en-US"/>
        </w:rPr>
        <w:t>. A tracking table of sources was designed to record article titles, authors, methodologies, and key findings, which allowed the organisation and transparency to be systematised. This process of tracking allowed consistency and helped in the thematic coding that was done during later analysis</w:t>
      </w:r>
      <w:r w:rsidR="00B369FF" w:rsidRPr="0016460E">
        <w:rPr>
          <w:rFonts w:ascii="Arial" w:hAnsi="Arial" w:cs="Arial"/>
          <w:lang w:eastAsia="en-US"/>
        </w:rPr>
        <w:t xml:space="preserve"> (Ahmed et al., 2025)</w:t>
      </w:r>
      <w:r w:rsidRPr="0016460E">
        <w:rPr>
          <w:rFonts w:ascii="Arial" w:hAnsi="Arial" w:cs="Arial"/>
          <w:lang w:eastAsia="en-US"/>
        </w:rPr>
        <w:t>.</w:t>
      </w:r>
    </w:p>
    <w:p w14:paraId="0BEB0164" w14:textId="4F2B31FB" w:rsidR="00E325CF" w:rsidRPr="001B7905" w:rsidRDefault="00292A36" w:rsidP="00CF01E1">
      <w:pPr>
        <w:pStyle w:val="Heading2"/>
        <w:numPr>
          <w:ilvl w:val="1"/>
          <w:numId w:val="153"/>
        </w:numPr>
        <w:spacing w:before="240" w:after="160"/>
        <w:jc w:val="left"/>
        <w:rPr>
          <w:rFonts w:ascii="Arial" w:hAnsi="Arial" w:cs="Arial"/>
          <w:b/>
          <w:bCs/>
          <w:color w:val="auto"/>
          <w:sz w:val="28"/>
          <w:szCs w:val="28"/>
        </w:rPr>
      </w:pPr>
      <w:bookmarkStart w:id="34" w:name="_Toc222989913"/>
      <w:bookmarkStart w:id="35" w:name="_Toc222997199"/>
      <w:r w:rsidRPr="001B7905">
        <w:rPr>
          <w:rFonts w:ascii="Arial" w:hAnsi="Arial" w:cs="Arial"/>
          <w:b/>
          <w:bCs/>
          <w:color w:val="auto"/>
          <w:sz w:val="28"/>
          <w:szCs w:val="28"/>
        </w:rPr>
        <w:t>Research Validation</w:t>
      </w:r>
      <w:bookmarkEnd w:id="34"/>
      <w:bookmarkEnd w:id="35"/>
      <w:r w:rsidRPr="001B7905">
        <w:rPr>
          <w:rFonts w:ascii="Arial" w:hAnsi="Arial" w:cs="Arial"/>
          <w:b/>
          <w:bCs/>
          <w:color w:val="auto"/>
          <w:sz w:val="28"/>
          <w:szCs w:val="28"/>
        </w:rPr>
        <w:t xml:space="preserve"> </w:t>
      </w:r>
    </w:p>
    <w:p w14:paraId="5C89D65D" w14:textId="7052F766" w:rsidR="00B575E2" w:rsidRPr="0016460E" w:rsidRDefault="003B1497" w:rsidP="00CF01E1">
      <w:pPr>
        <w:spacing w:before="240"/>
        <w:jc w:val="left"/>
        <w:rPr>
          <w:rFonts w:ascii="Arial" w:hAnsi="Arial" w:cs="Arial"/>
          <w:lang w:eastAsia="en-US"/>
        </w:rPr>
      </w:pPr>
      <w:proofErr w:type="gramStart"/>
      <w:r w:rsidRPr="0016460E">
        <w:rPr>
          <w:rFonts w:ascii="Arial" w:hAnsi="Arial" w:cs="Arial"/>
          <w:lang w:eastAsia="en-US"/>
        </w:rPr>
        <w:t>In order to</w:t>
      </w:r>
      <w:proofErr w:type="gramEnd"/>
      <w:r w:rsidRPr="0016460E">
        <w:rPr>
          <w:rFonts w:ascii="Arial" w:hAnsi="Arial" w:cs="Arial"/>
          <w:lang w:eastAsia="en-US"/>
        </w:rPr>
        <w:t xml:space="preserve"> establish relevance, all articles were first skimmed through the title, abstract, introduction, and conclusion portions. It was carried out through a process that enabled the identification of the studies that directly covered how mobile mental health applications and outcome measures were identified within a short period of time. Credibility of sources was evaluated using CRAAP test (Currency, relevance, Authority, Accuracy and Purpose). Preference was made to recent publications, peer-reviewed journals and articles by recognised researchers or institutions</w:t>
      </w:r>
      <w:r w:rsidR="004600E3" w:rsidRPr="0016460E">
        <w:rPr>
          <w:rFonts w:ascii="Arial" w:hAnsi="Arial" w:cs="Arial"/>
          <w:lang w:eastAsia="en-US"/>
        </w:rPr>
        <w:t xml:space="preserve"> (Kurpiel, 2025)</w:t>
      </w:r>
      <w:r w:rsidRPr="0016460E">
        <w:rPr>
          <w:rFonts w:ascii="Arial" w:hAnsi="Arial" w:cs="Arial"/>
          <w:lang w:eastAsia="en-US"/>
        </w:rPr>
        <w:t>. Although all the sources did not satisfy all the five criteria, currency, relevance, and authority were highly emphasized. The reliability and scholarly soundness of the literature selection was reinforced with the help of this organized validation strategy.</w:t>
      </w:r>
    </w:p>
    <w:p w14:paraId="0E7E3997" w14:textId="023C42B7" w:rsidR="0021364B" w:rsidRPr="001B7905" w:rsidRDefault="00292A36" w:rsidP="00CF01E1">
      <w:pPr>
        <w:pStyle w:val="Heading2"/>
        <w:numPr>
          <w:ilvl w:val="1"/>
          <w:numId w:val="153"/>
        </w:numPr>
        <w:spacing w:before="240" w:after="160"/>
        <w:jc w:val="left"/>
        <w:rPr>
          <w:rFonts w:ascii="Arial" w:hAnsi="Arial" w:cs="Arial"/>
          <w:b/>
          <w:bCs/>
          <w:color w:val="auto"/>
          <w:sz w:val="28"/>
          <w:szCs w:val="28"/>
        </w:rPr>
      </w:pPr>
      <w:bookmarkStart w:id="36" w:name="_Toc222989914"/>
      <w:bookmarkStart w:id="37" w:name="_Toc222997200"/>
      <w:r w:rsidRPr="001B7905">
        <w:rPr>
          <w:b/>
          <w:bCs/>
          <w:color w:val="auto"/>
          <w:sz w:val="28"/>
          <w:szCs w:val="28"/>
        </w:rPr>
        <w:t>Inclusion and Exclusion Criteria</w:t>
      </w:r>
      <w:bookmarkEnd w:id="36"/>
      <w:bookmarkEnd w:id="37"/>
    </w:p>
    <w:p w14:paraId="070FDB8D" w14:textId="641BA5B6" w:rsidR="00B9506B" w:rsidRPr="0016460E" w:rsidRDefault="005B0CE2" w:rsidP="00CF01E1">
      <w:pPr>
        <w:spacing w:before="240"/>
        <w:jc w:val="left"/>
        <w:rPr>
          <w:rFonts w:ascii="Arial" w:hAnsi="Arial" w:cs="Arial"/>
        </w:rPr>
      </w:pPr>
      <w:r w:rsidRPr="0016460E">
        <w:rPr>
          <w:rStyle w:val="Strong"/>
          <w:rFonts w:ascii="Arial" w:hAnsi="Arial" w:cs="Arial"/>
        </w:rPr>
        <w:t>Inclusion Criteria</w:t>
      </w:r>
    </w:p>
    <w:p w14:paraId="75CBBD60" w14:textId="79D688E6" w:rsidR="005B0CE2" w:rsidRPr="0016460E" w:rsidRDefault="007223B4" w:rsidP="00CF01E1">
      <w:pPr>
        <w:spacing w:before="240"/>
        <w:jc w:val="left"/>
        <w:rPr>
          <w:rFonts w:ascii="Arial" w:hAnsi="Arial" w:cs="Arial"/>
        </w:rPr>
      </w:pPr>
      <w:r w:rsidRPr="0016460E">
        <w:rPr>
          <w:rFonts w:ascii="Arial" w:hAnsi="Arial" w:cs="Arial"/>
        </w:rPr>
        <w:t>Peer-reviewed journal articles and systematic reviews published not older than ten years were considered as the sources that had to be related to the topic of mobile mental health applications and measurable outcomes in the context of anxiety, depression, stress, user engagement, or accessibility. Research based on users and their empirical assessment was given priority to make sure that it was relevant to the research objectives.</w:t>
      </w:r>
    </w:p>
    <w:p w14:paraId="643E876B" w14:textId="77777777" w:rsidR="00C52F56" w:rsidRPr="0016460E" w:rsidRDefault="005B0CE2" w:rsidP="00CF01E1">
      <w:pPr>
        <w:spacing w:before="240"/>
        <w:jc w:val="left"/>
        <w:rPr>
          <w:rStyle w:val="Strong"/>
          <w:rFonts w:ascii="Arial" w:hAnsi="Arial" w:cs="Arial"/>
        </w:rPr>
      </w:pPr>
      <w:r w:rsidRPr="0016460E">
        <w:rPr>
          <w:rStyle w:val="Strong"/>
          <w:rFonts w:ascii="Arial" w:hAnsi="Arial" w:cs="Arial"/>
        </w:rPr>
        <w:t>Exclusion Criteria</w:t>
      </w:r>
    </w:p>
    <w:p w14:paraId="79EFA533" w14:textId="53F1ED33" w:rsidR="00B575E2" w:rsidRPr="0016460E" w:rsidRDefault="00ED1773" w:rsidP="00CF01E1">
      <w:pPr>
        <w:spacing w:before="240"/>
        <w:jc w:val="left"/>
        <w:rPr>
          <w:rFonts w:ascii="Arial" w:hAnsi="Arial" w:cs="Arial"/>
        </w:rPr>
      </w:pPr>
      <w:r w:rsidRPr="0016460E">
        <w:rPr>
          <w:rFonts w:ascii="Arial" w:hAnsi="Arial" w:cs="Arial"/>
        </w:rPr>
        <w:t>Referrals made were to opinion blogs, non-scholarly websites, outdated articles that were not related to contemporary importance, articles that were not in English, and literature that only dealt with general digital health as opposed to mental health application. These were the criteria that made the research remain focused, credible and academically rigorous.</w:t>
      </w:r>
    </w:p>
    <w:p w14:paraId="01A5598C" w14:textId="196F825A" w:rsidR="0021364B" w:rsidRPr="00F97766" w:rsidRDefault="00292A36" w:rsidP="00CF01E1">
      <w:pPr>
        <w:pStyle w:val="Heading2"/>
        <w:numPr>
          <w:ilvl w:val="1"/>
          <w:numId w:val="153"/>
        </w:numPr>
        <w:spacing w:before="240" w:after="160"/>
        <w:jc w:val="left"/>
        <w:rPr>
          <w:b/>
          <w:bCs/>
          <w:color w:val="auto"/>
          <w:sz w:val="28"/>
          <w:szCs w:val="28"/>
        </w:rPr>
      </w:pPr>
      <w:bookmarkStart w:id="38" w:name="_Toc222989915"/>
      <w:bookmarkStart w:id="39" w:name="_Toc222997201"/>
      <w:r w:rsidRPr="00F97766">
        <w:rPr>
          <w:b/>
          <w:bCs/>
          <w:color w:val="auto"/>
          <w:sz w:val="28"/>
          <w:szCs w:val="28"/>
        </w:rPr>
        <w:lastRenderedPageBreak/>
        <w:t>Analysing Research</w:t>
      </w:r>
      <w:bookmarkEnd w:id="38"/>
      <w:bookmarkEnd w:id="39"/>
    </w:p>
    <w:p w14:paraId="02C4F626" w14:textId="435162B8" w:rsidR="00C17A49" w:rsidRPr="0016460E" w:rsidRDefault="00E85A90" w:rsidP="00CF01E1">
      <w:pPr>
        <w:spacing w:before="240"/>
        <w:jc w:val="left"/>
        <w:rPr>
          <w:rFonts w:ascii="Arial" w:hAnsi="Arial" w:cs="Arial"/>
          <w:lang w:eastAsia="en-US"/>
        </w:rPr>
      </w:pPr>
      <w:r w:rsidRPr="0016460E">
        <w:rPr>
          <w:rFonts w:ascii="Arial" w:hAnsi="Arial" w:cs="Arial"/>
          <w:lang w:eastAsia="en-US"/>
        </w:rPr>
        <w:t>The chosen literature underwent a thematic coding method of analyses. The individual articles were thoroughly reviewed to establish the common concepts, patterns, and findings regarding efficacy, engagement, accessibility and ethical issues. Primary codes were formulated out of repeated keywords and outcome measures including</w:t>
      </w:r>
      <w:r w:rsidR="00210DD5" w:rsidRPr="0016460E">
        <w:rPr>
          <w:rFonts w:ascii="Arial" w:hAnsi="Arial" w:cs="Arial"/>
          <w:lang w:eastAsia="en-US"/>
        </w:rPr>
        <w:t xml:space="preserve"> </w:t>
      </w:r>
      <w:r w:rsidRPr="0016460E">
        <w:rPr>
          <w:rFonts w:ascii="Arial" w:hAnsi="Arial" w:cs="Arial"/>
          <w:lang w:eastAsia="en-US"/>
        </w:rPr>
        <w:t>reduction of symptoms, adherence rates, usability and issues of data privacy. These codes were then categorized under some general themes which were consistent with the research objectives. Coding decisions were managed and tracked through organisational tools like structured table and colour-coded spreadsheets. This was a systematic approach that facilitated the development of clear themes and offered a systematic basis on which findings were presented in Chapter 4.</w:t>
      </w:r>
    </w:p>
    <w:p w14:paraId="34D844F4" w14:textId="7389C19D" w:rsidR="00B01396" w:rsidRPr="00F97766" w:rsidRDefault="00292A36" w:rsidP="00CF01E1">
      <w:pPr>
        <w:pStyle w:val="Heading2"/>
        <w:numPr>
          <w:ilvl w:val="1"/>
          <w:numId w:val="153"/>
        </w:numPr>
        <w:spacing w:before="240" w:after="160"/>
        <w:jc w:val="left"/>
        <w:rPr>
          <w:b/>
          <w:bCs/>
          <w:color w:val="auto"/>
          <w:sz w:val="28"/>
          <w:szCs w:val="28"/>
        </w:rPr>
      </w:pPr>
      <w:bookmarkStart w:id="40" w:name="_Toc222989916"/>
      <w:bookmarkStart w:id="41" w:name="_Toc222997202"/>
      <w:r w:rsidRPr="00F97766">
        <w:rPr>
          <w:b/>
          <w:bCs/>
          <w:color w:val="auto"/>
          <w:sz w:val="28"/>
          <w:szCs w:val="28"/>
        </w:rPr>
        <w:t>Ethical Considerations</w:t>
      </w:r>
      <w:bookmarkEnd w:id="40"/>
      <w:bookmarkEnd w:id="41"/>
    </w:p>
    <w:p w14:paraId="5569F915" w14:textId="0D1094FE" w:rsidR="001C3AF6" w:rsidRPr="0016460E" w:rsidRDefault="006C281F" w:rsidP="00CF01E1">
      <w:pPr>
        <w:spacing w:before="240"/>
        <w:jc w:val="left"/>
        <w:rPr>
          <w:rFonts w:ascii="Arial" w:hAnsi="Arial" w:cs="Arial"/>
          <w:lang w:eastAsia="en-US"/>
        </w:rPr>
      </w:pPr>
      <w:r w:rsidRPr="0016460E">
        <w:rPr>
          <w:rFonts w:ascii="Arial" w:hAnsi="Arial" w:cs="Arial"/>
          <w:lang w:eastAsia="en-US"/>
        </w:rPr>
        <w:t xml:space="preserve">This </w:t>
      </w:r>
      <w:r w:rsidR="006420DF" w:rsidRPr="0016460E">
        <w:rPr>
          <w:rFonts w:ascii="Arial" w:hAnsi="Arial" w:cs="Arial"/>
          <w:lang w:eastAsia="en-US"/>
        </w:rPr>
        <w:t>research</w:t>
      </w:r>
      <w:r w:rsidRPr="0016460E">
        <w:rPr>
          <w:rFonts w:ascii="Arial" w:hAnsi="Arial" w:cs="Arial"/>
          <w:lang w:eastAsia="en-US"/>
        </w:rPr>
        <w:t xml:space="preserve"> relied solely on secondary sources, that is, no primary data collection of human subjects was carried out. Ethical responsibility was hence focused on academic honesty, proper citation and honest presentation of available research</w:t>
      </w:r>
      <w:r w:rsidR="00E007C8" w:rsidRPr="0016460E">
        <w:rPr>
          <w:rFonts w:ascii="Arial" w:hAnsi="Arial" w:cs="Arial"/>
          <w:lang w:eastAsia="en-US"/>
        </w:rPr>
        <w:t xml:space="preserve"> (Juliusson, 2025)</w:t>
      </w:r>
      <w:r w:rsidRPr="0016460E">
        <w:rPr>
          <w:rFonts w:ascii="Arial" w:hAnsi="Arial" w:cs="Arial"/>
          <w:lang w:eastAsia="en-US"/>
        </w:rPr>
        <w:t>. All the materials were cited accordingly according to the Harvard referencing style of the university, and it was ensured that no plagiarism or misunderstanding of results was done. Regarding the requirements of the university, literature was reported in an objective and unbiased manner; therefore, both positive and negative evidence concerning mobile mental health applications was equally reported.</w:t>
      </w:r>
    </w:p>
    <w:p w14:paraId="7F51675F" w14:textId="33F6BE82" w:rsidR="00292A36" w:rsidRPr="00F97766" w:rsidRDefault="00292A36" w:rsidP="00CF01E1">
      <w:pPr>
        <w:pStyle w:val="Heading2"/>
        <w:numPr>
          <w:ilvl w:val="1"/>
          <w:numId w:val="153"/>
        </w:numPr>
        <w:spacing w:before="240" w:after="160"/>
        <w:jc w:val="left"/>
        <w:rPr>
          <w:b/>
          <w:bCs/>
          <w:color w:val="auto"/>
          <w:sz w:val="28"/>
          <w:szCs w:val="28"/>
        </w:rPr>
      </w:pPr>
      <w:bookmarkStart w:id="42" w:name="_Toc222989917"/>
      <w:bookmarkStart w:id="43" w:name="_Toc222997203"/>
      <w:r w:rsidRPr="00F97766">
        <w:rPr>
          <w:b/>
          <w:bCs/>
          <w:color w:val="auto"/>
          <w:sz w:val="28"/>
          <w:szCs w:val="28"/>
        </w:rPr>
        <w:t>Chapter Conclusion</w:t>
      </w:r>
      <w:bookmarkEnd w:id="42"/>
      <w:bookmarkEnd w:id="43"/>
    </w:p>
    <w:p w14:paraId="55B4C446" w14:textId="1428BC41" w:rsidR="00C17A49" w:rsidRPr="0016460E" w:rsidRDefault="00E05747" w:rsidP="00CF01E1">
      <w:pPr>
        <w:spacing w:before="240"/>
        <w:jc w:val="left"/>
        <w:rPr>
          <w:rFonts w:ascii="Arial" w:hAnsi="Arial" w:cs="Arial"/>
          <w:lang w:eastAsia="en-US"/>
        </w:rPr>
      </w:pPr>
      <w:r w:rsidRPr="0016460E">
        <w:rPr>
          <w:rFonts w:ascii="Arial" w:hAnsi="Arial" w:cs="Arial"/>
          <w:lang w:eastAsia="en-US"/>
        </w:rPr>
        <w:t>In this chapter, the systematic approach to the search, assessment and analysis of peer-reviewed articles applicable to the research of mobile mental health applications have been described. The research process was undertaken to ensure credibility and academic rigour through a well formulated search strategy, inclusion and exclusion criteria, the use of CRAAP validation framework and systematic thematic coding. These methodological steps give the basis to the next chapter that will give the thematic findings of the analysed literature, organised in direct correlation with the research aim and objectives.</w:t>
      </w:r>
    </w:p>
    <w:p w14:paraId="7947E7C3" w14:textId="77777777" w:rsidR="00B20D67" w:rsidRPr="0016460E" w:rsidRDefault="00B20D67" w:rsidP="00CF01E1">
      <w:pPr>
        <w:spacing w:before="240"/>
        <w:jc w:val="left"/>
        <w:rPr>
          <w:rFonts w:ascii="Arial" w:hAnsi="Arial" w:cs="Arial"/>
        </w:rPr>
      </w:pPr>
    </w:p>
    <w:p w14:paraId="71AE9833" w14:textId="77777777" w:rsidR="00BD4F11" w:rsidRPr="0016460E" w:rsidRDefault="00BD4F11" w:rsidP="00CF01E1">
      <w:pPr>
        <w:spacing w:before="240"/>
        <w:jc w:val="left"/>
        <w:rPr>
          <w:rFonts w:ascii="Arial" w:hAnsi="Arial" w:cs="Arial"/>
        </w:rPr>
      </w:pPr>
    </w:p>
    <w:p w14:paraId="74C68137" w14:textId="77777777" w:rsidR="000F06C6" w:rsidRPr="0016460E" w:rsidRDefault="000F06C6" w:rsidP="00CF01E1">
      <w:pPr>
        <w:spacing w:before="240"/>
        <w:jc w:val="left"/>
        <w:rPr>
          <w:rFonts w:ascii="Arial" w:hAnsi="Arial" w:cs="Arial"/>
        </w:rPr>
      </w:pPr>
    </w:p>
    <w:p w14:paraId="3E27A013" w14:textId="410EA106" w:rsidR="001C3AF6" w:rsidRPr="00D8321E" w:rsidRDefault="002C12CD" w:rsidP="00CF01E1">
      <w:pPr>
        <w:pStyle w:val="Heading1"/>
        <w:numPr>
          <w:ilvl w:val="0"/>
          <w:numId w:val="153"/>
        </w:numPr>
        <w:spacing w:before="240" w:after="160" w:line="360" w:lineRule="auto"/>
        <w:rPr>
          <w:rFonts w:cs="Arial"/>
        </w:rPr>
      </w:pPr>
      <w:bookmarkStart w:id="44" w:name="_Toc222989918"/>
      <w:bookmarkStart w:id="45" w:name="_Toc222997204"/>
      <w:r w:rsidRPr="00D8321E">
        <w:rPr>
          <w:rFonts w:cs="Arial"/>
        </w:rPr>
        <w:lastRenderedPageBreak/>
        <w:t xml:space="preserve">Chapter </w:t>
      </w:r>
      <w:r w:rsidR="001C3AF6" w:rsidRPr="00D8321E">
        <w:rPr>
          <w:rFonts w:cs="Arial"/>
        </w:rPr>
        <w:t>4</w:t>
      </w:r>
      <w:r w:rsidR="00EF3884" w:rsidRPr="00D8321E">
        <w:rPr>
          <w:rFonts w:cs="Arial"/>
        </w:rPr>
        <w:t xml:space="preserve">: </w:t>
      </w:r>
      <w:r w:rsidR="001C3AF6" w:rsidRPr="00D8321E">
        <w:rPr>
          <w:rFonts w:cs="Arial"/>
        </w:rPr>
        <w:t>Findings and Discussion</w:t>
      </w:r>
      <w:bookmarkEnd w:id="44"/>
      <w:bookmarkEnd w:id="45"/>
    </w:p>
    <w:p w14:paraId="367F223F" w14:textId="3D99AF8A" w:rsidR="00636D9A" w:rsidRPr="00370783" w:rsidRDefault="001C3AF6" w:rsidP="00CF01E1">
      <w:pPr>
        <w:pStyle w:val="Heading2"/>
        <w:numPr>
          <w:ilvl w:val="1"/>
          <w:numId w:val="153"/>
        </w:numPr>
        <w:spacing w:before="240" w:after="160"/>
        <w:jc w:val="left"/>
        <w:rPr>
          <w:rFonts w:ascii="Arial" w:hAnsi="Arial" w:cs="Arial"/>
          <w:b/>
          <w:bCs/>
          <w:color w:val="auto"/>
          <w:sz w:val="28"/>
          <w:szCs w:val="28"/>
        </w:rPr>
      </w:pPr>
      <w:bookmarkStart w:id="46" w:name="_Toc222989919"/>
      <w:bookmarkStart w:id="47" w:name="_Toc222997205"/>
      <w:r w:rsidRPr="00370783">
        <w:rPr>
          <w:rFonts w:ascii="Arial" w:hAnsi="Arial" w:cs="Arial"/>
          <w:b/>
          <w:bCs/>
          <w:color w:val="auto"/>
          <w:sz w:val="28"/>
          <w:szCs w:val="28"/>
        </w:rPr>
        <w:t>Introduction</w:t>
      </w:r>
      <w:bookmarkEnd w:id="46"/>
      <w:bookmarkEnd w:id="47"/>
    </w:p>
    <w:p w14:paraId="7B6D738E" w14:textId="13271CDF" w:rsidR="002865F5" w:rsidRPr="0016460E" w:rsidRDefault="00090701" w:rsidP="00CF01E1">
      <w:pPr>
        <w:spacing w:before="240"/>
        <w:jc w:val="left"/>
        <w:rPr>
          <w:rFonts w:ascii="Arial" w:hAnsi="Arial" w:cs="Arial"/>
          <w:lang w:eastAsia="en-US"/>
        </w:rPr>
      </w:pPr>
      <w:r w:rsidRPr="0016460E">
        <w:rPr>
          <w:rFonts w:ascii="Arial" w:hAnsi="Arial" w:cs="Arial"/>
          <w:lang w:eastAsia="en-US"/>
        </w:rPr>
        <w:t>T</w:t>
      </w:r>
      <w:r w:rsidR="005700DA" w:rsidRPr="0016460E">
        <w:rPr>
          <w:rFonts w:ascii="Arial" w:hAnsi="Arial" w:cs="Arial"/>
          <w:lang w:eastAsia="en-US"/>
        </w:rPr>
        <w:t>his chapter</w:t>
      </w:r>
      <w:r w:rsidRPr="0016460E">
        <w:rPr>
          <w:rFonts w:ascii="Arial" w:hAnsi="Arial" w:cs="Arial"/>
          <w:lang w:eastAsia="en-US"/>
        </w:rPr>
        <w:t xml:space="preserve"> p</w:t>
      </w:r>
      <w:r w:rsidR="005700DA" w:rsidRPr="0016460E">
        <w:rPr>
          <w:rFonts w:ascii="Arial" w:hAnsi="Arial" w:cs="Arial"/>
          <w:lang w:eastAsia="en-US"/>
        </w:rPr>
        <w:t>rovide</w:t>
      </w:r>
      <w:r w:rsidRPr="0016460E">
        <w:rPr>
          <w:rFonts w:ascii="Arial" w:hAnsi="Arial" w:cs="Arial"/>
          <w:lang w:eastAsia="en-US"/>
        </w:rPr>
        <w:t>s</w:t>
      </w:r>
      <w:r w:rsidR="005700DA" w:rsidRPr="0016460E">
        <w:rPr>
          <w:rFonts w:ascii="Arial" w:hAnsi="Arial" w:cs="Arial"/>
          <w:lang w:eastAsia="en-US"/>
        </w:rPr>
        <w:t xml:space="preserve"> the results of the thematic analysis of peer-reviewed literature pertaining to mobile mental health applications. Three special themes were discovered with the help of a systematic secondary research clinical effectiveness and symptom reduction, user engagement and accessibility, and ethical and regulatory challenges in clinical mental health integration. The themes are critically </w:t>
      </w:r>
      <w:r w:rsidR="009477AD" w:rsidRPr="0016460E">
        <w:rPr>
          <w:rFonts w:ascii="Arial" w:hAnsi="Arial" w:cs="Arial"/>
          <w:lang w:eastAsia="en-US"/>
        </w:rPr>
        <w:t>analysed</w:t>
      </w:r>
      <w:r w:rsidR="005700DA" w:rsidRPr="0016460E">
        <w:rPr>
          <w:rFonts w:ascii="Arial" w:hAnsi="Arial" w:cs="Arial"/>
          <w:lang w:eastAsia="en-US"/>
        </w:rPr>
        <w:t xml:space="preserve"> in reference to the purpose of the research which is to </w:t>
      </w:r>
      <w:r w:rsidR="007235F3" w:rsidRPr="0016460E">
        <w:rPr>
          <w:rFonts w:ascii="Arial" w:hAnsi="Arial" w:cs="Arial"/>
          <w:lang w:eastAsia="en-US"/>
        </w:rPr>
        <w:t>analyse</w:t>
      </w:r>
      <w:r w:rsidR="005700DA" w:rsidRPr="0016460E">
        <w:rPr>
          <w:rFonts w:ascii="Arial" w:hAnsi="Arial" w:cs="Arial"/>
          <w:lang w:eastAsia="en-US"/>
        </w:rPr>
        <w:t xml:space="preserve"> the role of mobile applications in improving the mental health outcomes in terms of anxiety, depression, and stress. The discussion identifies the synthesis of empirical evidence, areas of concord and discord in the literature, and implications of the discussion to health and social care practice.</w:t>
      </w:r>
      <w:r w:rsidR="001C3AF6" w:rsidRPr="0016460E">
        <w:rPr>
          <w:rFonts w:ascii="Arial" w:hAnsi="Arial" w:cs="Arial"/>
        </w:rPr>
        <w:t xml:space="preserve"> </w:t>
      </w:r>
    </w:p>
    <w:p w14:paraId="2739E815" w14:textId="77ABC440" w:rsidR="00636D9A" w:rsidRPr="007235F3" w:rsidRDefault="001C3AF6" w:rsidP="00CF01E1">
      <w:pPr>
        <w:pStyle w:val="Heading2"/>
        <w:numPr>
          <w:ilvl w:val="1"/>
          <w:numId w:val="153"/>
        </w:numPr>
        <w:spacing w:before="240" w:after="160"/>
        <w:jc w:val="left"/>
        <w:rPr>
          <w:rFonts w:ascii="Arial" w:hAnsi="Arial" w:cs="Arial"/>
          <w:b/>
          <w:bCs/>
          <w:color w:val="auto"/>
          <w:sz w:val="28"/>
          <w:szCs w:val="28"/>
        </w:rPr>
      </w:pPr>
      <w:bookmarkStart w:id="48" w:name="_Toc222989920"/>
      <w:bookmarkStart w:id="49" w:name="_Toc222997206"/>
      <w:r w:rsidRPr="007235F3">
        <w:rPr>
          <w:rFonts w:ascii="Arial" w:hAnsi="Arial" w:cs="Arial"/>
          <w:b/>
          <w:bCs/>
          <w:color w:val="auto"/>
          <w:sz w:val="28"/>
          <w:szCs w:val="28"/>
        </w:rPr>
        <w:t>Thematic Analysis</w:t>
      </w:r>
      <w:bookmarkEnd w:id="48"/>
      <w:bookmarkEnd w:id="49"/>
      <w:r w:rsidRPr="007235F3">
        <w:rPr>
          <w:rFonts w:ascii="Arial" w:hAnsi="Arial" w:cs="Arial"/>
          <w:b/>
          <w:bCs/>
          <w:color w:val="auto"/>
          <w:sz w:val="28"/>
          <w:szCs w:val="28"/>
        </w:rPr>
        <w:t xml:space="preserve"> </w:t>
      </w:r>
    </w:p>
    <w:p w14:paraId="3B39D7B4" w14:textId="4AE51B62" w:rsidR="00636D9A" w:rsidRPr="0016460E" w:rsidRDefault="0075733E" w:rsidP="00CF01E1">
      <w:pPr>
        <w:spacing w:before="240"/>
        <w:jc w:val="left"/>
        <w:rPr>
          <w:rFonts w:ascii="Arial" w:hAnsi="Arial" w:cs="Arial"/>
          <w:lang w:eastAsia="en-US"/>
        </w:rPr>
      </w:pPr>
      <w:r w:rsidRPr="0016460E">
        <w:rPr>
          <w:rFonts w:ascii="Arial" w:hAnsi="Arial" w:cs="Arial"/>
          <w:lang w:eastAsia="en-US"/>
        </w:rPr>
        <w:t>Thematic analysis is a qualitative method applied to recognise, analyse and interpret data patterns in systematic and meaningful manner</w:t>
      </w:r>
      <w:r w:rsidR="005E724D" w:rsidRPr="0016460E">
        <w:rPr>
          <w:rFonts w:ascii="Arial" w:hAnsi="Arial" w:cs="Arial"/>
          <w:lang w:eastAsia="en-US"/>
        </w:rPr>
        <w:t xml:space="preserve"> (</w:t>
      </w:r>
      <w:proofErr w:type="spellStart"/>
      <w:r w:rsidR="005E724D" w:rsidRPr="0016460E">
        <w:rPr>
          <w:rFonts w:ascii="Arial" w:hAnsi="Arial" w:cs="Arial"/>
          <w:lang w:eastAsia="en-US"/>
        </w:rPr>
        <w:t>Dawadi</w:t>
      </w:r>
      <w:proofErr w:type="spellEnd"/>
      <w:r w:rsidR="005E724D" w:rsidRPr="0016460E">
        <w:rPr>
          <w:rFonts w:ascii="Arial" w:hAnsi="Arial" w:cs="Arial"/>
          <w:lang w:eastAsia="en-US"/>
        </w:rPr>
        <w:t>, 2020)</w:t>
      </w:r>
      <w:r w:rsidRPr="0016460E">
        <w:rPr>
          <w:rFonts w:ascii="Arial" w:hAnsi="Arial" w:cs="Arial"/>
          <w:lang w:eastAsia="en-US"/>
        </w:rPr>
        <w:t>. Under the concept of secondary research, it entails the review of the chosen literature, the extraction of the recurrent ideas, and a classification of them into the general themes that directly answer the research question</w:t>
      </w:r>
      <w:r w:rsidR="008E2370" w:rsidRPr="0016460E">
        <w:rPr>
          <w:rFonts w:ascii="Arial" w:hAnsi="Arial" w:cs="Arial"/>
          <w:lang w:eastAsia="en-US"/>
        </w:rPr>
        <w:t xml:space="preserve"> (Clements, 2022)</w:t>
      </w:r>
      <w:r w:rsidRPr="0016460E">
        <w:rPr>
          <w:rFonts w:ascii="Arial" w:hAnsi="Arial" w:cs="Arial"/>
          <w:lang w:eastAsia="en-US"/>
        </w:rPr>
        <w:t xml:space="preserve">. </w:t>
      </w:r>
      <w:r w:rsidR="00616A25" w:rsidRPr="0016460E">
        <w:rPr>
          <w:rFonts w:ascii="Arial" w:hAnsi="Arial" w:cs="Arial"/>
          <w:lang w:eastAsia="en-US"/>
        </w:rPr>
        <w:t>For this research</w:t>
      </w:r>
      <w:r w:rsidRPr="0016460E">
        <w:rPr>
          <w:rFonts w:ascii="Arial" w:hAnsi="Arial" w:cs="Arial"/>
          <w:lang w:eastAsia="en-US"/>
        </w:rPr>
        <w:t xml:space="preserve">, the peer-reviewed journal articles have been </w:t>
      </w:r>
      <w:r w:rsidR="009477AD" w:rsidRPr="0016460E">
        <w:rPr>
          <w:rFonts w:ascii="Arial" w:hAnsi="Arial" w:cs="Arial"/>
          <w:lang w:eastAsia="en-US"/>
        </w:rPr>
        <w:t>analysed</w:t>
      </w:r>
      <w:r w:rsidRPr="0016460E">
        <w:rPr>
          <w:rFonts w:ascii="Arial" w:hAnsi="Arial" w:cs="Arial"/>
          <w:lang w:eastAsia="en-US"/>
        </w:rPr>
        <w:t xml:space="preserve"> with in-depth research on the repeated concepts based on clinical outcomes, engagement patterns, accessibility issues, and ethical issues coded with the help of a developed structured results table. These preliminary codes were then classified as three central themes including Clinical Effectiveness and Symptom Reduction, User Engagement, Retention and Accessibility, and Ethical, Regulatory and Clinical Integration Challenges. These themes will give the critical framework in the analysis of this chapter and allow a critical discussion to focus on the contribution of mobile mental health applications to and limitation of current mental health practice.</w:t>
      </w:r>
    </w:p>
    <w:p w14:paraId="1E614ABD" w14:textId="35447DBC" w:rsidR="001C3AF6" w:rsidRPr="00AA3ABE" w:rsidRDefault="001C3AF6" w:rsidP="00CF01E1">
      <w:pPr>
        <w:pStyle w:val="Heading2"/>
        <w:numPr>
          <w:ilvl w:val="1"/>
          <w:numId w:val="153"/>
        </w:numPr>
        <w:spacing w:before="240" w:after="160"/>
        <w:jc w:val="left"/>
        <w:rPr>
          <w:rFonts w:ascii="Arial" w:hAnsi="Arial" w:cs="Arial"/>
          <w:b/>
          <w:bCs/>
          <w:color w:val="auto"/>
          <w:sz w:val="28"/>
          <w:szCs w:val="28"/>
        </w:rPr>
      </w:pPr>
      <w:bookmarkStart w:id="50" w:name="_Toc222989921"/>
      <w:bookmarkStart w:id="51" w:name="_Toc222997207"/>
      <w:r w:rsidRPr="00AA3ABE">
        <w:rPr>
          <w:rFonts w:ascii="Arial" w:hAnsi="Arial" w:cs="Arial"/>
          <w:b/>
          <w:bCs/>
          <w:color w:val="auto"/>
          <w:sz w:val="28"/>
          <w:szCs w:val="28"/>
        </w:rPr>
        <w:t>Theme 1</w:t>
      </w:r>
      <w:r w:rsidR="00ED678B" w:rsidRPr="00AA3ABE">
        <w:rPr>
          <w:rFonts w:ascii="Arial" w:hAnsi="Arial" w:cs="Arial"/>
          <w:b/>
          <w:bCs/>
          <w:color w:val="auto"/>
          <w:sz w:val="28"/>
          <w:szCs w:val="28"/>
        </w:rPr>
        <w:t>: Clinical Effectiveness and Symptom Reduction</w:t>
      </w:r>
      <w:bookmarkEnd w:id="50"/>
      <w:bookmarkEnd w:id="51"/>
    </w:p>
    <w:p w14:paraId="7D26CAA5" w14:textId="45A5F4F6" w:rsidR="00902DA5" w:rsidRPr="0016460E" w:rsidRDefault="00902DA5" w:rsidP="00CF01E1">
      <w:pPr>
        <w:spacing w:before="240"/>
        <w:jc w:val="left"/>
        <w:rPr>
          <w:rFonts w:ascii="Arial" w:hAnsi="Arial" w:cs="Arial"/>
          <w:lang w:eastAsia="en-US"/>
        </w:rPr>
      </w:pPr>
      <w:r w:rsidRPr="0016460E">
        <w:rPr>
          <w:rFonts w:ascii="Arial" w:hAnsi="Arial" w:cs="Arial"/>
          <w:lang w:eastAsia="en-US"/>
        </w:rPr>
        <w:t>In the framework of mobile mental health applications, the term clinical effectiveness is used to describe the change in psychological parameters, including a decrease in the number of symptoms of anxiety, depression, and stress after the use of the app, which are typically measured with the help of such scales as the GAD-7 and PHQ-9</w:t>
      </w:r>
      <w:r w:rsidR="00333B39" w:rsidRPr="0016460E">
        <w:rPr>
          <w:rFonts w:ascii="Arial" w:hAnsi="Arial" w:cs="Arial"/>
          <w:lang w:eastAsia="en-US"/>
        </w:rPr>
        <w:t xml:space="preserve"> (Oliveira et al., 2021)</w:t>
      </w:r>
      <w:r w:rsidRPr="0016460E">
        <w:rPr>
          <w:rFonts w:ascii="Arial" w:hAnsi="Arial" w:cs="Arial"/>
          <w:lang w:eastAsia="en-US"/>
        </w:rPr>
        <w:t xml:space="preserve">. Depressive and anxiety disorders are causing disability in large numbers around the world and recent estimates indicate that over 300 million individuals are affected by depression </w:t>
      </w:r>
      <w:r w:rsidRPr="0016460E">
        <w:rPr>
          <w:rFonts w:ascii="Arial" w:hAnsi="Arial" w:cs="Arial"/>
          <w:lang w:eastAsia="en-US"/>
        </w:rPr>
        <w:lastRenderedPageBreak/>
        <w:t xml:space="preserve">and a similar figure by anxiety disorders and that the two issues contribute a significant </w:t>
      </w:r>
      <w:r w:rsidR="00770135" w:rsidRPr="0016460E">
        <w:rPr>
          <w:rFonts w:ascii="Arial" w:hAnsi="Arial" w:cs="Arial"/>
          <w:lang w:eastAsia="en-US"/>
        </w:rPr>
        <w:t>number</w:t>
      </w:r>
      <w:r w:rsidRPr="0016460E">
        <w:rPr>
          <w:rFonts w:ascii="Arial" w:hAnsi="Arial" w:cs="Arial"/>
          <w:lang w:eastAsia="en-US"/>
        </w:rPr>
        <w:t xml:space="preserve"> of years with disability globally</w:t>
      </w:r>
      <w:r w:rsidR="00413B7C" w:rsidRPr="0016460E">
        <w:rPr>
          <w:rFonts w:ascii="Arial" w:hAnsi="Arial" w:cs="Arial"/>
          <w:lang w:eastAsia="en-US"/>
        </w:rPr>
        <w:t xml:space="preserve"> (Liu et al., 2024)</w:t>
      </w:r>
      <w:r w:rsidRPr="0016460E">
        <w:rPr>
          <w:rFonts w:ascii="Arial" w:hAnsi="Arial" w:cs="Arial"/>
          <w:lang w:eastAsia="en-US"/>
        </w:rPr>
        <w:t>. It is against this background that mobile mental health applications have been advocated as scalable and low-cost solutions that can expand access to psychological support especially in settings that have traditional services under a strain in terms of workforce capacity, cost, geography, and stigma.</w:t>
      </w:r>
    </w:p>
    <w:p w14:paraId="54391074" w14:textId="2CC9666E" w:rsidR="00902DA5" w:rsidRPr="0016460E" w:rsidRDefault="00902DA5" w:rsidP="00CF01E1">
      <w:pPr>
        <w:spacing w:before="240"/>
        <w:jc w:val="left"/>
        <w:rPr>
          <w:rFonts w:ascii="Arial" w:hAnsi="Arial" w:cs="Arial"/>
          <w:lang w:eastAsia="en-US"/>
        </w:rPr>
      </w:pPr>
      <w:r w:rsidRPr="0016460E">
        <w:rPr>
          <w:rFonts w:ascii="Arial" w:hAnsi="Arial" w:cs="Arial"/>
          <w:lang w:eastAsia="en-US"/>
        </w:rPr>
        <w:t>Digital mental health interventions are a development of previous advances in web-based cognitive behavioural therapy (CBT), of which structured, manualised treatment was provided on online platforms. CBT methods, including cognitive restructuring, behavioural activation, and psychoeducation, could be customized to be remote and self-delivered, which has led to the adoption of smartphones in delivering CBT</w:t>
      </w:r>
      <w:r w:rsidR="00BA6C2D" w:rsidRPr="0016460E">
        <w:rPr>
          <w:rFonts w:ascii="Arial" w:hAnsi="Arial" w:cs="Arial"/>
          <w:lang w:eastAsia="en-US"/>
        </w:rPr>
        <w:t xml:space="preserve"> (Bernstein et al., 2025)</w:t>
      </w:r>
      <w:r w:rsidRPr="0016460E">
        <w:rPr>
          <w:rFonts w:ascii="Arial" w:hAnsi="Arial" w:cs="Arial"/>
          <w:lang w:eastAsia="en-US"/>
        </w:rPr>
        <w:t>. CBT has continued to be the theoretical profundity of most clinical-grade mental health applications because its structured, time-restrained, and skills-based character can be digitised. Apps frequently encode the elements of CBT into interactive games, mood journals, and in-application notifications so that patients can use the techniques in practice, within their real-world contexts</w:t>
      </w:r>
      <w:r w:rsidR="00311C68" w:rsidRPr="0016460E">
        <w:rPr>
          <w:rFonts w:ascii="Arial" w:hAnsi="Arial" w:cs="Arial"/>
          <w:lang w:eastAsia="en-US"/>
        </w:rPr>
        <w:t xml:space="preserve"> (Denecke, Schmid and </w:t>
      </w:r>
      <w:proofErr w:type="spellStart"/>
      <w:r w:rsidR="00311C68" w:rsidRPr="0016460E">
        <w:rPr>
          <w:rFonts w:ascii="Arial" w:hAnsi="Arial" w:cs="Arial"/>
          <w:lang w:eastAsia="en-US"/>
        </w:rPr>
        <w:t>Nüssli</w:t>
      </w:r>
      <w:proofErr w:type="spellEnd"/>
      <w:r w:rsidR="00311C68" w:rsidRPr="0016460E">
        <w:rPr>
          <w:rFonts w:ascii="Arial" w:hAnsi="Arial" w:cs="Arial"/>
          <w:lang w:eastAsia="en-US"/>
        </w:rPr>
        <w:t>, 2021)</w:t>
      </w:r>
      <w:r w:rsidRPr="0016460E">
        <w:rPr>
          <w:rFonts w:ascii="Arial" w:hAnsi="Arial" w:cs="Arial"/>
          <w:lang w:eastAsia="en-US"/>
        </w:rPr>
        <w:t>.</w:t>
      </w:r>
    </w:p>
    <w:p w14:paraId="2C391D5D" w14:textId="23E1C712" w:rsidR="00902DA5" w:rsidRPr="0016460E" w:rsidRDefault="00902DA5" w:rsidP="00CF01E1">
      <w:pPr>
        <w:spacing w:before="240"/>
        <w:jc w:val="left"/>
        <w:rPr>
          <w:rFonts w:ascii="Arial" w:hAnsi="Arial" w:cs="Arial"/>
          <w:lang w:eastAsia="en-US"/>
        </w:rPr>
      </w:pPr>
      <w:r w:rsidRPr="0016460E">
        <w:rPr>
          <w:rFonts w:ascii="Arial" w:hAnsi="Arial" w:cs="Arial"/>
          <w:lang w:eastAsia="en-US"/>
        </w:rPr>
        <w:t>The best evidence of short-term clinical efficacy is the randomised controlled trials. Indicatively, a randomised clinical trial of a mobile CBT-based intervention of young adults with anxiety disorders by Bress et al. (2024) demonstrated a reduction in the scores of anxiety symptoms relative to a control group of eight weeks, with moderate effect sizes</w:t>
      </w:r>
      <w:r w:rsidR="0049088A" w:rsidRPr="0016460E">
        <w:rPr>
          <w:rFonts w:ascii="Arial" w:hAnsi="Arial" w:cs="Arial"/>
          <w:lang w:eastAsia="en-US"/>
        </w:rPr>
        <w:t xml:space="preserve"> (Bress et al., 2024)</w:t>
      </w:r>
      <w:r w:rsidRPr="0016460E">
        <w:rPr>
          <w:rFonts w:ascii="Arial" w:hAnsi="Arial" w:cs="Arial"/>
          <w:lang w:eastAsia="en-US"/>
        </w:rPr>
        <w:t>. The researchers concluded that a significant proportion of the participants made a clinically significant improvement during the trial, which supports the opinion that app-based interventions can be used to yield symptom improvements that were equal to some of the lower-intensity face-to-face interventions in the short term. Nevertheless, the follow-up was not long-term and the sample was restricted to young adults, which makes it questionable whether the results can be generalised to more clinically complex or older populations.</w:t>
      </w:r>
    </w:p>
    <w:p w14:paraId="26284FDB" w14:textId="56212AB4" w:rsidR="00902DA5" w:rsidRPr="0016460E" w:rsidRDefault="00902DA5" w:rsidP="00CF01E1">
      <w:pPr>
        <w:spacing w:before="240"/>
        <w:jc w:val="left"/>
        <w:rPr>
          <w:rFonts w:ascii="Arial" w:hAnsi="Arial" w:cs="Arial"/>
          <w:lang w:eastAsia="en-US"/>
        </w:rPr>
      </w:pPr>
      <w:r w:rsidRPr="0016460E">
        <w:rPr>
          <w:rFonts w:ascii="Arial" w:hAnsi="Arial" w:cs="Arial"/>
          <w:lang w:eastAsia="en-US"/>
        </w:rPr>
        <w:t xml:space="preserve">The leading actual case of successfully used digital mental health care is the </w:t>
      </w:r>
      <w:proofErr w:type="spellStart"/>
      <w:r w:rsidRPr="0016460E">
        <w:rPr>
          <w:rFonts w:ascii="Arial" w:hAnsi="Arial" w:cs="Arial"/>
          <w:lang w:eastAsia="en-US"/>
        </w:rPr>
        <w:t>MindSpot</w:t>
      </w:r>
      <w:proofErr w:type="spellEnd"/>
      <w:r w:rsidRPr="0016460E">
        <w:rPr>
          <w:rFonts w:ascii="Arial" w:hAnsi="Arial" w:cs="Arial"/>
          <w:lang w:eastAsia="en-US"/>
        </w:rPr>
        <w:t xml:space="preserve"> Clinic in Australia, a nationwide online service that is financially supported by the Australian government</w:t>
      </w:r>
      <w:r w:rsidR="00132610" w:rsidRPr="0016460E">
        <w:rPr>
          <w:rFonts w:ascii="Arial" w:hAnsi="Arial" w:cs="Arial"/>
          <w:lang w:eastAsia="en-US"/>
        </w:rPr>
        <w:t xml:space="preserve"> (Titov et al., 2020)</w:t>
      </w:r>
      <w:r w:rsidRPr="0016460E">
        <w:rPr>
          <w:rFonts w:ascii="Arial" w:hAnsi="Arial" w:cs="Arial"/>
          <w:lang w:eastAsia="en-US"/>
        </w:rPr>
        <w:t xml:space="preserve">. During the initial seven years of its operation, </w:t>
      </w:r>
      <w:proofErr w:type="spellStart"/>
      <w:r w:rsidRPr="0016460E">
        <w:rPr>
          <w:rFonts w:ascii="Arial" w:hAnsi="Arial" w:cs="Arial"/>
          <w:lang w:eastAsia="en-US"/>
        </w:rPr>
        <w:t>MindSpot</w:t>
      </w:r>
      <w:proofErr w:type="spellEnd"/>
      <w:r w:rsidRPr="0016460E">
        <w:rPr>
          <w:rFonts w:ascii="Arial" w:hAnsi="Arial" w:cs="Arial"/>
          <w:lang w:eastAsia="en-US"/>
        </w:rPr>
        <w:t xml:space="preserve"> had over 121,000 screening assessments, approximately 96,000 completed, and provided online CBT courses under the guidance of therapists to over 21,000 anxious and depressed adults</w:t>
      </w:r>
      <w:r w:rsidR="00CE61F0" w:rsidRPr="0016460E">
        <w:rPr>
          <w:rFonts w:ascii="Arial" w:hAnsi="Arial" w:cs="Arial"/>
          <w:lang w:eastAsia="en-US"/>
        </w:rPr>
        <w:t xml:space="preserve"> (</w:t>
      </w:r>
      <w:proofErr w:type="spellStart"/>
      <w:r w:rsidR="00CE61F0" w:rsidRPr="0016460E">
        <w:rPr>
          <w:rFonts w:ascii="Arial" w:hAnsi="Arial" w:cs="Arial"/>
          <w:lang w:eastAsia="en-US"/>
        </w:rPr>
        <w:t>Nielssen</w:t>
      </w:r>
      <w:proofErr w:type="spellEnd"/>
      <w:r w:rsidR="00CE61F0" w:rsidRPr="0016460E">
        <w:rPr>
          <w:rFonts w:ascii="Arial" w:hAnsi="Arial" w:cs="Arial"/>
          <w:lang w:eastAsia="en-US"/>
        </w:rPr>
        <w:t xml:space="preserve"> et al., 2023)</w:t>
      </w:r>
      <w:r w:rsidRPr="0016460E">
        <w:rPr>
          <w:rFonts w:ascii="Arial" w:hAnsi="Arial" w:cs="Arial"/>
          <w:lang w:eastAsia="en-US"/>
        </w:rPr>
        <w:t>. Two-thirds initiated a course of treatment, completed at least four of five lessons, and the effects of treatment on the symptoms of depression and anxiety (PHQ-9 and GAD-7) were large</w:t>
      </w:r>
      <w:r w:rsidR="00CE0E14" w:rsidRPr="0016460E">
        <w:rPr>
          <w:rFonts w:ascii="Arial" w:hAnsi="Arial" w:cs="Arial"/>
          <w:lang w:eastAsia="en-US"/>
        </w:rPr>
        <w:t xml:space="preserve"> as </w:t>
      </w:r>
      <w:r w:rsidRPr="0016460E">
        <w:rPr>
          <w:rFonts w:ascii="Arial" w:hAnsi="Arial" w:cs="Arial"/>
          <w:lang w:eastAsia="en-US"/>
        </w:rPr>
        <w:t>the effect size, both between the assessment and post-treatment and at the three-month follow-up, went beyond 1.3</w:t>
      </w:r>
      <w:r w:rsidR="00A9650D" w:rsidRPr="0016460E">
        <w:rPr>
          <w:rFonts w:ascii="Arial" w:hAnsi="Arial" w:cs="Arial"/>
          <w:lang w:eastAsia="en-US"/>
        </w:rPr>
        <w:t xml:space="preserve"> </w:t>
      </w:r>
      <w:r w:rsidR="00E72AE2" w:rsidRPr="0016460E">
        <w:rPr>
          <w:rFonts w:ascii="Arial" w:hAnsi="Arial" w:cs="Arial"/>
          <w:lang w:eastAsia="en-US"/>
        </w:rPr>
        <w:t>(Forand et al., 2025)</w:t>
      </w:r>
      <w:r w:rsidRPr="0016460E">
        <w:rPr>
          <w:rFonts w:ascii="Arial" w:hAnsi="Arial" w:cs="Arial"/>
          <w:lang w:eastAsia="en-US"/>
        </w:rPr>
        <w:t xml:space="preserve">. There </w:t>
      </w:r>
      <w:r w:rsidRPr="0016460E">
        <w:rPr>
          <w:rFonts w:ascii="Arial" w:hAnsi="Arial" w:cs="Arial"/>
          <w:lang w:eastAsia="en-US"/>
        </w:rPr>
        <w:lastRenderedPageBreak/>
        <w:t xml:space="preserve">was a very low percentage of reliable deterioration but satisfaction levels were incredibly high whereby </w:t>
      </w:r>
      <w:r w:rsidR="00AC493A" w:rsidRPr="0016460E">
        <w:rPr>
          <w:rFonts w:ascii="Arial" w:hAnsi="Arial" w:cs="Arial"/>
          <w:lang w:eastAsia="en-US"/>
        </w:rPr>
        <w:t xml:space="preserve">most </w:t>
      </w:r>
      <w:r w:rsidRPr="0016460E">
        <w:rPr>
          <w:rFonts w:ascii="Arial" w:hAnsi="Arial" w:cs="Arial"/>
          <w:lang w:eastAsia="en-US"/>
        </w:rPr>
        <w:t>of the respondents declared that they would recommend the course and it was worthwhile. These results indicate that app-based and online CBT may have significant sympathetic alleviation and high acceptability when incorporated into a formalized, therapist-mediated national service.</w:t>
      </w:r>
    </w:p>
    <w:p w14:paraId="738C3A94" w14:textId="4FAE74C8" w:rsidR="00902DA5" w:rsidRPr="0016460E" w:rsidRDefault="00902DA5" w:rsidP="00CF01E1">
      <w:pPr>
        <w:spacing w:before="240"/>
        <w:jc w:val="left"/>
        <w:rPr>
          <w:rFonts w:ascii="Arial" w:hAnsi="Arial" w:cs="Arial"/>
          <w:lang w:eastAsia="en-US"/>
        </w:rPr>
      </w:pPr>
      <w:r w:rsidRPr="0016460E">
        <w:rPr>
          <w:rFonts w:ascii="Arial" w:hAnsi="Arial" w:cs="Arial"/>
          <w:lang w:eastAsia="en-US"/>
        </w:rPr>
        <w:t xml:space="preserve">At a more general level, </w:t>
      </w:r>
      <w:proofErr w:type="spellStart"/>
      <w:r w:rsidRPr="0016460E">
        <w:rPr>
          <w:rFonts w:ascii="Arial" w:hAnsi="Arial" w:cs="Arial"/>
          <w:lang w:eastAsia="en-US"/>
        </w:rPr>
        <w:t>Shahsavar</w:t>
      </w:r>
      <w:proofErr w:type="spellEnd"/>
      <w:r w:rsidRPr="0016460E">
        <w:rPr>
          <w:rFonts w:ascii="Arial" w:hAnsi="Arial" w:cs="Arial"/>
          <w:lang w:eastAsia="en-US"/>
        </w:rPr>
        <w:t xml:space="preserve"> and Choudhury (2025) have conducted a systematic review of the evidence-based mental health apps, where they have summarised the results of numerous trials and observational studies</w:t>
      </w:r>
      <w:r w:rsidR="009F7D05" w:rsidRPr="0016460E">
        <w:rPr>
          <w:rFonts w:ascii="Arial" w:hAnsi="Arial" w:cs="Arial"/>
          <w:lang w:eastAsia="en-US"/>
        </w:rPr>
        <w:t xml:space="preserve"> (</w:t>
      </w:r>
      <w:proofErr w:type="spellStart"/>
      <w:r w:rsidR="009F7D05" w:rsidRPr="0016460E">
        <w:rPr>
          <w:rFonts w:ascii="Arial" w:hAnsi="Arial" w:cs="Arial"/>
          <w:lang w:eastAsia="en-US"/>
        </w:rPr>
        <w:t>Shahsavar</w:t>
      </w:r>
      <w:proofErr w:type="spellEnd"/>
      <w:r w:rsidR="009F7D05" w:rsidRPr="0016460E">
        <w:rPr>
          <w:rFonts w:ascii="Arial" w:hAnsi="Arial" w:cs="Arial"/>
          <w:lang w:eastAsia="en-US"/>
        </w:rPr>
        <w:t xml:space="preserve"> and Choudhury, 2025)</w:t>
      </w:r>
      <w:r w:rsidRPr="0016460E">
        <w:rPr>
          <w:rFonts w:ascii="Arial" w:hAnsi="Arial" w:cs="Arial"/>
          <w:lang w:eastAsia="en-US"/>
        </w:rPr>
        <w:t xml:space="preserve">. They had small- moderate decreases in depression and anxiety symptoms related to the use of the app with pooled effect sizes that were statistically significant but had significant differences between studies. The heterogeneity in intervention design, duration, adherence levels and populations </w:t>
      </w:r>
      <w:r w:rsidR="00446DD3" w:rsidRPr="0016460E">
        <w:rPr>
          <w:rFonts w:ascii="Arial" w:hAnsi="Arial" w:cs="Arial"/>
          <w:lang w:eastAsia="en-US"/>
        </w:rPr>
        <w:t>was</w:t>
      </w:r>
      <w:r w:rsidRPr="0016460E">
        <w:rPr>
          <w:rFonts w:ascii="Arial" w:hAnsi="Arial" w:cs="Arial"/>
          <w:lang w:eastAsia="en-US"/>
        </w:rPr>
        <w:t xml:space="preserve"> related to differences in intervention design. Significantly, the authors have emphasized the use of self-reported </w:t>
      </w:r>
      <w:r w:rsidR="00AA3ABE" w:rsidRPr="0016460E">
        <w:rPr>
          <w:rFonts w:ascii="Arial" w:hAnsi="Arial" w:cs="Arial"/>
          <w:lang w:eastAsia="en-US"/>
        </w:rPr>
        <w:t>metrics</w:t>
      </w:r>
      <w:r w:rsidRPr="0016460E">
        <w:rPr>
          <w:rFonts w:ascii="Arial" w:hAnsi="Arial" w:cs="Arial"/>
          <w:lang w:eastAsia="en-US"/>
        </w:rPr>
        <w:t xml:space="preserve"> and rather brief follow-up time, thus, restricting the generalisation of lasting remission or protracted relapse inhibition. This review thus points to cautious optimism: apps </w:t>
      </w:r>
      <w:proofErr w:type="gramStart"/>
      <w:r w:rsidRPr="0016460E">
        <w:rPr>
          <w:rFonts w:ascii="Arial" w:hAnsi="Arial" w:cs="Arial"/>
          <w:lang w:eastAsia="en-US"/>
        </w:rPr>
        <w:t>are able to</w:t>
      </w:r>
      <w:proofErr w:type="gramEnd"/>
      <w:r w:rsidRPr="0016460E">
        <w:rPr>
          <w:rFonts w:ascii="Arial" w:hAnsi="Arial" w:cs="Arial"/>
          <w:lang w:eastAsia="en-US"/>
        </w:rPr>
        <w:t xml:space="preserve"> alleviate symptoms, although their effects are less sustained.</w:t>
      </w:r>
    </w:p>
    <w:p w14:paraId="65B03E8B" w14:textId="215A0354" w:rsidR="00902DA5" w:rsidRPr="0016460E" w:rsidRDefault="00902DA5" w:rsidP="00CF01E1">
      <w:pPr>
        <w:spacing w:before="240"/>
        <w:jc w:val="left"/>
        <w:rPr>
          <w:rFonts w:ascii="Arial" w:hAnsi="Arial" w:cs="Arial"/>
          <w:lang w:eastAsia="en-US"/>
        </w:rPr>
      </w:pPr>
      <w:r w:rsidRPr="0016460E">
        <w:rPr>
          <w:rFonts w:ascii="Arial" w:hAnsi="Arial" w:cs="Arial"/>
          <w:lang w:eastAsia="en-US"/>
        </w:rPr>
        <w:t xml:space="preserve">To address the relevance of clinical translation, </w:t>
      </w:r>
      <w:proofErr w:type="spellStart"/>
      <w:r w:rsidRPr="0016460E">
        <w:rPr>
          <w:rFonts w:ascii="Arial" w:hAnsi="Arial" w:cs="Arial"/>
          <w:lang w:eastAsia="en-US"/>
        </w:rPr>
        <w:t>Almuqrin</w:t>
      </w:r>
      <w:proofErr w:type="spellEnd"/>
      <w:r w:rsidRPr="0016460E">
        <w:rPr>
          <w:rFonts w:ascii="Arial" w:hAnsi="Arial" w:cs="Arial"/>
          <w:lang w:eastAsia="en-US"/>
        </w:rPr>
        <w:t xml:space="preserve"> et al. (2025) conducted a review of the smartphone application to mental health and offered five suggestions on how to implement it in practice, such as evidence-based validation, regulatory control, and joint design with stakeholders</w:t>
      </w:r>
      <w:r w:rsidR="00ED7ADE" w:rsidRPr="0016460E">
        <w:rPr>
          <w:rFonts w:ascii="Arial" w:hAnsi="Arial" w:cs="Arial"/>
          <w:lang w:eastAsia="en-US"/>
        </w:rPr>
        <w:t xml:space="preserve"> (</w:t>
      </w:r>
      <w:proofErr w:type="spellStart"/>
      <w:r w:rsidR="00ED7ADE" w:rsidRPr="0016460E">
        <w:rPr>
          <w:rFonts w:ascii="Arial" w:hAnsi="Arial" w:cs="Arial"/>
          <w:lang w:eastAsia="en-US"/>
        </w:rPr>
        <w:t>Almuqrin</w:t>
      </w:r>
      <w:proofErr w:type="spellEnd"/>
      <w:r w:rsidR="00ED7ADE" w:rsidRPr="0016460E">
        <w:rPr>
          <w:rFonts w:ascii="Arial" w:hAnsi="Arial" w:cs="Arial"/>
          <w:lang w:eastAsia="en-US"/>
        </w:rPr>
        <w:t xml:space="preserve"> et al., 2025)</w:t>
      </w:r>
      <w:r w:rsidRPr="0016460E">
        <w:rPr>
          <w:rFonts w:ascii="Arial" w:hAnsi="Arial" w:cs="Arial"/>
          <w:lang w:eastAsia="en-US"/>
        </w:rPr>
        <w:t xml:space="preserve">. They observed that although an increasing proportion of apps have undergone controlled trial studies, most of the </w:t>
      </w:r>
      <w:r w:rsidR="009477AD" w:rsidRPr="0016460E">
        <w:rPr>
          <w:rFonts w:ascii="Arial" w:hAnsi="Arial" w:cs="Arial"/>
          <w:lang w:eastAsia="en-US"/>
        </w:rPr>
        <w:t>commercially available</w:t>
      </w:r>
      <w:r w:rsidRPr="0016460E">
        <w:rPr>
          <w:rFonts w:ascii="Arial" w:hAnsi="Arial" w:cs="Arial"/>
          <w:lang w:eastAsia="en-US"/>
        </w:rPr>
        <w:t xml:space="preserve"> apps available in the market to support mental health lack a well-understood base of clinical trials. This mismatch between the small evidence-based subset and the broad app marketplace demonstrates an essential mismatch between clinical research and practice. Users can install applications with little or no empirical evidence, making it difficult to say about the overall effectiveness of such a strategy at the level of a population</w:t>
      </w:r>
      <w:r w:rsidR="003D566F" w:rsidRPr="0016460E">
        <w:rPr>
          <w:rFonts w:ascii="Arial" w:hAnsi="Arial" w:cs="Arial"/>
          <w:lang w:eastAsia="en-US"/>
        </w:rPr>
        <w:t xml:space="preserve"> (Al-</w:t>
      </w:r>
      <w:proofErr w:type="spellStart"/>
      <w:r w:rsidR="003D566F" w:rsidRPr="0016460E">
        <w:rPr>
          <w:rFonts w:ascii="Arial" w:hAnsi="Arial" w:cs="Arial"/>
          <w:lang w:eastAsia="en-US"/>
        </w:rPr>
        <w:t>Shamaileh</w:t>
      </w:r>
      <w:proofErr w:type="spellEnd"/>
      <w:r w:rsidR="003D566F" w:rsidRPr="0016460E">
        <w:rPr>
          <w:rFonts w:ascii="Arial" w:hAnsi="Arial" w:cs="Arial"/>
          <w:lang w:eastAsia="en-US"/>
        </w:rPr>
        <w:t xml:space="preserve"> and Sutcliffe, 2023)</w:t>
      </w:r>
      <w:r w:rsidRPr="0016460E">
        <w:rPr>
          <w:rFonts w:ascii="Arial" w:hAnsi="Arial" w:cs="Arial"/>
          <w:lang w:eastAsia="en-US"/>
        </w:rPr>
        <w:t>.</w:t>
      </w:r>
    </w:p>
    <w:p w14:paraId="355C4139" w14:textId="62452D56" w:rsidR="00902DA5" w:rsidRPr="0016460E" w:rsidRDefault="00902DA5" w:rsidP="00CF01E1">
      <w:pPr>
        <w:spacing w:before="240"/>
        <w:jc w:val="left"/>
        <w:rPr>
          <w:rFonts w:ascii="Arial" w:hAnsi="Arial" w:cs="Arial"/>
          <w:lang w:eastAsia="en-US"/>
        </w:rPr>
      </w:pPr>
      <w:r w:rsidRPr="0016460E">
        <w:rPr>
          <w:rFonts w:ascii="Arial" w:hAnsi="Arial" w:cs="Arial"/>
          <w:lang w:eastAsia="en-US"/>
        </w:rPr>
        <w:t>The patterns of real-world adoption also make it difficult to interpret the effectiveness. At the height of the COVID-19 pandemic, the number of mental health and wellness applications used in most countries increased significantly due to the distressing mental state and the limited availability of physical services</w:t>
      </w:r>
      <w:r w:rsidR="001E0DFA" w:rsidRPr="0016460E">
        <w:rPr>
          <w:rFonts w:ascii="Arial" w:hAnsi="Arial" w:cs="Arial"/>
          <w:lang w:eastAsia="en-US"/>
        </w:rPr>
        <w:t xml:space="preserve"> (Xiong et al., 2020)</w:t>
      </w:r>
      <w:r w:rsidRPr="0016460E">
        <w:rPr>
          <w:rFonts w:ascii="Arial" w:hAnsi="Arial" w:cs="Arial"/>
          <w:lang w:eastAsia="en-US"/>
        </w:rPr>
        <w:t>. Internal evaluations of some employers and health systems that included app-based tools in wellbeing programmes reported better self-reported stress management and productivity. Nevertheless, the engagement tends to decrease during the first few weeks of use, and a large percentage of users drop out of offering complete programmes</w:t>
      </w:r>
      <w:r w:rsidR="00D65DD8" w:rsidRPr="0016460E">
        <w:rPr>
          <w:rFonts w:ascii="Arial" w:hAnsi="Arial" w:cs="Arial"/>
          <w:lang w:eastAsia="en-US"/>
        </w:rPr>
        <w:t xml:space="preserve"> (Boucher and </w:t>
      </w:r>
      <w:proofErr w:type="spellStart"/>
      <w:r w:rsidR="00D65DD8" w:rsidRPr="0016460E">
        <w:rPr>
          <w:rFonts w:ascii="Arial" w:hAnsi="Arial" w:cs="Arial"/>
          <w:lang w:eastAsia="en-US"/>
        </w:rPr>
        <w:t>Raiker</w:t>
      </w:r>
      <w:proofErr w:type="spellEnd"/>
      <w:r w:rsidR="00D65DD8" w:rsidRPr="0016460E">
        <w:rPr>
          <w:rFonts w:ascii="Arial" w:hAnsi="Arial" w:cs="Arial"/>
          <w:lang w:eastAsia="en-US"/>
        </w:rPr>
        <w:t>, 2024)</w:t>
      </w:r>
      <w:r w:rsidRPr="0016460E">
        <w:rPr>
          <w:rFonts w:ascii="Arial" w:hAnsi="Arial" w:cs="Arial"/>
          <w:lang w:eastAsia="en-US"/>
        </w:rPr>
        <w:t xml:space="preserve">. This trend </w:t>
      </w:r>
      <w:r w:rsidRPr="0016460E">
        <w:rPr>
          <w:rFonts w:ascii="Arial" w:hAnsi="Arial" w:cs="Arial"/>
          <w:lang w:eastAsia="en-US"/>
        </w:rPr>
        <w:lastRenderedPageBreak/>
        <w:t>indicates that symptom management can be attained in busy users, but the general effectiveness in real world is limited due to drop-out and non-adherence.</w:t>
      </w:r>
    </w:p>
    <w:p w14:paraId="2F3F02AC" w14:textId="437FCE9D" w:rsidR="00902DA5" w:rsidRPr="0016460E" w:rsidRDefault="00902DA5" w:rsidP="00CF01E1">
      <w:pPr>
        <w:spacing w:before="240"/>
        <w:jc w:val="left"/>
        <w:rPr>
          <w:rFonts w:ascii="Arial" w:hAnsi="Arial" w:cs="Arial"/>
          <w:lang w:eastAsia="en-US"/>
        </w:rPr>
      </w:pPr>
      <w:r w:rsidRPr="0016460E">
        <w:rPr>
          <w:rFonts w:ascii="Arial" w:hAnsi="Arial" w:cs="Arial"/>
          <w:lang w:eastAsia="en-US"/>
        </w:rPr>
        <w:t>Theoretically, the models of CBT-based present a solid reason as to why mental health apps can decrease mental health symptoms</w:t>
      </w:r>
      <w:r w:rsidR="00A12892" w:rsidRPr="0016460E">
        <w:rPr>
          <w:rFonts w:ascii="Arial" w:hAnsi="Arial" w:cs="Arial"/>
          <w:lang w:eastAsia="en-US"/>
        </w:rPr>
        <w:t xml:space="preserve"> as</w:t>
      </w:r>
      <w:r w:rsidRPr="0016460E">
        <w:rPr>
          <w:rFonts w:ascii="Arial" w:hAnsi="Arial" w:cs="Arial"/>
          <w:lang w:eastAsia="en-US"/>
        </w:rPr>
        <w:t xml:space="preserve"> they provide structured methods that are proven to work in conventional therapy</w:t>
      </w:r>
      <w:r w:rsidR="00141AD9" w:rsidRPr="0016460E">
        <w:rPr>
          <w:rFonts w:ascii="Arial" w:hAnsi="Arial" w:cs="Arial"/>
          <w:lang w:eastAsia="en-US"/>
        </w:rPr>
        <w:t xml:space="preserve"> (Marciniak et al., 2020)</w:t>
      </w:r>
      <w:r w:rsidRPr="0016460E">
        <w:rPr>
          <w:rFonts w:ascii="Arial" w:hAnsi="Arial" w:cs="Arial"/>
          <w:lang w:eastAsia="en-US"/>
        </w:rPr>
        <w:t xml:space="preserve">. Nonetheless, e-delivery has the potential to change </w:t>
      </w:r>
      <w:proofErr w:type="spellStart"/>
      <w:r w:rsidRPr="0016460E">
        <w:rPr>
          <w:rFonts w:ascii="Arial" w:hAnsi="Arial" w:cs="Arial"/>
          <w:lang w:eastAsia="en-US"/>
        </w:rPr>
        <w:t>change</w:t>
      </w:r>
      <w:proofErr w:type="spellEnd"/>
      <w:r w:rsidRPr="0016460E">
        <w:rPr>
          <w:rFonts w:ascii="Arial" w:hAnsi="Arial" w:cs="Arial"/>
          <w:lang w:eastAsia="en-US"/>
        </w:rPr>
        <w:t xml:space="preserve"> mechanisms</w:t>
      </w:r>
      <w:r w:rsidR="005036C0" w:rsidRPr="0016460E">
        <w:rPr>
          <w:rFonts w:ascii="Arial" w:hAnsi="Arial" w:cs="Arial"/>
          <w:lang w:eastAsia="en-US"/>
        </w:rPr>
        <w:t xml:space="preserve">, </w:t>
      </w:r>
      <w:r w:rsidRPr="0016460E">
        <w:rPr>
          <w:rFonts w:ascii="Arial" w:hAnsi="Arial" w:cs="Arial"/>
          <w:lang w:eastAsia="en-US"/>
        </w:rPr>
        <w:t>limit</w:t>
      </w:r>
      <w:r w:rsidR="005036C0" w:rsidRPr="0016460E">
        <w:rPr>
          <w:rFonts w:ascii="Arial" w:hAnsi="Arial" w:cs="Arial"/>
          <w:lang w:eastAsia="en-US"/>
        </w:rPr>
        <w:t>ing</w:t>
      </w:r>
      <w:r w:rsidRPr="0016460E">
        <w:rPr>
          <w:rFonts w:ascii="Arial" w:hAnsi="Arial" w:cs="Arial"/>
          <w:lang w:eastAsia="en-US"/>
        </w:rPr>
        <w:t xml:space="preserve"> relational support, individual customization, and immediate problem-solving due to the lack of a therapist. According to some studies, guided or blended (using a combination of human support with the use of an app) models may be more effective than completely self-guided ones, which suggests that human factors still play an important role in maximising the effectiveness</w:t>
      </w:r>
      <w:r w:rsidR="00937851" w:rsidRPr="0016460E">
        <w:rPr>
          <w:rFonts w:ascii="Arial" w:hAnsi="Arial" w:cs="Arial"/>
          <w:lang w:eastAsia="en-US"/>
        </w:rPr>
        <w:t xml:space="preserve"> (Bernstein et al., 2022)</w:t>
      </w:r>
      <w:r w:rsidRPr="0016460E">
        <w:rPr>
          <w:rFonts w:ascii="Arial" w:hAnsi="Arial" w:cs="Arial"/>
          <w:lang w:eastAsia="en-US"/>
        </w:rPr>
        <w:t>.</w:t>
      </w:r>
    </w:p>
    <w:p w14:paraId="4B93F5CB" w14:textId="43712514" w:rsidR="007063BA" w:rsidRPr="0016460E" w:rsidRDefault="00902DA5" w:rsidP="00CF01E1">
      <w:pPr>
        <w:spacing w:before="240"/>
        <w:jc w:val="left"/>
        <w:rPr>
          <w:rFonts w:ascii="Arial" w:hAnsi="Arial" w:cs="Arial"/>
          <w:lang w:eastAsia="en-US"/>
        </w:rPr>
      </w:pPr>
      <w:r w:rsidRPr="0016460E">
        <w:rPr>
          <w:rFonts w:ascii="Arial" w:hAnsi="Arial" w:cs="Arial"/>
          <w:lang w:eastAsia="en-US"/>
        </w:rPr>
        <w:t>These have two implications on the research question. To begin with, the evidence shows that mobile mental health applications have the potential to provide clinically significant symptom alleviation of anxiety and depression, at least in the short term and with motivated users. Second, the intensity and quality of this impact are moderated by the study design, population, level of engagement, and the presence of the clinical validation of the app. In the case of health and social care systems, this implies that applications can be best implemented either as a component of stepped-care models or supplements to the existing services, but not as a direct replacement of traditional therapy. The theme of clinical effectiveness cannot be considered in full isolation thus, and is directly related to the next theme of user engagement and accessibility since even the most effective interventions will not have much impact in real life unless users continue to use them, and to the theme of ethical and regulatory issues, as there is a currently existing gap between research-grade and the commercial apps.</w:t>
      </w:r>
    </w:p>
    <w:p w14:paraId="620F671D" w14:textId="16098241" w:rsidR="001C3AF6" w:rsidRPr="008D087B" w:rsidRDefault="001C3AF6" w:rsidP="00CF01E1">
      <w:pPr>
        <w:pStyle w:val="Heading2"/>
        <w:numPr>
          <w:ilvl w:val="1"/>
          <w:numId w:val="153"/>
        </w:numPr>
        <w:spacing w:before="240" w:after="160"/>
        <w:jc w:val="left"/>
        <w:rPr>
          <w:rFonts w:ascii="Arial" w:hAnsi="Arial" w:cs="Arial"/>
          <w:b/>
          <w:bCs/>
          <w:color w:val="auto"/>
          <w:sz w:val="28"/>
          <w:szCs w:val="28"/>
        </w:rPr>
      </w:pPr>
      <w:bookmarkStart w:id="52" w:name="_Toc222989922"/>
      <w:bookmarkStart w:id="53" w:name="_Toc222997208"/>
      <w:r w:rsidRPr="008D087B">
        <w:rPr>
          <w:rFonts w:ascii="Arial" w:hAnsi="Arial" w:cs="Arial"/>
          <w:b/>
          <w:bCs/>
          <w:color w:val="auto"/>
          <w:sz w:val="28"/>
          <w:szCs w:val="28"/>
        </w:rPr>
        <w:t>Theme 2</w:t>
      </w:r>
      <w:r w:rsidR="00523A08" w:rsidRPr="008D087B">
        <w:rPr>
          <w:rFonts w:ascii="Arial" w:hAnsi="Arial" w:cs="Arial"/>
          <w:b/>
          <w:bCs/>
          <w:color w:val="auto"/>
          <w:sz w:val="28"/>
          <w:szCs w:val="28"/>
        </w:rPr>
        <w:t>: User Engagement, Retention and Accessibility</w:t>
      </w:r>
      <w:bookmarkEnd w:id="52"/>
      <w:bookmarkEnd w:id="53"/>
    </w:p>
    <w:p w14:paraId="3AEC426B" w14:textId="0CF36F60" w:rsidR="00D1364D" w:rsidRPr="0016460E" w:rsidRDefault="00D1364D" w:rsidP="00CF01E1">
      <w:pPr>
        <w:spacing w:before="240"/>
        <w:jc w:val="left"/>
        <w:rPr>
          <w:rFonts w:ascii="Arial" w:hAnsi="Arial" w:cs="Arial"/>
          <w:lang w:eastAsia="en-US"/>
        </w:rPr>
      </w:pPr>
      <w:r w:rsidRPr="0016460E">
        <w:rPr>
          <w:rFonts w:ascii="Arial" w:hAnsi="Arial" w:cs="Arial"/>
          <w:lang w:eastAsia="en-US"/>
        </w:rPr>
        <w:t>The user engagement in mobile mental health applications is the level and quality of interaction of a user with an app sustained throughout the time, the frequency of usage, the complexity of interaction with the functionality, and compliance with suggested activities</w:t>
      </w:r>
      <w:r w:rsidR="007F6020" w:rsidRPr="0016460E">
        <w:rPr>
          <w:rFonts w:ascii="Arial" w:hAnsi="Arial" w:cs="Arial"/>
          <w:lang w:eastAsia="en-US"/>
        </w:rPr>
        <w:t xml:space="preserve"> (</w:t>
      </w:r>
      <w:proofErr w:type="spellStart"/>
      <w:r w:rsidR="007F6020" w:rsidRPr="0016460E">
        <w:rPr>
          <w:rFonts w:ascii="Arial" w:hAnsi="Arial" w:cs="Arial"/>
          <w:lang w:eastAsia="en-US"/>
        </w:rPr>
        <w:t>Kaveladze</w:t>
      </w:r>
      <w:proofErr w:type="spellEnd"/>
      <w:r w:rsidR="007F6020" w:rsidRPr="0016460E">
        <w:rPr>
          <w:rFonts w:ascii="Arial" w:hAnsi="Arial" w:cs="Arial"/>
          <w:lang w:eastAsia="en-US"/>
        </w:rPr>
        <w:t xml:space="preserve"> et al., 2022)</w:t>
      </w:r>
      <w:r w:rsidRPr="0016460E">
        <w:rPr>
          <w:rFonts w:ascii="Arial" w:hAnsi="Arial" w:cs="Arial"/>
          <w:lang w:eastAsia="en-US"/>
        </w:rPr>
        <w:t>. It is highly related to retention, which explains the duration of time users use an app before stopping to use it. Engagement and retention in the framework of mental health apps are key mediators of clinical effectiveness</w:t>
      </w:r>
      <w:r w:rsidR="0097783A" w:rsidRPr="0016460E">
        <w:rPr>
          <w:rFonts w:ascii="Arial" w:hAnsi="Arial" w:cs="Arial"/>
          <w:lang w:eastAsia="en-US"/>
        </w:rPr>
        <w:t xml:space="preserve"> as </w:t>
      </w:r>
      <w:r w:rsidRPr="0016460E">
        <w:rPr>
          <w:rFonts w:ascii="Arial" w:hAnsi="Arial" w:cs="Arial"/>
          <w:lang w:eastAsia="en-US"/>
        </w:rPr>
        <w:t>the most evidence-based intervention will not help to improve outcomes when users cease to use the apps after several days</w:t>
      </w:r>
      <w:r w:rsidR="00BA1E75" w:rsidRPr="0016460E">
        <w:rPr>
          <w:rFonts w:ascii="Arial" w:hAnsi="Arial" w:cs="Arial"/>
          <w:lang w:eastAsia="en-US"/>
        </w:rPr>
        <w:t xml:space="preserve"> (Smith et al., 2025)</w:t>
      </w:r>
      <w:r w:rsidRPr="0016460E">
        <w:rPr>
          <w:rFonts w:ascii="Arial" w:hAnsi="Arial" w:cs="Arial"/>
          <w:lang w:eastAsia="en-US"/>
        </w:rPr>
        <w:t xml:space="preserve">. The concept of accessibility expands this discussion by addressing who can practice mental health apps in practice like device ownership, internet access, language, cultural relevance, and digital literacy. Engagement, retention, and </w:t>
      </w:r>
      <w:r w:rsidRPr="0016460E">
        <w:rPr>
          <w:rFonts w:ascii="Arial" w:hAnsi="Arial" w:cs="Arial"/>
          <w:lang w:eastAsia="en-US"/>
        </w:rPr>
        <w:lastRenderedPageBreak/>
        <w:t>accessibility are three aspects that together define the ability of mobile mental health tools to create any real-world impact as opposed to being potential but underused innovations.</w:t>
      </w:r>
    </w:p>
    <w:p w14:paraId="14BCCB68" w14:textId="7F1B221C" w:rsidR="00D1364D" w:rsidRPr="0016460E" w:rsidRDefault="00D1364D" w:rsidP="00CF01E1">
      <w:pPr>
        <w:spacing w:before="240"/>
        <w:jc w:val="left"/>
        <w:rPr>
          <w:rFonts w:ascii="Arial" w:hAnsi="Arial" w:cs="Arial"/>
          <w:lang w:eastAsia="en-US"/>
        </w:rPr>
      </w:pPr>
      <w:r w:rsidRPr="0016460E">
        <w:rPr>
          <w:rFonts w:ascii="Arial" w:hAnsi="Arial" w:cs="Arial"/>
          <w:lang w:eastAsia="en-US"/>
        </w:rPr>
        <w:t>Initial reviews of digital mental health tools tended to be mostly narrow on the results of symptoms but later studies have indicated that usage patterns are very diverse and often not the best in the naturalistic environment. A systematic search and panel-based usage analysis of mental health apps by Baumel et al. (2019) revealed that under real-life conditions, many users only used apps very briefly, and the median use of apps frequently was in days and not in weeks</w:t>
      </w:r>
      <w:r w:rsidR="00763B63" w:rsidRPr="0016460E">
        <w:rPr>
          <w:rFonts w:ascii="Arial" w:hAnsi="Arial" w:cs="Arial"/>
          <w:lang w:eastAsia="en-US"/>
        </w:rPr>
        <w:t xml:space="preserve"> (Baumel et al., 2019)</w:t>
      </w:r>
      <w:r w:rsidRPr="0016460E">
        <w:rPr>
          <w:rFonts w:ascii="Arial" w:hAnsi="Arial" w:cs="Arial"/>
          <w:lang w:eastAsia="en-US"/>
        </w:rPr>
        <w:t>.</w:t>
      </w:r>
      <w:r w:rsidR="001367A6" w:rsidRPr="0016460E">
        <w:rPr>
          <w:rFonts w:ascii="Arial" w:hAnsi="Arial" w:cs="Arial"/>
        </w:rPr>
        <w:t xml:space="preserve"> </w:t>
      </w:r>
      <w:r w:rsidR="0058511C" w:rsidRPr="0016460E">
        <w:rPr>
          <w:rFonts w:ascii="Arial" w:hAnsi="Arial" w:cs="Arial"/>
        </w:rPr>
        <w:t>U</w:t>
      </w:r>
      <w:r w:rsidR="001367A6" w:rsidRPr="0016460E">
        <w:rPr>
          <w:rFonts w:ascii="Arial" w:hAnsi="Arial" w:cs="Arial"/>
        </w:rPr>
        <w:t xml:space="preserve">ser retention for mobile health apps can be extremely low in real-world settings. In one large usage analysis of mental health and wellbeing apps, fewer than 4 % of users continued to engage with an app after 15 days, and only about 3 % remained active at 30 days, indicating rapid attrition soon after installation and initial </w:t>
      </w:r>
      <w:r w:rsidR="00C2429D" w:rsidRPr="0016460E">
        <w:rPr>
          <w:rFonts w:ascii="Arial" w:hAnsi="Arial" w:cs="Arial"/>
        </w:rPr>
        <w:t>use (</w:t>
      </w:r>
      <w:r w:rsidR="003C723B" w:rsidRPr="0016460E">
        <w:rPr>
          <w:rFonts w:ascii="Arial" w:hAnsi="Arial" w:cs="Arial"/>
        </w:rPr>
        <w:t>Baumel et al., 2019)</w:t>
      </w:r>
      <w:r w:rsidRPr="0016460E">
        <w:rPr>
          <w:rFonts w:ascii="Arial" w:hAnsi="Arial" w:cs="Arial"/>
          <w:lang w:eastAsia="en-US"/>
        </w:rPr>
        <w:t>. These numbers are impressive compared to the 6</w:t>
      </w:r>
      <w:r w:rsidR="00C67537" w:rsidRPr="0016460E">
        <w:rPr>
          <w:rFonts w:ascii="Arial" w:hAnsi="Arial" w:cs="Arial"/>
          <w:lang w:eastAsia="en-US"/>
        </w:rPr>
        <w:t>-</w:t>
      </w:r>
      <w:r w:rsidRPr="0016460E">
        <w:rPr>
          <w:rFonts w:ascii="Arial" w:hAnsi="Arial" w:cs="Arial"/>
          <w:lang w:eastAsia="en-US"/>
        </w:rPr>
        <w:t>8 weeks intervention that is generally applied in clinical trials and begs important questions regarding the translation of engagement data of controlled studies to real life</w:t>
      </w:r>
      <w:r w:rsidR="004504E0" w:rsidRPr="0016460E">
        <w:rPr>
          <w:rFonts w:ascii="Arial" w:hAnsi="Arial" w:cs="Arial"/>
          <w:lang w:eastAsia="en-US"/>
        </w:rPr>
        <w:t xml:space="preserve"> (Elkes et al., 2024)</w:t>
      </w:r>
      <w:r w:rsidRPr="0016460E">
        <w:rPr>
          <w:rFonts w:ascii="Arial" w:hAnsi="Arial" w:cs="Arial"/>
          <w:lang w:eastAsia="en-US"/>
        </w:rPr>
        <w:t>.</w:t>
      </w:r>
    </w:p>
    <w:p w14:paraId="29D418AB" w14:textId="627FCC1E" w:rsidR="00D1364D" w:rsidRPr="0016460E" w:rsidRDefault="00D1364D" w:rsidP="00CF01E1">
      <w:pPr>
        <w:spacing w:before="240"/>
        <w:jc w:val="left"/>
        <w:rPr>
          <w:rFonts w:ascii="Arial" w:hAnsi="Arial" w:cs="Arial"/>
          <w:lang w:eastAsia="en-US"/>
        </w:rPr>
      </w:pPr>
      <w:r w:rsidRPr="0016460E">
        <w:rPr>
          <w:rFonts w:ascii="Arial" w:hAnsi="Arial" w:cs="Arial"/>
          <w:lang w:eastAsia="en-US"/>
        </w:rPr>
        <w:t xml:space="preserve">Engagement and retention patterns of various types of digital mental health interventions have been synthesised in systematic reviews. In a systematic and meta-analytic review of smartphone-based interventions to manage mental health issues, </w:t>
      </w:r>
      <w:proofErr w:type="spellStart"/>
      <w:r w:rsidRPr="0016460E">
        <w:rPr>
          <w:rFonts w:ascii="Arial" w:hAnsi="Arial" w:cs="Arial"/>
          <w:lang w:eastAsia="en-US"/>
        </w:rPr>
        <w:t>Linardon</w:t>
      </w:r>
      <w:proofErr w:type="spellEnd"/>
      <w:r w:rsidRPr="0016460E">
        <w:rPr>
          <w:rFonts w:ascii="Arial" w:hAnsi="Arial" w:cs="Arial"/>
          <w:lang w:eastAsia="en-US"/>
        </w:rPr>
        <w:t xml:space="preserve"> and Fuller-Tyszkiewicz (2020) indicated that there were high rates of attrition which were usually in the range of 30-40% during the intervention and was more pronounced with unguided interventions as opposed to those with therapist or coach assistance</w:t>
      </w:r>
      <w:r w:rsidR="002C6A01" w:rsidRPr="0016460E">
        <w:rPr>
          <w:rFonts w:ascii="Arial" w:hAnsi="Arial" w:cs="Arial"/>
          <w:lang w:eastAsia="en-US"/>
        </w:rPr>
        <w:t xml:space="preserve"> (</w:t>
      </w:r>
      <w:proofErr w:type="spellStart"/>
      <w:r w:rsidR="002C6A01" w:rsidRPr="0016460E">
        <w:rPr>
          <w:rFonts w:ascii="Arial" w:hAnsi="Arial" w:cs="Arial"/>
          <w:lang w:eastAsia="en-US"/>
        </w:rPr>
        <w:t>Linardon</w:t>
      </w:r>
      <w:proofErr w:type="spellEnd"/>
      <w:r w:rsidR="002C6A01" w:rsidRPr="0016460E">
        <w:rPr>
          <w:rFonts w:ascii="Arial" w:hAnsi="Arial" w:cs="Arial"/>
          <w:lang w:eastAsia="en-US"/>
        </w:rPr>
        <w:t xml:space="preserve"> and Fuller-Tyszkiewicz, 2020)</w:t>
      </w:r>
      <w:r w:rsidRPr="0016460E">
        <w:rPr>
          <w:rFonts w:ascii="Arial" w:hAnsi="Arial" w:cs="Arial"/>
          <w:lang w:eastAsia="en-US"/>
        </w:rPr>
        <w:t xml:space="preserve">. More recently, Boucher and </w:t>
      </w:r>
      <w:proofErr w:type="spellStart"/>
      <w:r w:rsidRPr="0016460E">
        <w:rPr>
          <w:rFonts w:ascii="Arial" w:hAnsi="Arial" w:cs="Arial"/>
          <w:lang w:eastAsia="en-US"/>
        </w:rPr>
        <w:t>Raiker</w:t>
      </w:r>
      <w:proofErr w:type="spellEnd"/>
      <w:r w:rsidRPr="0016460E">
        <w:rPr>
          <w:rFonts w:ascii="Arial" w:hAnsi="Arial" w:cs="Arial"/>
          <w:lang w:eastAsia="en-US"/>
        </w:rPr>
        <w:t xml:space="preserve"> (2024) conducted a review of engagement and retention of digital mental health interventions and found that although some programmes may experience high engagement particularly when delivered as part of clinical services, poor and inconsistent engagement is one of the </w:t>
      </w:r>
      <w:proofErr w:type="gramStart"/>
      <w:r w:rsidRPr="0016460E">
        <w:rPr>
          <w:rFonts w:ascii="Arial" w:hAnsi="Arial" w:cs="Arial"/>
          <w:lang w:eastAsia="en-US"/>
        </w:rPr>
        <w:t>most commonly cited</w:t>
      </w:r>
      <w:proofErr w:type="gramEnd"/>
      <w:r w:rsidRPr="0016460E">
        <w:rPr>
          <w:rFonts w:ascii="Arial" w:hAnsi="Arial" w:cs="Arial"/>
          <w:lang w:eastAsia="en-US"/>
        </w:rPr>
        <w:t xml:space="preserve"> limitations throughout the area</w:t>
      </w:r>
      <w:r w:rsidR="00756D6D" w:rsidRPr="0016460E">
        <w:rPr>
          <w:rFonts w:ascii="Arial" w:hAnsi="Arial" w:cs="Arial"/>
          <w:lang w:eastAsia="en-US"/>
        </w:rPr>
        <w:t xml:space="preserve"> (Boucher and </w:t>
      </w:r>
      <w:proofErr w:type="spellStart"/>
      <w:r w:rsidR="00756D6D" w:rsidRPr="0016460E">
        <w:rPr>
          <w:rFonts w:ascii="Arial" w:hAnsi="Arial" w:cs="Arial"/>
          <w:lang w:eastAsia="en-US"/>
        </w:rPr>
        <w:t>Raiker</w:t>
      </w:r>
      <w:proofErr w:type="spellEnd"/>
      <w:r w:rsidR="00756D6D" w:rsidRPr="0016460E">
        <w:rPr>
          <w:rFonts w:ascii="Arial" w:hAnsi="Arial" w:cs="Arial"/>
          <w:lang w:eastAsia="en-US"/>
        </w:rPr>
        <w:t>, 2024)</w:t>
      </w:r>
      <w:r w:rsidRPr="0016460E">
        <w:rPr>
          <w:rFonts w:ascii="Arial" w:hAnsi="Arial" w:cs="Arial"/>
          <w:lang w:eastAsia="en-US"/>
        </w:rPr>
        <w:t>. In their narrative review, engagement not only depends on the way the app is designed and how it can be used but also on the nature of the user, their motivation, the level of symptoms, and the context of the engagement, including competing demands and stigma.</w:t>
      </w:r>
    </w:p>
    <w:p w14:paraId="48C32153" w14:textId="1BED85BE" w:rsidR="00D1364D" w:rsidRPr="0016460E" w:rsidRDefault="00D1364D" w:rsidP="00CF01E1">
      <w:pPr>
        <w:spacing w:before="240"/>
        <w:jc w:val="left"/>
        <w:rPr>
          <w:rFonts w:ascii="Arial" w:hAnsi="Arial" w:cs="Arial"/>
          <w:lang w:eastAsia="en-US"/>
        </w:rPr>
      </w:pPr>
      <w:r w:rsidRPr="0016460E">
        <w:rPr>
          <w:rFonts w:ascii="Arial" w:hAnsi="Arial" w:cs="Arial"/>
          <w:lang w:eastAsia="en-US"/>
        </w:rPr>
        <w:t>An actual example of engagement in practice is the nationwide roll out of SPARX computerized CBT programme on adolescent depression in New Zealand. Fleming and colleagues noted that SPARX (provided at scale as unguided online intervention) registered a significant proportion of young people, but only a proportion completed all the seven modules without a consistent cohort/service setting difference</w:t>
      </w:r>
      <w:r w:rsidR="009B619F" w:rsidRPr="0016460E">
        <w:rPr>
          <w:rFonts w:ascii="Arial" w:hAnsi="Arial" w:cs="Arial"/>
          <w:lang w:eastAsia="en-US"/>
        </w:rPr>
        <w:t xml:space="preserve"> (Fleming et al., 2025)</w:t>
      </w:r>
      <w:r w:rsidRPr="0016460E">
        <w:rPr>
          <w:rFonts w:ascii="Arial" w:hAnsi="Arial" w:cs="Arial"/>
          <w:lang w:eastAsia="en-US"/>
        </w:rPr>
        <w:t xml:space="preserve">. Engagement was also enhanced in a few youth justice and alternative education, where the </w:t>
      </w:r>
      <w:r w:rsidRPr="0016460E">
        <w:rPr>
          <w:rFonts w:ascii="Arial" w:hAnsi="Arial" w:cs="Arial"/>
          <w:lang w:eastAsia="en-US"/>
        </w:rPr>
        <w:lastRenderedPageBreak/>
        <w:t>youth workers assisted the young people to complete the programme, potentially indicating that relational and environmental conditions can enhance compliance. This example represents the larger trend observed in the literature, which is that engagement is more likely to be effective when digital tools are situated in the context of favourable human and organisational conditions, and not left solely to individual agency.</w:t>
      </w:r>
    </w:p>
    <w:p w14:paraId="00E258C1" w14:textId="16D17479" w:rsidR="00D1364D" w:rsidRPr="0016460E" w:rsidRDefault="00D1364D" w:rsidP="00CF01E1">
      <w:pPr>
        <w:spacing w:before="240"/>
        <w:jc w:val="left"/>
        <w:rPr>
          <w:rFonts w:ascii="Arial" w:hAnsi="Arial" w:cs="Arial"/>
          <w:lang w:eastAsia="en-US"/>
        </w:rPr>
      </w:pPr>
      <w:r w:rsidRPr="0016460E">
        <w:rPr>
          <w:rFonts w:ascii="Arial" w:hAnsi="Arial" w:cs="Arial"/>
          <w:lang w:eastAsia="en-US"/>
        </w:rPr>
        <w:t xml:space="preserve">Another dimension to this theme is accessibility and inclusion. The study by Bear et al. (2024) involved a systematic review and qualitative analysis on the acceptability, engagement, and feasibility of mental health apps among marginalised and underserved young. </w:t>
      </w:r>
      <w:r w:rsidR="0039191E" w:rsidRPr="0016460E">
        <w:rPr>
          <w:rFonts w:ascii="Arial" w:hAnsi="Arial" w:cs="Arial"/>
          <w:lang w:eastAsia="en-US"/>
        </w:rPr>
        <w:t>D</w:t>
      </w:r>
      <w:r w:rsidRPr="0016460E">
        <w:rPr>
          <w:rFonts w:ascii="Arial" w:hAnsi="Arial" w:cs="Arial"/>
          <w:lang w:eastAsia="en-US"/>
        </w:rPr>
        <w:t xml:space="preserve">espite a number of respondents stating that they were interested in receiving app-based support, there were multiple barriers that prevented them from using it continuously, such as a lack of trust in the privacy of their data, the difference between what the apps provided and the experiences they were living, and situational factors </w:t>
      </w:r>
      <w:r w:rsidR="00F56A77" w:rsidRPr="0016460E">
        <w:rPr>
          <w:rFonts w:ascii="Arial" w:hAnsi="Arial" w:cs="Arial"/>
          <w:lang w:eastAsia="en-US"/>
        </w:rPr>
        <w:t>(Bear et al., 2024)</w:t>
      </w:r>
      <w:r w:rsidRPr="0016460E">
        <w:rPr>
          <w:rFonts w:ascii="Arial" w:hAnsi="Arial" w:cs="Arial"/>
          <w:lang w:eastAsia="en-US"/>
        </w:rPr>
        <w:t>. Notably, the research concluded that participation was more successful where applications were co-created with the intended communities, where the content was culturally sensitive, and where attributes focused on structural stressors like discrimination or lack of financial well-being. Such results suggest that the issue of engagement is not a solely personal matter but rather is strongly influenced by social and structural factors.</w:t>
      </w:r>
    </w:p>
    <w:p w14:paraId="0673914D" w14:textId="19B08D2F" w:rsidR="00D1364D" w:rsidRPr="0016460E" w:rsidRDefault="00D1364D" w:rsidP="00CF01E1">
      <w:pPr>
        <w:spacing w:before="240"/>
        <w:jc w:val="left"/>
        <w:rPr>
          <w:rFonts w:ascii="Arial" w:hAnsi="Arial" w:cs="Arial"/>
          <w:lang w:eastAsia="en-US"/>
        </w:rPr>
      </w:pPr>
      <w:r w:rsidRPr="0016460E">
        <w:rPr>
          <w:rFonts w:ascii="Arial" w:hAnsi="Arial" w:cs="Arial"/>
          <w:lang w:eastAsia="en-US"/>
        </w:rPr>
        <w:t>Another piece of evidence on trends in usage in the young population is a survey research study on the use of mobile health apps. A mixed-methods study of artificial intelligence-informed mobile mental health apps among young people also found that more than 2/3 of surveyed participants had used mobile health apps, with approximately 60% reporting that they regularly used 1 or 2 apps</w:t>
      </w:r>
      <w:r w:rsidR="00F404EE" w:rsidRPr="0016460E">
        <w:rPr>
          <w:rFonts w:ascii="Arial" w:hAnsi="Arial" w:cs="Arial"/>
          <w:lang w:eastAsia="en-US"/>
        </w:rPr>
        <w:t xml:space="preserve"> (Götzl et al., 2022)</w:t>
      </w:r>
      <w:r w:rsidRPr="0016460E">
        <w:rPr>
          <w:rFonts w:ascii="Arial" w:hAnsi="Arial" w:cs="Arial"/>
          <w:lang w:eastAsia="en-US"/>
        </w:rPr>
        <w:t xml:space="preserve">. </w:t>
      </w:r>
      <w:r w:rsidR="002340BB" w:rsidRPr="0016460E">
        <w:rPr>
          <w:rFonts w:ascii="Arial" w:hAnsi="Arial" w:cs="Arial"/>
          <w:lang w:eastAsia="en-US"/>
        </w:rPr>
        <w:t>However</w:t>
      </w:r>
      <w:r w:rsidRPr="0016460E">
        <w:rPr>
          <w:rFonts w:ascii="Arial" w:hAnsi="Arial" w:cs="Arial"/>
          <w:lang w:eastAsia="en-US"/>
        </w:rPr>
        <w:t xml:space="preserve"> more sophisticated applications like AI-based recommendations were generally received well, even though quite a significant minority felt uncomfortable or distrustful. This is an indication that although core accessibility to the smartphone technology is a high point among most youthful groups, subtle interpretations of safety, control, and transparency impact the extent, and duration, of usage of </w:t>
      </w:r>
      <w:r w:rsidR="009477AD" w:rsidRPr="0016460E">
        <w:rPr>
          <w:rFonts w:ascii="Arial" w:hAnsi="Arial" w:cs="Arial"/>
          <w:lang w:eastAsia="en-US"/>
        </w:rPr>
        <w:t>mentally specific</w:t>
      </w:r>
      <w:r w:rsidRPr="0016460E">
        <w:rPr>
          <w:rFonts w:ascii="Arial" w:hAnsi="Arial" w:cs="Arial"/>
          <w:lang w:eastAsia="en-US"/>
        </w:rPr>
        <w:t xml:space="preserve"> tools.</w:t>
      </w:r>
    </w:p>
    <w:p w14:paraId="1A99D865" w14:textId="25506C30" w:rsidR="00D1364D" w:rsidRPr="0016460E" w:rsidRDefault="00D1364D" w:rsidP="00CF01E1">
      <w:pPr>
        <w:spacing w:before="240"/>
        <w:jc w:val="left"/>
        <w:rPr>
          <w:rFonts w:ascii="Arial" w:hAnsi="Arial" w:cs="Arial"/>
          <w:lang w:eastAsia="en-US"/>
        </w:rPr>
      </w:pPr>
      <w:r w:rsidRPr="0016460E">
        <w:rPr>
          <w:rFonts w:ascii="Arial" w:hAnsi="Arial" w:cs="Arial"/>
          <w:lang w:eastAsia="en-US"/>
        </w:rPr>
        <w:t>In theory, the adoption of digital mental health tools has been connected to the models like the Technology Acceptance Model where perceived usefulness and perceived ease of use are considered significant predictors of adoption</w:t>
      </w:r>
      <w:r w:rsidR="00236924" w:rsidRPr="0016460E">
        <w:rPr>
          <w:rFonts w:ascii="Arial" w:hAnsi="Arial" w:cs="Arial"/>
          <w:lang w:eastAsia="en-US"/>
        </w:rPr>
        <w:t xml:space="preserve"> (</w:t>
      </w:r>
      <w:proofErr w:type="spellStart"/>
      <w:r w:rsidR="00236924" w:rsidRPr="0016460E">
        <w:rPr>
          <w:rFonts w:ascii="Arial" w:hAnsi="Arial" w:cs="Arial"/>
          <w:lang w:eastAsia="en-US"/>
        </w:rPr>
        <w:t>Marikyan</w:t>
      </w:r>
      <w:proofErr w:type="spellEnd"/>
      <w:r w:rsidR="00236924" w:rsidRPr="0016460E">
        <w:rPr>
          <w:rFonts w:ascii="Arial" w:hAnsi="Arial" w:cs="Arial"/>
          <w:lang w:eastAsia="en-US"/>
        </w:rPr>
        <w:t xml:space="preserve"> and </w:t>
      </w:r>
      <w:proofErr w:type="spellStart"/>
      <w:r w:rsidR="00236924" w:rsidRPr="0016460E">
        <w:rPr>
          <w:rFonts w:ascii="Arial" w:hAnsi="Arial" w:cs="Arial"/>
          <w:lang w:eastAsia="en-US"/>
        </w:rPr>
        <w:t>Papagiannidis</w:t>
      </w:r>
      <w:proofErr w:type="spellEnd"/>
      <w:r w:rsidR="00236924" w:rsidRPr="0016460E">
        <w:rPr>
          <w:rFonts w:ascii="Arial" w:hAnsi="Arial" w:cs="Arial"/>
          <w:lang w:eastAsia="en-US"/>
        </w:rPr>
        <w:t>, 2025)</w:t>
      </w:r>
      <w:r w:rsidRPr="0016460E">
        <w:rPr>
          <w:rFonts w:ascii="Arial" w:hAnsi="Arial" w:cs="Arial"/>
          <w:lang w:eastAsia="en-US"/>
        </w:rPr>
        <w:t>. This has been extended by engagement reviews, including that by Lipschitz et al. (2023), who note that the usage is influenced by patient, interventio</w:t>
      </w:r>
      <w:r w:rsidR="007D1119" w:rsidRPr="0016460E">
        <w:rPr>
          <w:rFonts w:ascii="Arial" w:hAnsi="Arial" w:cs="Arial"/>
          <w:lang w:eastAsia="en-US"/>
        </w:rPr>
        <w:t>n</w:t>
      </w:r>
      <w:r w:rsidRPr="0016460E">
        <w:rPr>
          <w:rFonts w:ascii="Arial" w:hAnsi="Arial" w:cs="Arial"/>
          <w:lang w:eastAsia="en-US"/>
        </w:rPr>
        <w:t xml:space="preserve"> and systems-level factors, such as age, education, ethnicity, interface design, and service integration</w:t>
      </w:r>
      <w:r w:rsidR="00A870F9" w:rsidRPr="0016460E">
        <w:rPr>
          <w:rFonts w:ascii="Arial" w:hAnsi="Arial" w:cs="Arial"/>
          <w:lang w:eastAsia="en-US"/>
        </w:rPr>
        <w:t xml:space="preserve"> </w:t>
      </w:r>
      <w:r w:rsidR="0063432F" w:rsidRPr="0016460E">
        <w:rPr>
          <w:rFonts w:ascii="Arial" w:hAnsi="Arial" w:cs="Arial"/>
          <w:lang w:eastAsia="en-US"/>
        </w:rPr>
        <w:t>(Lipschitz et al., 2023)</w:t>
      </w:r>
      <w:r w:rsidRPr="0016460E">
        <w:rPr>
          <w:rFonts w:ascii="Arial" w:hAnsi="Arial" w:cs="Arial"/>
          <w:lang w:eastAsia="en-US"/>
        </w:rPr>
        <w:t xml:space="preserve">. All these frameworks are in line with empirical evidence that applications that have intuitive interfaces, articulate value and a type of human support tend to experience greater </w:t>
      </w:r>
      <w:r w:rsidRPr="0016460E">
        <w:rPr>
          <w:rFonts w:ascii="Arial" w:hAnsi="Arial" w:cs="Arial"/>
          <w:lang w:eastAsia="en-US"/>
        </w:rPr>
        <w:lastRenderedPageBreak/>
        <w:t>engagement relative to those that are multifaceted, generic and out of band with care systems.</w:t>
      </w:r>
    </w:p>
    <w:p w14:paraId="1B0F5A1E" w14:textId="105EEE9E" w:rsidR="00D1364D" w:rsidRPr="0016460E" w:rsidRDefault="00D1364D" w:rsidP="00CF01E1">
      <w:pPr>
        <w:spacing w:before="240"/>
        <w:jc w:val="left"/>
        <w:rPr>
          <w:rFonts w:ascii="Arial" w:hAnsi="Arial" w:cs="Arial"/>
          <w:lang w:eastAsia="en-US"/>
        </w:rPr>
      </w:pPr>
      <w:r w:rsidRPr="0016460E">
        <w:rPr>
          <w:rFonts w:ascii="Arial" w:hAnsi="Arial" w:cs="Arial"/>
          <w:lang w:eastAsia="en-US"/>
        </w:rPr>
        <w:t xml:space="preserve">Policy and </w:t>
      </w:r>
      <w:r w:rsidR="009477AD" w:rsidRPr="0016460E">
        <w:rPr>
          <w:rFonts w:ascii="Arial" w:hAnsi="Arial" w:cs="Arial"/>
          <w:lang w:eastAsia="en-US"/>
        </w:rPr>
        <w:t>practice wise</w:t>
      </w:r>
      <w:r w:rsidRPr="0016460E">
        <w:rPr>
          <w:rFonts w:ascii="Arial" w:hAnsi="Arial" w:cs="Arial"/>
          <w:lang w:eastAsia="en-US"/>
        </w:rPr>
        <w:t xml:space="preserve">, engagement and accessibility </w:t>
      </w:r>
      <w:proofErr w:type="gramStart"/>
      <w:r w:rsidRPr="0016460E">
        <w:rPr>
          <w:rFonts w:ascii="Arial" w:hAnsi="Arial" w:cs="Arial"/>
          <w:lang w:eastAsia="en-US"/>
        </w:rPr>
        <w:t>has</w:t>
      </w:r>
      <w:proofErr w:type="gramEnd"/>
      <w:r w:rsidRPr="0016460E">
        <w:rPr>
          <w:rFonts w:ascii="Arial" w:hAnsi="Arial" w:cs="Arial"/>
          <w:lang w:eastAsia="en-US"/>
        </w:rPr>
        <w:t xml:space="preserve"> a direct influence on the relevance of mobile mental health apps to the research aim of the dissertation. To play a significant role in lowering anxiety, depression and stress levels in population, the apps will not only have to be tested and proven to be clinically effective in the conditions of the trial, but also should be acceptable, appealing, and conveniently accessible to a variety of the users</w:t>
      </w:r>
      <w:r w:rsidR="00961869" w:rsidRPr="0016460E">
        <w:rPr>
          <w:rFonts w:ascii="Arial" w:hAnsi="Arial" w:cs="Arial"/>
          <w:lang w:eastAsia="en-US"/>
        </w:rPr>
        <w:t xml:space="preserve"> (</w:t>
      </w:r>
      <w:proofErr w:type="spellStart"/>
      <w:r w:rsidR="00961869" w:rsidRPr="0016460E">
        <w:rPr>
          <w:rFonts w:ascii="Arial" w:hAnsi="Arial" w:cs="Arial"/>
          <w:lang w:eastAsia="en-US"/>
        </w:rPr>
        <w:t>Guracho</w:t>
      </w:r>
      <w:proofErr w:type="spellEnd"/>
      <w:r w:rsidR="00961869" w:rsidRPr="0016460E">
        <w:rPr>
          <w:rFonts w:ascii="Arial" w:hAnsi="Arial" w:cs="Arial"/>
          <w:lang w:eastAsia="en-US"/>
        </w:rPr>
        <w:t xml:space="preserve"> et al., 2025)</w:t>
      </w:r>
      <w:r w:rsidRPr="0016460E">
        <w:rPr>
          <w:rFonts w:ascii="Arial" w:hAnsi="Arial" w:cs="Arial"/>
          <w:lang w:eastAsia="en-US"/>
        </w:rPr>
        <w:t>. The literature is indicative of a mixed picture</w:t>
      </w:r>
      <w:r w:rsidR="00957517" w:rsidRPr="0016460E">
        <w:rPr>
          <w:rFonts w:ascii="Arial" w:hAnsi="Arial" w:cs="Arial"/>
          <w:lang w:eastAsia="en-US"/>
        </w:rPr>
        <w:t xml:space="preserve"> as o</w:t>
      </w:r>
      <w:r w:rsidRPr="0016460E">
        <w:rPr>
          <w:rFonts w:ascii="Arial" w:hAnsi="Arial" w:cs="Arial"/>
          <w:lang w:eastAsia="en-US"/>
        </w:rPr>
        <w:t>n the upside, a significant number of users especially the younger ones are willing to utilize mental health applications and can get benefit when they are engaged. On the downside, attrition rates are high, technology is not part of the ecosystem, and lack of culture and socioeconomic diversity in the design may worsen the existing inequalities, with already privileged groups being the most likely to gain</w:t>
      </w:r>
      <w:r w:rsidR="004479FD" w:rsidRPr="0016460E">
        <w:rPr>
          <w:rFonts w:ascii="Arial" w:hAnsi="Arial" w:cs="Arial"/>
          <w:lang w:eastAsia="en-US"/>
        </w:rPr>
        <w:t xml:space="preserve"> (Meng et al., 2024)</w:t>
      </w:r>
      <w:r w:rsidRPr="0016460E">
        <w:rPr>
          <w:rFonts w:ascii="Arial" w:hAnsi="Arial" w:cs="Arial"/>
          <w:lang w:eastAsia="en-US"/>
        </w:rPr>
        <w:t>.</w:t>
      </w:r>
    </w:p>
    <w:p w14:paraId="3700E6AE" w14:textId="373E3CF5" w:rsidR="00D1364D" w:rsidRPr="0016460E" w:rsidRDefault="00D1364D" w:rsidP="00CF01E1">
      <w:pPr>
        <w:spacing w:before="240"/>
        <w:jc w:val="left"/>
        <w:rPr>
          <w:rFonts w:ascii="Arial" w:hAnsi="Arial" w:cs="Arial"/>
          <w:lang w:eastAsia="en-US"/>
        </w:rPr>
      </w:pPr>
      <w:r w:rsidRPr="0016460E">
        <w:rPr>
          <w:rFonts w:ascii="Arial" w:hAnsi="Arial" w:cs="Arial"/>
          <w:lang w:eastAsia="en-US"/>
        </w:rPr>
        <w:t>The consequences of this theme are thus both positive and negative. More positively, using strategies like co-design with target users, inclusion of human support, customising content to aimed populations and integrations of apps into current health and social care pathways can be used to improve engagement. Studies such as SPARX and young-oriented programmes in underserviced communities reveal that the level of engagement is not necessarily low; it can be encouraged in case the contextual barriers are managed</w:t>
      </w:r>
      <w:r w:rsidR="003B2119" w:rsidRPr="0016460E">
        <w:rPr>
          <w:rFonts w:ascii="Arial" w:hAnsi="Arial" w:cs="Arial"/>
          <w:lang w:eastAsia="en-US"/>
        </w:rPr>
        <w:t xml:space="preserve"> (Quynh et al., 2024)</w:t>
      </w:r>
      <w:r w:rsidRPr="0016460E">
        <w:rPr>
          <w:rFonts w:ascii="Arial" w:hAnsi="Arial" w:cs="Arial"/>
          <w:lang w:eastAsia="en-US"/>
        </w:rPr>
        <w:t xml:space="preserve">. In a </w:t>
      </w:r>
      <w:r w:rsidR="00763E6A" w:rsidRPr="0016460E">
        <w:rPr>
          <w:rFonts w:ascii="Arial" w:hAnsi="Arial" w:cs="Arial"/>
          <w:lang w:eastAsia="en-US"/>
        </w:rPr>
        <w:t>negative</w:t>
      </w:r>
      <w:r w:rsidRPr="0016460E">
        <w:rPr>
          <w:rFonts w:ascii="Arial" w:hAnsi="Arial" w:cs="Arial"/>
          <w:lang w:eastAsia="en-US"/>
        </w:rPr>
        <w:t xml:space="preserve"> way, when the barriers to engagement are not addressed in a systematic manner, mental health applications will become a tool that will only benefit the already digitally aware, empowered, and driven groups, further worsening the mental health treatment disparity</w:t>
      </w:r>
      <w:r w:rsidR="00066284" w:rsidRPr="0016460E">
        <w:rPr>
          <w:rFonts w:ascii="Arial" w:hAnsi="Arial" w:cs="Arial"/>
          <w:lang w:eastAsia="en-US"/>
        </w:rPr>
        <w:t xml:space="preserve"> (</w:t>
      </w:r>
      <w:proofErr w:type="spellStart"/>
      <w:r w:rsidR="00066284" w:rsidRPr="0016460E">
        <w:rPr>
          <w:rFonts w:ascii="Arial" w:hAnsi="Arial" w:cs="Arial"/>
          <w:lang w:eastAsia="en-US"/>
        </w:rPr>
        <w:t>Borghouts</w:t>
      </w:r>
      <w:proofErr w:type="spellEnd"/>
      <w:r w:rsidR="00066284" w:rsidRPr="0016460E">
        <w:rPr>
          <w:rFonts w:ascii="Arial" w:hAnsi="Arial" w:cs="Arial"/>
          <w:lang w:eastAsia="en-US"/>
        </w:rPr>
        <w:t xml:space="preserve"> et al., 2021)</w:t>
      </w:r>
      <w:r w:rsidRPr="0016460E">
        <w:rPr>
          <w:rFonts w:ascii="Arial" w:hAnsi="Arial" w:cs="Arial"/>
          <w:lang w:eastAsia="en-US"/>
        </w:rPr>
        <w:t>.</w:t>
      </w:r>
    </w:p>
    <w:p w14:paraId="0EBB78CA" w14:textId="18503285" w:rsidR="002865F5" w:rsidRPr="0016460E" w:rsidRDefault="00D1364D" w:rsidP="00CF01E1">
      <w:pPr>
        <w:spacing w:before="240"/>
        <w:jc w:val="left"/>
        <w:rPr>
          <w:rFonts w:ascii="Arial" w:hAnsi="Arial" w:cs="Arial"/>
          <w:lang w:eastAsia="en-US"/>
        </w:rPr>
      </w:pPr>
      <w:r w:rsidRPr="0016460E">
        <w:rPr>
          <w:rFonts w:ascii="Arial" w:hAnsi="Arial" w:cs="Arial"/>
          <w:lang w:eastAsia="en-US"/>
        </w:rPr>
        <w:t>Lastly, this theme is directly related to the other results of this dissertation. It is directly connected to the theme of clinical effectiveness, as long-term engagement is frequently required to reduce the symptoms, and the theme of ethics and regulation, as accessibility, equity, and data privacy also affect the level of trust and the desire to participate. This is why the user engagement, retention, and accessibility are the key to the answer to the central research question</w:t>
      </w:r>
      <w:r w:rsidR="003627CF" w:rsidRPr="0016460E">
        <w:rPr>
          <w:rFonts w:ascii="Arial" w:hAnsi="Arial" w:cs="Arial"/>
          <w:lang w:eastAsia="en-US"/>
        </w:rPr>
        <w:t xml:space="preserve"> as </w:t>
      </w:r>
      <w:r w:rsidRPr="0016460E">
        <w:rPr>
          <w:rFonts w:ascii="Arial" w:hAnsi="Arial" w:cs="Arial"/>
          <w:lang w:eastAsia="en-US"/>
        </w:rPr>
        <w:t>not whether mental health applications on the mobile can be effective, but whom, and under which conditions, and with what practical outcomes.</w:t>
      </w:r>
    </w:p>
    <w:p w14:paraId="3CADB6AC" w14:textId="3CF8083F" w:rsidR="001C3AF6" w:rsidRPr="00C959FE" w:rsidRDefault="001C3AF6" w:rsidP="00CF01E1">
      <w:pPr>
        <w:pStyle w:val="Heading2"/>
        <w:numPr>
          <w:ilvl w:val="1"/>
          <w:numId w:val="153"/>
        </w:numPr>
        <w:spacing w:before="240" w:after="160"/>
        <w:jc w:val="left"/>
        <w:rPr>
          <w:rFonts w:ascii="Arial" w:hAnsi="Arial" w:cs="Arial"/>
          <w:b/>
          <w:bCs/>
          <w:color w:val="auto"/>
          <w:sz w:val="28"/>
          <w:szCs w:val="28"/>
        </w:rPr>
      </w:pPr>
      <w:bookmarkStart w:id="54" w:name="_Toc222989923"/>
      <w:bookmarkStart w:id="55" w:name="_Toc222997209"/>
      <w:r w:rsidRPr="00C959FE">
        <w:rPr>
          <w:rFonts w:ascii="Arial" w:hAnsi="Arial" w:cs="Arial"/>
          <w:b/>
          <w:bCs/>
          <w:color w:val="auto"/>
          <w:sz w:val="28"/>
          <w:szCs w:val="28"/>
        </w:rPr>
        <w:lastRenderedPageBreak/>
        <w:t>Theme 3</w:t>
      </w:r>
      <w:r w:rsidR="00EE2CB7" w:rsidRPr="00C959FE">
        <w:rPr>
          <w:rFonts w:ascii="Arial" w:hAnsi="Arial" w:cs="Arial"/>
          <w:b/>
          <w:bCs/>
          <w:color w:val="auto"/>
          <w:sz w:val="28"/>
          <w:szCs w:val="28"/>
        </w:rPr>
        <w:t>: Ethical, Regulatory and Clinical Integration Challenges</w:t>
      </w:r>
      <w:bookmarkEnd w:id="54"/>
      <w:bookmarkEnd w:id="55"/>
      <w:r w:rsidRPr="00C959FE">
        <w:rPr>
          <w:rFonts w:ascii="Arial" w:hAnsi="Arial" w:cs="Arial"/>
          <w:b/>
          <w:bCs/>
          <w:color w:val="auto"/>
          <w:sz w:val="28"/>
          <w:szCs w:val="28"/>
        </w:rPr>
        <w:t xml:space="preserve"> </w:t>
      </w:r>
    </w:p>
    <w:p w14:paraId="670F6AA0" w14:textId="62C12011" w:rsidR="004669DC" w:rsidRPr="0016460E" w:rsidRDefault="004669DC" w:rsidP="00CF01E1">
      <w:pPr>
        <w:spacing w:before="240"/>
        <w:jc w:val="left"/>
        <w:rPr>
          <w:rFonts w:ascii="Arial" w:hAnsi="Arial" w:cs="Arial"/>
          <w:lang w:eastAsia="en-US"/>
        </w:rPr>
      </w:pPr>
      <w:r w:rsidRPr="0016460E">
        <w:rPr>
          <w:rFonts w:ascii="Arial" w:hAnsi="Arial" w:cs="Arial"/>
          <w:lang w:eastAsia="en-US"/>
        </w:rPr>
        <w:t>Ethical, regulatory and clinical integration issues can be defined as the range of problems that come up at the time the mobile mental health applications leave the experimental stage and enter the field of real-life application in the health and social care systems</w:t>
      </w:r>
      <w:r w:rsidR="00645CD6" w:rsidRPr="0016460E">
        <w:rPr>
          <w:rFonts w:ascii="Arial" w:hAnsi="Arial" w:cs="Arial"/>
          <w:lang w:eastAsia="en-US"/>
        </w:rPr>
        <w:t xml:space="preserve"> (Mennella et al., 2024)</w:t>
      </w:r>
      <w:r w:rsidRPr="0016460E">
        <w:rPr>
          <w:rFonts w:ascii="Arial" w:hAnsi="Arial" w:cs="Arial"/>
          <w:lang w:eastAsia="en-US"/>
        </w:rPr>
        <w:t xml:space="preserve">. These are data privacy and data security, clinical safety, claims transparency, access equitability, and to what degree the apps are regulated by community-sounding standards, which are comparable to the standards imposed on medicines, or medical equipment. Practically, they determine how much mental health apps can be relied upon, approved and safely incorporated into routine care or whether the apps will continue to be </w:t>
      </w:r>
      <w:r w:rsidR="009477AD" w:rsidRPr="0016460E">
        <w:rPr>
          <w:rFonts w:ascii="Arial" w:hAnsi="Arial" w:cs="Arial"/>
          <w:lang w:eastAsia="en-US"/>
        </w:rPr>
        <w:t>loosely regulated</w:t>
      </w:r>
      <w:r w:rsidRPr="0016460E">
        <w:rPr>
          <w:rFonts w:ascii="Arial" w:hAnsi="Arial" w:cs="Arial"/>
          <w:lang w:eastAsia="en-US"/>
        </w:rPr>
        <w:t xml:space="preserve"> consumer products with questionable benefit and harm</w:t>
      </w:r>
      <w:r w:rsidR="007E4646" w:rsidRPr="0016460E">
        <w:rPr>
          <w:rFonts w:ascii="Arial" w:hAnsi="Arial" w:cs="Arial"/>
          <w:lang w:eastAsia="en-US"/>
        </w:rPr>
        <w:t xml:space="preserve"> (Psychiatric Times, 2026)</w:t>
      </w:r>
      <w:r w:rsidRPr="0016460E">
        <w:rPr>
          <w:rFonts w:ascii="Arial" w:hAnsi="Arial" w:cs="Arial"/>
          <w:lang w:eastAsia="en-US"/>
        </w:rPr>
        <w:t>.</w:t>
      </w:r>
    </w:p>
    <w:p w14:paraId="557A73B6" w14:textId="04F22D2D" w:rsidR="004669DC" w:rsidRPr="0016460E" w:rsidRDefault="004669DC" w:rsidP="00CF01E1">
      <w:pPr>
        <w:spacing w:before="240"/>
        <w:jc w:val="left"/>
        <w:rPr>
          <w:rFonts w:ascii="Arial" w:hAnsi="Arial" w:cs="Arial"/>
          <w:lang w:eastAsia="en-US"/>
        </w:rPr>
      </w:pPr>
      <w:r w:rsidRPr="0016460E">
        <w:rPr>
          <w:rFonts w:ascii="Arial" w:hAnsi="Arial" w:cs="Arial"/>
          <w:lang w:eastAsia="en-US"/>
        </w:rPr>
        <w:t xml:space="preserve">In the past, this saw the development of mental health apps that were mostly unregulated in commercial markets where technology changed faster than law. The early assessments were made based on usability and symptom reduction and there was much less emphasis on data governance and clinical risk. This loophole was evident when empirical research started to investigate the actual activities of an app on user data. In a JAMA Network Open study of </w:t>
      </w:r>
      <w:r w:rsidR="009477AD" w:rsidRPr="0016460E">
        <w:rPr>
          <w:rFonts w:ascii="Arial" w:hAnsi="Arial" w:cs="Arial"/>
          <w:lang w:eastAsia="en-US"/>
        </w:rPr>
        <w:t>favourite</w:t>
      </w:r>
      <w:r w:rsidRPr="0016460E">
        <w:rPr>
          <w:rFonts w:ascii="Arial" w:hAnsi="Arial" w:cs="Arial"/>
          <w:lang w:eastAsia="en-US"/>
        </w:rPr>
        <w:t xml:space="preserve"> depression and smoking cessation apps, </w:t>
      </w:r>
      <w:proofErr w:type="spellStart"/>
      <w:r w:rsidRPr="0016460E">
        <w:rPr>
          <w:rFonts w:ascii="Arial" w:hAnsi="Arial" w:cs="Arial"/>
          <w:lang w:eastAsia="en-US"/>
        </w:rPr>
        <w:t>Huckvale</w:t>
      </w:r>
      <w:proofErr w:type="spellEnd"/>
      <w:r w:rsidRPr="0016460E">
        <w:rPr>
          <w:rFonts w:ascii="Arial" w:hAnsi="Arial" w:cs="Arial"/>
          <w:lang w:eastAsia="en-US"/>
        </w:rPr>
        <w:t xml:space="preserve"> et al. (2019) discovered that most of them shared user information with third parties, in many instances without sufficient disclosure in privacy policies, and that only a small percentage of applications offered specific tools that the user could use to control information sharing</w:t>
      </w:r>
      <w:r w:rsidR="003F3353" w:rsidRPr="0016460E">
        <w:rPr>
          <w:rFonts w:ascii="Arial" w:hAnsi="Arial" w:cs="Arial"/>
          <w:lang w:eastAsia="en-US"/>
        </w:rPr>
        <w:t xml:space="preserve"> (</w:t>
      </w:r>
      <w:proofErr w:type="spellStart"/>
      <w:r w:rsidR="003F3353" w:rsidRPr="0016460E">
        <w:rPr>
          <w:rFonts w:ascii="Arial" w:hAnsi="Arial" w:cs="Arial"/>
          <w:lang w:eastAsia="en-US"/>
        </w:rPr>
        <w:t>Huckvale</w:t>
      </w:r>
      <w:proofErr w:type="spellEnd"/>
      <w:r w:rsidR="003F3353" w:rsidRPr="0016460E">
        <w:rPr>
          <w:rFonts w:ascii="Arial" w:hAnsi="Arial" w:cs="Arial"/>
          <w:lang w:eastAsia="en-US"/>
        </w:rPr>
        <w:t xml:space="preserve">, </w:t>
      </w:r>
      <w:proofErr w:type="spellStart"/>
      <w:r w:rsidR="003F3353" w:rsidRPr="0016460E">
        <w:rPr>
          <w:rFonts w:ascii="Arial" w:hAnsi="Arial" w:cs="Arial"/>
          <w:lang w:eastAsia="en-US"/>
        </w:rPr>
        <w:t>Torous</w:t>
      </w:r>
      <w:proofErr w:type="spellEnd"/>
      <w:r w:rsidR="003F3353" w:rsidRPr="0016460E">
        <w:rPr>
          <w:rFonts w:ascii="Arial" w:hAnsi="Arial" w:cs="Arial"/>
          <w:lang w:eastAsia="en-US"/>
        </w:rPr>
        <w:t xml:space="preserve"> and Larsen, 2019)</w:t>
      </w:r>
      <w:r w:rsidRPr="0016460E">
        <w:rPr>
          <w:rFonts w:ascii="Arial" w:hAnsi="Arial" w:cs="Arial"/>
          <w:lang w:eastAsia="en-US"/>
        </w:rPr>
        <w:t>. Tangari et al. (2021) added to these issues with a cross-sectional study of more than 20,000 m-health apps in the BMJ, stating that data was frequently shared with third parties and that even those apps that were previously NHS-accredited had poor privacy policies</w:t>
      </w:r>
      <w:r w:rsidR="00C1760C" w:rsidRPr="0016460E">
        <w:rPr>
          <w:rFonts w:ascii="Arial" w:hAnsi="Arial" w:cs="Arial"/>
          <w:lang w:eastAsia="en-US"/>
        </w:rPr>
        <w:t xml:space="preserve"> (Tangari et al., 2021)</w:t>
      </w:r>
      <w:r w:rsidRPr="0016460E">
        <w:rPr>
          <w:rFonts w:ascii="Arial" w:hAnsi="Arial" w:cs="Arial"/>
          <w:lang w:eastAsia="en-US"/>
        </w:rPr>
        <w:t>. These results reveal a fundamental ethical dilemma</w:t>
      </w:r>
      <w:r w:rsidR="008B7AEF" w:rsidRPr="0016460E">
        <w:rPr>
          <w:rFonts w:ascii="Arial" w:hAnsi="Arial" w:cs="Arial"/>
          <w:lang w:eastAsia="en-US"/>
        </w:rPr>
        <w:t xml:space="preserve"> as </w:t>
      </w:r>
      <w:r w:rsidRPr="0016460E">
        <w:rPr>
          <w:rFonts w:ascii="Arial" w:hAnsi="Arial" w:cs="Arial"/>
          <w:lang w:eastAsia="en-US"/>
        </w:rPr>
        <w:t xml:space="preserve">the instruments that are supposed to be helpful to the vulnerable users </w:t>
      </w:r>
      <w:proofErr w:type="gramStart"/>
      <w:r w:rsidRPr="0016460E">
        <w:rPr>
          <w:rFonts w:ascii="Arial" w:hAnsi="Arial" w:cs="Arial"/>
          <w:lang w:eastAsia="en-US"/>
        </w:rPr>
        <w:t>actually glean</w:t>
      </w:r>
      <w:proofErr w:type="gramEnd"/>
      <w:r w:rsidRPr="0016460E">
        <w:rPr>
          <w:rFonts w:ascii="Arial" w:hAnsi="Arial" w:cs="Arial"/>
          <w:lang w:eastAsia="en-US"/>
        </w:rPr>
        <w:t xml:space="preserve"> sensitive data in a manner that is neither completely transparent nor readily manageable.</w:t>
      </w:r>
    </w:p>
    <w:p w14:paraId="55B5E30F" w14:textId="435006FC" w:rsidR="004669DC" w:rsidRPr="0016460E" w:rsidRDefault="009D4994" w:rsidP="00CF01E1">
      <w:pPr>
        <w:spacing w:before="240"/>
        <w:jc w:val="left"/>
        <w:rPr>
          <w:rFonts w:ascii="Arial" w:hAnsi="Arial" w:cs="Arial"/>
          <w:lang w:eastAsia="en-US"/>
        </w:rPr>
      </w:pPr>
      <w:r w:rsidRPr="0016460E">
        <w:rPr>
          <w:rFonts w:ascii="Arial" w:hAnsi="Arial" w:cs="Arial"/>
          <w:lang w:eastAsia="en-US"/>
        </w:rPr>
        <w:t>The issue of safety reporting and regulatory oversight in mobile mental health applications is still of concern in practice</w:t>
      </w:r>
      <w:r w:rsidR="00790AD9" w:rsidRPr="0016460E">
        <w:rPr>
          <w:rFonts w:ascii="Arial" w:hAnsi="Arial" w:cs="Arial"/>
          <w:lang w:eastAsia="en-US"/>
        </w:rPr>
        <w:t>. I</w:t>
      </w:r>
      <w:r w:rsidRPr="0016460E">
        <w:rPr>
          <w:rFonts w:ascii="Arial" w:hAnsi="Arial" w:cs="Arial"/>
          <w:lang w:eastAsia="en-US"/>
        </w:rPr>
        <w:t xml:space="preserve">n 2015 the NHS Apps Library had to be closed temporarily following independent reviews that found that </w:t>
      </w:r>
      <w:proofErr w:type="gramStart"/>
      <w:r w:rsidRPr="0016460E">
        <w:rPr>
          <w:rFonts w:ascii="Arial" w:hAnsi="Arial" w:cs="Arial"/>
          <w:lang w:eastAsia="en-US"/>
        </w:rPr>
        <w:t>a number of</w:t>
      </w:r>
      <w:proofErr w:type="gramEnd"/>
      <w:r w:rsidRPr="0016460E">
        <w:rPr>
          <w:rFonts w:ascii="Arial" w:hAnsi="Arial" w:cs="Arial"/>
          <w:lang w:eastAsia="en-US"/>
        </w:rPr>
        <w:t xml:space="preserve"> health apps listed on the site were sending user information without proper encryption or clear privacy protection</w:t>
      </w:r>
      <w:r w:rsidR="003D111F" w:rsidRPr="0016460E">
        <w:rPr>
          <w:rFonts w:ascii="Arial" w:hAnsi="Arial" w:cs="Arial"/>
          <w:lang w:eastAsia="en-US"/>
        </w:rPr>
        <w:t xml:space="preserve"> (The Guardian, 2015)</w:t>
      </w:r>
      <w:r w:rsidRPr="0016460E">
        <w:rPr>
          <w:rFonts w:ascii="Arial" w:hAnsi="Arial" w:cs="Arial"/>
          <w:lang w:eastAsia="en-US"/>
        </w:rPr>
        <w:t xml:space="preserve">. This contributed to the reconsideration of digital health governance processes in the UK and the subsequent implementation of more stringent assessment </w:t>
      </w:r>
      <w:r w:rsidRPr="0016460E">
        <w:rPr>
          <w:rFonts w:ascii="Arial" w:hAnsi="Arial" w:cs="Arial"/>
          <w:lang w:eastAsia="en-US"/>
        </w:rPr>
        <w:lastRenderedPageBreak/>
        <w:t>processes including the NHS Digital Technology Assessment Criteria (DTAC). Likewise, some concerns have been expressed on the international stage regarding the absence of compulsory post-market surveillance of mental health apps, i.e. unlike the pharmaceutical products, there is no standardized system that would ask the developer to monitor and report the adverse psychological effects of an app once it is publicly accessible</w:t>
      </w:r>
      <w:r w:rsidR="00F5681E" w:rsidRPr="0016460E">
        <w:rPr>
          <w:rFonts w:ascii="Arial" w:hAnsi="Arial" w:cs="Arial"/>
          <w:lang w:eastAsia="en-US"/>
        </w:rPr>
        <w:t xml:space="preserve"> (Iwaya et al., 2022)</w:t>
      </w:r>
      <w:r w:rsidRPr="0016460E">
        <w:rPr>
          <w:rFonts w:ascii="Arial" w:hAnsi="Arial" w:cs="Arial"/>
          <w:lang w:eastAsia="en-US"/>
        </w:rPr>
        <w:t>. Most mental health apps are typically regulated like wellness products as being of low risk by regulatory bodies such as the UK Medicines and Healthcare products Regulatory Agency (MHRA) and the U.S. Food and Drug Administration (FDA) unless they fit a defined set of medical device criteria, restricting the level of formal safety assessment that may be required before launching the product to the market</w:t>
      </w:r>
      <w:r w:rsidR="00B40599" w:rsidRPr="0016460E">
        <w:rPr>
          <w:rFonts w:ascii="Arial" w:hAnsi="Arial" w:cs="Arial"/>
          <w:lang w:eastAsia="en-US"/>
        </w:rPr>
        <w:t xml:space="preserve"> (GOV.UK, 2026)</w:t>
      </w:r>
      <w:r w:rsidRPr="0016460E">
        <w:rPr>
          <w:rFonts w:ascii="Arial" w:hAnsi="Arial" w:cs="Arial"/>
          <w:lang w:eastAsia="en-US"/>
        </w:rPr>
        <w:t>. The case studies of these real-world regulatory changes indicate that digital mental health technologies are in the context of changing regulatory systems, and no formal structures of safety surveillance analogous to pharmacovigilance have existed yet.</w:t>
      </w:r>
    </w:p>
    <w:p w14:paraId="3DD49D67" w14:textId="56FEB20C" w:rsidR="004669DC" w:rsidRPr="0016460E" w:rsidRDefault="004669DC" w:rsidP="00CF01E1">
      <w:pPr>
        <w:spacing w:before="240"/>
        <w:jc w:val="left"/>
        <w:rPr>
          <w:rFonts w:ascii="Arial" w:hAnsi="Arial" w:cs="Arial"/>
          <w:lang w:eastAsia="en-US"/>
        </w:rPr>
      </w:pPr>
      <w:r w:rsidRPr="0016460E">
        <w:rPr>
          <w:rFonts w:ascii="Arial" w:hAnsi="Arial" w:cs="Arial"/>
          <w:lang w:eastAsia="en-US"/>
        </w:rPr>
        <w:t>International institutions have been starting to frame governance principles of digital health at the policy level. The Global Strategy on Digital Health 2020</w:t>
      </w:r>
      <w:r w:rsidR="009F5A95" w:rsidRPr="0016460E">
        <w:rPr>
          <w:rFonts w:ascii="Arial" w:hAnsi="Arial" w:cs="Arial"/>
          <w:lang w:eastAsia="en-US"/>
        </w:rPr>
        <w:t>-</w:t>
      </w:r>
      <w:r w:rsidRPr="0016460E">
        <w:rPr>
          <w:rFonts w:ascii="Arial" w:hAnsi="Arial" w:cs="Arial"/>
          <w:lang w:eastAsia="en-US"/>
        </w:rPr>
        <w:t>2025 by the World Health Organization demands greater governance of digital health, with data protection, patient safety and equity being the preconditions of responsible use of technologies</w:t>
      </w:r>
      <w:r w:rsidR="000A66F0" w:rsidRPr="0016460E">
        <w:rPr>
          <w:rFonts w:ascii="Arial" w:hAnsi="Arial" w:cs="Arial"/>
          <w:lang w:eastAsia="en-US"/>
        </w:rPr>
        <w:t xml:space="preserve"> (World Health Organization, 2021)</w:t>
      </w:r>
      <w:r w:rsidRPr="0016460E">
        <w:rPr>
          <w:rFonts w:ascii="Arial" w:hAnsi="Arial" w:cs="Arial"/>
          <w:lang w:eastAsia="en-US"/>
        </w:rPr>
        <w:t xml:space="preserve">. It acknowledges that digital tools are poorly managed tools that can contribute to the growth of inequities and lack of trust. More tangible mechanisms have been implemented within </w:t>
      </w:r>
      <w:proofErr w:type="gramStart"/>
      <w:r w:rsidRPr="0016460E">
        <w:rPr>
          <w:rFonts w:ascii="Arial" w:hAnsi="Arial" w:cs="Arial"/>
          <w:lang w:eastAsia="en-US"/>
        </w:rPr>
        <w:t>a number of</w:t>
      </w:r>
      <w:proofErr w:type="gramEnd"/>
      <w:r w:rsidRPr="0016460E">
        <w:rPr>
          <w:rFonts w:ascii="Arial" w:hAnsi="Arial" w:cs="Arial"/>
          <w:lang w:eastAsia="en-US"/>
        </w:rPr>
        <w:t xml:space="preserve"> health systems nationally. The NHS Digital Technology Assessment Criteria (DTAC) is a national standard of digital health technologies in England, where products utilized in the NHS must be shown to adhere to a set of five areas, namely clinical safety, data protection, technical security, interoperability, and usability and accessibility</w:t>
      </w:r>
      <w:r w:rsidR="006C0CDD" w:rsidRPr="0016460E">
        <w:rPr>
          <w:rFonts w:ascii="Arial" w:hAnsi="Arial" w:cs="Arial"/>
          <w:lang w:eastAsia="en-US"/>
        </w:rPr>
        <w:t xml:space="preserve"> (NHS England, 2021)</w:t>
      </w:r>
      <w:r w:rsidRPr="0016460E">
        <w:rPr>
          <w:rFonts w:ascii="Arial" w:hAnsi="Arial" w:cs="Arial"/>
          <w:lang w:eastAsia="en-US"/>
        </w:rPr>
        <w:t>. The products failing to meet these requirements will not be used by NHS, and the vendors are supposed to submit documentation in the form of data protection impact assessment report and clinical safety report. These frameworks can be considered efforts to encode ethical principles into useful gatekeeping instruments, although these are not currently universally implemented in countries or commercial applications stores.</w:t>
      </w:r>
    </w:p>
    <w:p w14:paraId="20A741ED" w14:textId="4E52FB49" w:rsidR="004669DC" w:rsidRPr="0016460E" w:rsidRDefault="004669DC" w:rsidP="00CF01E1">
      <w:pPr>
        <w:spacing w:before="240"/>
        <w:jc w:val="left"/>
        <w:rPr>
          <w:rFonts w:ascii="Arial" w:hAnsi="Arial" w:cs="Arial"/>
          <w:lang w:eastAsia="en-US"/>
        </w:rPr>
      </w:pPr>
      <w:r w:rsidRPr="0016460E">
        <w:rPr>
          <w:rFonts w:ascii="Arial" w:hAnsi="Arial" w:cs="Arial"/>
          <w:lang w:eastAsia="en-US"/>
        </w:rPr>
        <w:t xml:space="preserve">Both advances and current challenges are demonstrated by real-life case studies. Apps that had initially been listed in the NHS App Library were reviewed </w:t>
      </w:r>
      <w:proofErr w:type="gramStart"/>
      <w:r w:rsidRPr="0016460E">
        <w:rPr>
          <w:rFonts w:ascii="Arial" w:hAnsi="Arial" w:cs="Arial"/>
          <w:lang w:eastAsia="en-US"/>
        </w:rPr>
        <w:t>again, and</w:t>
      </w:r>
      <w:proofErr w:type="gramEnd"/>
      <w:r w:rsidRPr="0016460E">
        <w:rPr>
          <w:rFonts w:ascii="Arial" w:hAnsi="Arial" w:cs="Arial"/>
          <w:lang w:eastAsia="en-US"/>
        </w:rPr>
        <w:t xml:space="preserve"> were occasionally removed due to independent research finding poor privacy security or false claims and leading to stricter assessment procedures</w:t>
      </w:r>
      <w:r w:rsidR="00D9772A" w:rsidRPr="0016460E">
        <w:rPr>
          <w:rFonts w:ascii="Arial" w:hAnsi="Arial" w:cs="Arial"/>
          <w:lang w:eastAsia="en-US"/>
        </w:rPr>
        <w:t xml:space="preserve"> (Wyatt, 2018)</w:t>
      </w:r>
      <w:r w:rsidRPr="0016460E">
        <w:rPr>
          <w:rFonts w:ascii="Arial" w:hAnsi="Arial" w:cs="Arial"/>
          <w:lang w:eastAsia="en-US"/>
        </w:rPr>
        <w:t xml:space="preserve">. On the other hand, there are other clinically proven digital CBT programmes that involve delivery of guided online therapy in IAPT services or national ones such as </w:t>
      </w:r>
      <w:proofErr w:type="spellStart"/>
      <w:r w:rsidRPr="0016460E">
        <w:rPr>
          <w:rFonts w:ascii="Arial" w:hAnsi="Arial" w:cs="Arial"/>
          <w:lang w:eastAsia="en-US"/>
        </w:rPr>
        <w:t>MindSpot</w:t>
      </w:r>
      <w:proofErr w:type="spellEnd"/>
      <w:r w:rsidRPr="0016460E">
        <w:rPr>
          <w:rFonts w:ascii="Arial" w:hAnsi="Arial" w:cs="Arial"/>
          <w:lang w:eastAsia="en-US"/>
        </w:rPr>
        <w:t xml:space="preserve"> and </w:t>
      </w:r>
      <w:proofErr w:type="spellStart"/>
      <w:r w:rsidRPr="0016460E">
        <w:rPr>
          <w:rFonts w:ascii="Arial" w:hAnsi="Arial" w:cs="Arial"/>
          <w:lang w:eastAsia="en-US"/>
        </w:rPr>
        <w:t>SilverCloud</w:t>
      </w:r>
      <w:proofErr w:type="spellEnd"/>
      <w:r w:rsidRPr="0016460E">
        <w:rPr>
          <w:rFonts w:ascii="Arial" w:hAnsi="Arial" w:cs="Arial"/>
          <w:lang w:eastAsia="en-US"/>
        </w:rPr>
        <w:t xml:space="preserve"> that have shown that </w:t>
      </w:r>
      <w:r w:rsidRPr="0016460E">
        <w:rPr>
          <w:rFonts w:ascii="Arial" w:hAnsi="Arial" w:cs="Arial"/>
          <w:lang w:eastAsia="en-US"/>
        </w:rPr>
        <w:lastRenderedPageBreak/>
        <w:t>regulatory compliance and clinical oversight and scales of clinical benefit can be combined</w:t>
      </w:r>
      <w:r w:rsidR="00B7228D" w:rsidRPr="0016460E">
        <w:rPr>
          <w:rFonts w:ascii="Arial" w:hAnsi="Arial" w:cs="Arial"/>
          <w:lang w:eastAsia="en-US"/>
        </w:rPr>
        <w:t xml:space="preserve"> (Thew, Rozental and </w:t>
      </w:r>
      <w:proofErr w:type="spellStart"/>
      <w:r w:rsidR="00B7228D" w:rsidRPr="0016460E">
        <w:rPr>
          <w:rFonts w:ascii="Arial" w:hAnsi="Arial" w:cs="Arial"/>
          <w:lang w:eastAsia="en-US"/>
        </w:rPr>
        <w:t>Hadjistavropoulos</w:t>
      </w:r>
      <w:proofErr w:type="spellEnd"/>
      <w:r w:rsidR="00B7228D" w:rsidRPr="0016460E">
        <w:rPr>
          <w:rFonts w:ascii="Arial" w:hAnsi="Arial" w:cs="Arial"/>
          <w:lang w:eastAsia="en-US"/>
        </w:rPr>
        <w:t>, 2022)</w:t>
      </w:r>
      <w:r w:rsidRPr="0016460E">
        <w:rPr>
          <w:rFonts w:ascii="Arial" w:hAnsi="Arial" w:cs="Arial"/>
          <w:lang w:eastAsia="en-US"/>
        </w:rPr>
        <w:t>. These services are usually guided by health system, there is a definite clinical responsibility, documented safety measures and connection with established care pathways which are very different compared to stand-alone commercial applications that are not regulated at all.</w:t>
      </w:r>
    </w:p>
    <w:p w14:paraId="4B98DBD7" w14:textId="34E262AB" w:rsidR="004669DC" w:rsidRPr="0016460E" w:rsidRDefault="004669DC" w:rsidP="00CF01E1">
      <w:pPr>
        <w:spacing w:before="240"/>
        <w:jc w:val="left"/>
        <w:rPr>
          <w:rFonts w:ascii="Arial" w:hAnsi="Arial" w:cs="Arial"/>
          <w:lang w:eastAsia="en-US"/>
        </w:rPr>
      </w:pPr>
      <w:r w:rsidRPr="0016460E">
        <w:rPr>
          <w:rFonts w:ascii="Arial" w:hAnsi="Arial" w:cs="Arial"/>
          <w:lang w:eastAsia="en-US"/>
        </w:rPr>
        <w:t>In theory, ethical and regulatory problems with mental health apps are intertwined with the general discussion of digital health justice and human rights. Models like the AAAQ (Availability, Accessibility, Acceptability and Quality) used in the reviews of mental health apps in low</w:t>
      </w:r>
      <w:r w:rsidR="00A60F96" w:rsidRPr="0016460E">
        <w:rPr>
          <w:rFonts w:ascii="Arial" w:hAnsi="Arial" w:cs="Arial"/>
          <w:lang w:eastAsia="en-US"/>
        </w:rPr>
        <w:t xml:space="preserve"> </w:t>
      </w:r>
      <w:r w:rsidRPr="0016460E">
        <w:rPr>
          <w:rFonts w:ascii="Arial" w:hAnsi="Arial" w:cs="Arial"/>
          <w:lang w:eastAsia="en-US"/>
        </w:rPr>
        <w:t>and middle-income countries provide insights that the digital tools do not only need to be available but address sources of privacy, being culturally acceptable, and maintaining a stable quality level</w:t>
      </w:r>
      <w:r w:rsidR="00476FF5" w:rsidRPr="0016460E">
        <w:rPr>
          <w:rFonts w:ascii="Arial" w:hAnsi="Arial" w:cs="Arial"/>
          <w:lang w:eastAsia="en-US"/>
        </w:rPr>
        <w:t xml:space="preserve"> (Gama, 2023)</w:t>
      </w:r>
      <w:r w:rsidRPr="0016460E">
        <w:rPr>
          <w:rFonts w:ascii="Arial" w:hAnsi="Arial" w:cs="Arial"/>
          <w:lang w:eastAsia="en-US"/>
        </w:rPr>
        <w:t xml:space="preserve">. Reflecting on AI in mental health, </w:t>
      </w:r>
      <w:proofErr w:type="spellStart"/>
      <w:r w:rsidRPr="0016460E">
        <w:rPr>
          <w:rFonts w:ascii="Arial" w:hAnsi="Arial" w:cs="Arial"/>
          <w:lang w:eastAsia="en-US"/>
        </w:rPr>
        <w:t>Fanarioti</w:t>
      </w:r>
      <w:proofErr w:type="spellEnd"/>
      <w:r w:rsidRPr="0016460E">
        <w:rPr>
          <w:rFonts w:ascii="Arial" w:hAnsi="Arial" w:cs="Arial"/>
          <w:lang w:eastAsia="en-US"/>
        </w:rPr>
        <w:t xml:space="preserve"> et al. (2025) posit that, unless regulated expressly and provided with ethical constraints, more sophisticated digital applications can </w:t>
      </w:r>
      <w:r w:rsidR="009477AD" w:rsidRPr="0016460E">
        <w:rPr>
          <w:rFonts w:ascii="Arial" w:hAnsi="Arial" w:cs="Arial"/>
          <w:lang w:eastAsia="en-US"/>
        </w:rPr>
        <w:t>in still</w:t>
      </w:r>
      <w:r w:rsidRPr="0016460E">
        <w:rPr>
          <w:rFonts w:ascii="Arial" w:hAnsi="Arial" w:cs="Arial"/>
          <w:lang w:eastAsia="en-US"/>
        </w:rPr>
        <w:t xml:space="preserve"> biases, destroy informed consent and transfer responsibility of care off the systems onto individuals</w:t>
      </w:r>
      <w:r w:rsidR="00CB7514" w:rsidRPr="0016460E">
        <w:rPr>
          <w:rFonts w:ascii="Arial" w:hAnsi="Arial" w:cs="Arial"/>
          <w:lang w:eastAsia="en-US"/>
        </w:rPr>
        <w:t xml:space="preserve"> (</w:t>
      </w:r>
      <w:proofErr w:type="spellStart"/>
      <w:r w:rsidR="00CB7514" w:rsidRPr="0016460E">
        <w:rPr>
          <w:rFonts w:ascii="Arial" w:hAnsi="Arial" w:cs="Arial"/>
          <w:lang w:eastAsia="en-US"/>
        </w:rPr>
        <w:t>Fanarioti</w:t>
      </w:r>
      <w:proofErr w:type="spellEnd"/>
      <w:r w:rsidR="00CB7514" w:rsidRPr="0016460E">
        <w:rPr>
          <w:rFonts w:ascii="Arial" w:hAnsi="Arial" w:cs="Arial"/>
          <w:lang w:eastAsia="en-US"/>
        </w:rPr>
        <w:t xml:space="preserve"> and </w:t>
      </w:r>
      <w:proofErr w:type="spellStart"/>
      <w:r w:rsidR="00CB7514" w:rsidRPr="0016460E">
        <w:rPr>
          <w:rFonts w:ascii="Arial" w:hAnsi="Arial" w:cs="Arial"/>
          <w:lang w:eastAsia="en-US"/>
        </w:rPr>
        <w:t>Karpouzis</w:t>
      </w:r>
      <w:proofErr w:type="spellEnd"/>
      <w:r w:rsidR="00CB7514" w:rsidRPr="0016460E">
        <w:rPr>
          <w:rFonts w:ascii="Arial" w:hAnsi="Arial" w:cs="Arial"/>
          <w:lang w:eastAsia="en-US"/>
        </w:rPr>
        <w:t>, 2025)</w:t>
      </w:r>
      <w:r w:rsidRPr="0016460E">
        <w:rPr>
          <w:rFonts w:ascii="Arial" w:hAnsi="Arial" w:cs="Arial"/>
          <w:lang w:eastAsia="en-US"/>
        </w:rPr>
        <w:t>. These views highlight the fact that regulation is a bureaucratic barrier, but it is also an instrument to safeguard vulnerable users and to make digital innovation consistent with the primary values of health and social care.</w:t>
      </w:r>
    </w:p>
    <w:p w14:paraId="4236B088" w14:textId="43B1AADF" w:rsidR="004669DC" w:rsidRPr="0016460E" w:rsidRDefault="004669DC" w:rsidP="00CF01E1">
      <w:pPr>
        <w:spacing w:before="240"/>
        <w:jc w:val="left"/>
        <w:rPr>
          <w:rFonts w:ascii="Arial" w:hAnsi="Arial" w:cs="Arial"/>
          <w:lang w:eastAsia="en-US"/>
        </w:rPr>
      </w:pPr>
      <w:r w:rsidRPr="0016460E">
        <w:rPr>
          <w:rFonts w:ascii="Arial" w:hAnsi="Arial" w:cs="Arial"/>
          <w:lang w:eastAsia="en-US"/>
        </w:rPr>
        <w:t>This theme has important implications on the current research. Concerning the positive aspect, the introduction of such frameworks as the WHO digital health strategy and the NHS DTAC shows that there is an increasing understanding that mental health apps must comply with specified safety, privacy, and quality standards to be approved by health systems</w:t>
      </w:r>
      <w:r w:rsidR="00DC534E" w:rsidRPr="0016460E">
        <w:rPr>
          <w:rFonts w:ascii="Arial" w:hAnsi="Arial" w:cs="Arial"/>
          <w:lang w:eastAsia="en-US"/>
        </w:rPr>
        <w:t xml:space="preserve"> (Unsworth et al., 2021)</w:t>
      </w:r>
      <w:r w:rsidRPr="0016460E">
        <w:rPr>
          <w:rFonts w:ascii="Arial" w:hAnsi="Arial" w:cs="Arial"/>
          <w:lang w:eastAsia="en-US"/>
        </w:rPr>
        <w:t>. When used as in the regulated national programmes, they may enable responsible clinical integration and result in increased trust between patients and clinicians. On the downside, the contemporary global system is still disaggregated</w:t>
      </w:r>
      <w:r w:rsidR="009E1A2E" w:rsidRPr="0016460E">
        <w:rPr>
          <w:rFonts w:ascii="Arial" w:hAnsi="Arial" w:cs="Arial"/>
          <w:lang w:eastAsia="en-US"/>
        </w:rPr>
        <w:t xml:space="preserve"> as </w:t>
      </w:r>
      <w:r w:rsidRPr="0016460E">
        <w:rPr>
          <w:rFonts w:ascii="Arial" w:hAnsi="Arial" w:cs="Arial"/>
          <w:lang w:eastAsia="en-US"/>
        </w:rPr>
        <w:t>most popular applications are not strictly evaluated, no globally imposed criteria of reporting negative outcomes, no business promotion is focused on the number of engagements, data monetisation or speedy growth rather than ethical standards</w:t>
      </w:r>
      <w:r w:rsidR="006B37E2" w:rsidRPr="0016460E">
        <w:rPr>
          <w:rFonts w:ascii="Arial" w:hAnsi="Arial" w:cs="Arial"/>
          <w:lang w:eastAsia="en-US"/>
        </w:rPr>
        <w:t xml:space="preserve"> (Khan et al., 2025)</w:t>
      </w:r>
      <w:r w:rsidRPr="0016460E">
        <w:rPr>
          <w:rFonts w:ascii="Arial" w:hAnsi="Arial" w:cs="Arial"/>
          <w:lang w:eastAsia="en-US"/>
        </w:rPr>
        <w:t>. The risk of this fragmentation is that it could result in two-tier system whereby there are those users that use well-governed, clinically integrated tools and those that use unregulated consumer applications with opaque practices.</w:t>
      </w:r>
    </w:p>
    <w:p w14:paraId="471F1AB0" w14:textId="3F24D11D" w:rsidR="004669DC" w:rsidRPr="0016460E" w:rsidRDefault="004669DC" w:rsidP="00CF01E1">
      <w:pPr>
        <w:spacing w:before="240"/>
        <w:jc w:val="left"/>
        <w:rPr>
          <w:rFonts w:ascii="Arial" w:hAnsi="Arial" w:cs="Arial"/>
          <w:lang w:eastAsia="en-US"/>
        </w:rPr>
      </w:pPr>
      <w:r w:rsidRPr="0016460E">
        <w:rPr>
          <w:rFonts w:ascii="Arial" w:hAnsi="Arial" w:cs="Arial"/>
          <w:lang w:eastAsia="en-US"/>
        </w:rPr>
        <w:t>This theme is related to the previously mentioned themes of clinical effectiveness and user engagement. Ethical and regulatory standards have a direct impact on reporting and interpretation of outcomes</w:t>
      </w:r>
      <w:r w:rsidR="002715FA" w:rsidRPr="0016460E">
        <w:rPr>
          <w:rFonts w:ascii="Arial" w:hAnsi="Arial" w:cs="Arial"/>
          <w:lang w:eastAsia="en-US"/>
        </w:rPr>
        <w:t xml:space="preserve"> as </w:t>
      </w:r>
      <w:r w:rsidRPr="0016460E">
        <w:rPr>
          <w:rFonts w:ascii="Arial" w:hAnsi="Arial" w:cs="Arial"/>
          <w:lang w:eastAsia="en-US"/>
        </w:rPr>
        <w:t xml:space="preserve">when adverse events are under-reported, and privacy policies are shrouded in secrecy, effectiveness can be exaggerated or incomplete. Similarly, confidence in the data management and clinical responsibility will tend to influence </w:t>
      </w:r>
      <w:r w:rsidRPr="0016460E">
        <w:rPr>
          <w:rFonts w:ascii="Arial" w:hAnsi="Arial" w:cs="Arial"/>
          <w:lang w:eastAsia="en-US"/>
        </w:rPr>
        <w:lastRenderedPageBreak/>
        <w:t>participation and retention, especially among the groups that have been discriminated or disadvantaged under the structure</w:t>
      </w:r>
      <w:r w:rsidR="007E2471" w:rsidRPr="0016460E">
        <w:rPr>
          <w:rFonts w:ascii="Arial" w:hAnsi="Arial" w:cs="Arial"/>
          <w:lang w:eastAsia="en-US"/>
        </w:rPr>
        <w:t xml:space="preserve"> (Hawke et al., 2024)</w:t>
      </w:r>
      <w:r w:rsidRPr="0016460E">
        <w:rPr>
          <w:rFonts w:ascii="Arial" w:hAnsi="Arial" w:cs="Arial"/>
          <w:lang w:eastAsia="en-US"/>
        </w:rPr>
        <w:t>. Surveillance fears, abuse of personal information or absence of remedy when all turns wrong could put off the very people who could be most deserving of the readily available aid.</w:t>
      </w:r>
    </w:p>
    <w:p w14:paraId="1DF5A2D3" w14:textId="47DCFE70" w:rsidR="002865F5" w:rsidRPr="0016460E" w:rsidRDefault="004669DC" w:rsidP="00CF01E1">
      <w:pPr>
        <w:spacing w:before="240"/>
        <w:jc w:val="left"/>
        <w:rPr>
          <w:rFonts w:ascii="Arial" w:hAnsi="Arial" w:cs="Arial"/>
          <w:lang w:eastAsia="en-US"/>
        </w:rPr>
      </w:pPr>
      <w:r w:rsidRPr="0016460E">
        <w:rPr>
          <w:rFonts w:ascii="Arial" w:hAnsi="Arial" w:cs="Arial"/>
          <w:lang w:eastAsia="en-US"/>
        </w:rPr>
        <w:t xml:space="preserve">All in all, ethical, regulatory and clinical integration issues do not suggest that mobile mental health applications do not have the possibility to be developed and realised; it is just that they establish the terms in which this possibility can be safely and justly fulfilled. To achieve any significant contribution to the reduction of anxiety, depression and stress in health and social care, these tools need to be in operation in the governance structures that promote transparency, accountability and equity. This necessitates continuous co-operation between developers, regulators, clinicians, service users and policymakers in bridging the gap between aspirational strategy and actual practice, </w:t>
      </w:r>
      <w:proofErr w:type="gramStart"/>
      <w:r w:rsidRPr="0016460E">
        <w:rPr>
          <w:rFonts w:ascii="Arial" w:hAnsi="Arial" w:cs="Arial"/>
          <w:lang w:eastAsia="en-US"/>
        </w:rPr>
        <w:t>and also</w:t>
      </w:r>
      <w:proofErr w:type="gramEnd"/>
      <w:r w:rsidRPr="0016460E">
        <w:rPr>
          <w:rFonts w:ascii="Arial" w:hAnsi="Arial" w:cs="Arial"/>
          <w:lang w:eastAsia="en-US"/>
        </w:rPr>
        <w:t xml:space="preserve"> in ensuring that digital mental health innovations support, rather than compromise, the most important values of care.</w:t>
      </w:r>
    </w:p>
    <w:p w14:paraId="0B7345EE" w14:textId="7171152F" w:rsidR="001C3AF6" w:rsidRPr="00C959FE" w:rsidRDefault="001C3AF6" w:rsidP="00CF01E1">
      <w:pPr>
        <w:pStyle w:val="Heading2"/>
        <w:numPr>
          <w:ilvl w:val="1"/>
          <w:numId w:val="153"/>
        </w:numPr>
        <w:spacing w:before="240" w:after="160"/>
        <w:jc w:val="left"/>
        <w:rPr>
          <w:rFonts w:ascii="Arial" w:hAnsi="Arial" w:cs="Arial"/>
          <w:b/>
          <w:bCs/>
          <w:color w:val="auto"/>
          <w:sz w:val="28"/>
          <w:szCs w:val="28"/>
        </w:rPr>
      </w:pPr>
      <w:bookmarkStart w:id="56" w:name="_Toc222989924"/>
      <w:bookmarkStart w:id="57" w:name="_Toc222997210"/>
      <w:r w:rsidRPr="00C959FE">
        <w:rPr>
          <w:rFonts w:ascii="Arial" w:hAnsi="Arial" w:cs="Arial"/>
          <w:b/>
          <w:bCs/>
          <w:color w:val="auto"/>
          <w:sz w:val="28"/>
          <w:szCs w:val="28"/>
        </w:rPr>
        <w:t>Chapter Conclusion</w:t>
      </w:r>
      <w:bookmarkEnd w:id="56"/>
      <w:bookmarkEnd w:id="57"/>
      <w:r w:rsidRPr="00C959FE">
        <w:rPr>
          <w:rFonts w:ascii="Arial" w:hAnsi="Arial" w:cs="Arial"/>
          <w:b/>
          <w:bCs/>
          <w:color w:val="auto"/>
          <w:sz w:val="28"/>
          <w:szCs w:val="28"/>
        </w:rPr>
        <w:t xml:space="preserve"> </w:t>
      </w:r>
    </w:p>
    <w:p w14:paraId="589DF294" w14:textId="042B6E92" w:rsidR="00CC61DC" w:rsidRPr="0016460E" w:rsidRDefault="005A2795" w:rsidP="00CF01E1">
      <w:pPr>
        <w:spacing w:before="240"/>
        <w:jc w:val="left"/>
        <w:rPr>
          <w:rFonts w:ascii="Arial" w:hAnsi="Arial" w:cs="Arial"/>
          <w:lang w:eastAsia="en-US"/>
        </w:rPr>
      </w:pPr>
      <w:r w:rsidRPr="0016460E">
        <w:rPr>
          <w:rFonts w:ascii="Arial" w:hAnsi="Arial" w:cs="Arial"/>
          <w:lang w:eastAsia="en-US"/>
        </w:rPr>
        <w:t>This chapter has reported and critically debated the primary findings of the thematic analysis of literature on mobile mental health applications. It covered three themes, which include clinical effectiveness and symptom reduction, user engagement, retention and accessibility, and ethical, regulatory and clinical integration issues. Generally, the data shows that apps have the potential to alleviate signs of anxiety, depression and stress, yet the actual effect of its usage in the real world is conditional upon an agreed duration of engagement, equal opportunities, and functioning under the explicit safety, privacy and quality standards. Mobile mental health applications seem to have the most use in the context of a managed, formalized care pathway and not as a consumer product on their own. These findings will be summarized in the next chapter to address the research aim and objectives and make recommendations on practice, policy and future research.</w:t>
      </w:r>
    </w:p>
    <w:p w14:paraId="385331F3" w14:textId="77777777" w:rsidR="00D90F76" w:rsidRPr="0016460E" w:rsidRDefault="00D90F76" w:rsidP="00CF01E1">
      <w:pPr>
        <w:spacing w:before="240"/>
        <w:jc w:val="left"/>
        <w:rPr>
          <w:rFonts w:ascii="Arial" w:hAnsi="Arial" w:cs="Arial"/>
          <w:lang w:eastAsia="en-US"/>
        </w:rPr>
      </w:pPr>
    </w:p>
    <w:p w14:paraId="627ED3BA" w14:textId="77777777" w:rsidR="00B91AE0" w:rsidRPr="0016460E" w:rsidRDefault="00B91AE0" w:rsidP="00CF01E1">
      <w:pPr>
        <w:spacing w:before="240"/>
        <w:jc w:val="left"/>
        <w:rPr>
          <w:rFonts w:ascii="Arial" w:hAnsi="Arial" w:cs="Arial"/>
          <w:lang w:eastAsia="en-US"/>
        </w:rPr>
      </w:pPr>
    </w:p>
    <w:p w14:paraId="5A6056DB" w14:textId="77777777" w:rsidR="00B91AE0" w:rsidRPr="0016460E" w:rsidRDefault="00B91AE0" w:rsidP="00CF01E1">
      <w:pPr>
        <w:spacing w:before="240"/>
        <w:jc w:val="left"/>
        <w:rPr>
          <w:rFonts w:ascii="Arial" w:hAnsi="Arial" w:cs="Arial"/>
          <w:lang w:eastAsia="en-US"/>
        </w:rPr>
      </w:pPr>
    </w:p>
    <w:p w14:paraId="0E763F48" w14:textId="77777777" w:rsidR="00B91AE0" w:rsidRPr="0016460E" w:rsidRDefault="00B91AE0" w:rsidP="00CF01E1">
      <w:pPr>
        <w:spacing w:before="240"/>
        <w:jc w:val="left"/>
        <w:rPr>
          <w:rFonts w:ascii="Arial" w:hAnsi="Arial" w:cs="Arial"/>
          <w:lang w:eastAsia="en-US"/>
        </w:rPr>
      </w:pPr>
    </w:p>
    <w:p w14:paraId="6E912016" w14:textId="77777777" w:rsidR="00B91AE0" w:rsidRPr="0016460E" w:rsidRDefault="00B91AE0" w:rsidP="00CF01E1">
      <w:pPr>
        <w:spacing w:before="240"/>
        <w:jc w:val="left"/>
        <w:rPr>
          <w:rFonts w:ascii="Arial" w:hAnsi="Arial" w:cs="Arial"/>
          <w:lang w:eastAsia="en-US"/>
        </w:rPr>
      </w:pPr>
    </w:p>
    <w:p w14:paraId="103213A1" w14:textId="77777777" w:rsidR="00B91AE0" w:rsidRPr="0016460E" w:rsidRDefault="00B91AE0" w:rsidP="00CF01E1">
      <w:pPr>
        <w:spacing w:before="240"/>
        <w:jc w:val="left"/>
        <w:rPr>
          <w:rFonts w:ascii="Arial" w:hAnsi="Arial" w:cs="Arial"/>
          <w:lang w:eastAsia="en-US"/>
        </w:rPr>
      </w:pPr>
    </w:p>
    <w:p w14:paraId="519EB35A" w14:textId="02A8F210" w:rsidR="00636D9A" w:rsidRPr="00342701" w:rsidRDefault="008662D4" w:rsidP="00CF01E1">
      <w:pPr>
        <w:pStyle w:val="Heading1"/>
        <w:numPr>
          <w:ilvl w:val="0"/>
          <w:numId w:val="153"/>
        </w:numPr>
        <w:spacing w:before="240" w:after="160" w:line="360" w:lineRule="auto"/>
        <w:rPr>
          <w:rFonts w:cs="Arial"/>
        </w:rPr>
      </w:pPr>
      <w:bookmarkStart w:id="58" w:name="_Toc222989925"/>
      <w:bookmarkStart w:id="59" w:name="_Toc222997211"/>
      <w:r w:rsidRPr="00342701">
        <w:rPr>
          <w:rFonts w:cs="Arial"/>
        </w:rPr>
        <w:lastRenderedPageBreak/>
        <w:t xml:space="preserve">Chapter </w:t>
      </w:r>
      <w:r w:rsidR="00636D9A" w:rsidRPr="00342701">
        <w:rPr>
          <w:rFonts w:cs="Arial"/>
        </w:rPr>
        <w:t>5</w:t>
      </w:r>
      <w:r w:rsidR="00515672" w:rsidRPr="00342701">
        <w:rPr>
          <w:rFonts w:cs="Arial"/>
        </w:rPr>
        <w:t>:</w:t>
      </w:r>
      <w:r w:rsidR="00636D9A" w:rsidRPr="00342701">
        <w:rPr>
          <w:rFonts w:cs="Arial"/>
        </w:rPr>
        <w:t xml:space="preserve"> Conclusion and Recommendations</w:t>
      </w:r>
      <w:bookmarkEnd w:id="58"/>
      <w:bookmarkEnd w:id="59"/>
    </w:p>
    <w:p w14:paraId="2C633CBA" w14:textId="7B6A3542" w:rsidR="00636D9A" w:rsidRPr="00544552" w:rsidRDefault="00636D9A" w:rsidP="00CF01E1">
      <w:pPr>
        <w:pStyle w:val="Heading2"/>
        <w:numPr>
          <w:ilvl w:val="1"/>
          <w:numId w:val="153"/>
        </w:numPr>
        <w:spacing w:before="240" w:after="160"/>
        <w:jc w:val="left"/>
        <w:rPr>
          <w:rFonts w:ascii="Arial" w:hAnsi="Arial" w:cs="Arial"/>
          <w:b/>
          <w:bCs/>
          <w:color w:val="auto"/>
          <w:sz w:val="28"/>
          <w:szCs w:val="28"/>
        </w:rPr>
      </w:pPr>
      <w:bookmarkStart w:id="60" w:name="_Toc222989926"/>
      <w:bookmarkStart w:id="61" w:name="_Toc222997212"/>
      <w:r w:rsidRPr="00544552">
        <w:rPr>
          <w:rFonts w:ascii="Arial" w:hAnsi="Arial" w:cs="Arial"/>
          <w:b/>
          <w:bCs/>
          <w:color w:val="auto"/>
          <w:sz w:val="28"/>
          <w:szCs w:val="28"/>
        </w:rPr>
        <w:t>Overall Conclusion</w:t>
      </w:r>
      <w:bookmarkEnd w:id="60"/>
      <w:bookmarkEnd w:id="61"/>
      <w:r w:rsidRPr="00544552">
        <w:rPr>
          <w:rFonts w:ascii="Arial" w:hAnsi="Arial" w:cs="Arial"/>
          <w:b/>
          <w:bCs/>
          <w:color w:val="auto"/>
          <w:sz w:val="28"/>
          <w:szCs w:val="28"/>
        </w:rPr>
        <w:t xml:space="preserve"> </w:t>
      </w:r>
    </w:p>
    <w:p w14:paraId="0AA56080" w14:textId="1386C081" w:rsidR="003B1E32" w:rsidRPr="0016460E" w:rsidRDefault="003071DF" w:rsidP="00CF01E1">
      <w:pPr>
        <w:spacing w:before="240"/>
        <w:jc w:val="left"/>
        <w:rPr>
          <w:rFonts w:ascii="Arial" w:hAnsi="Arial" w:cs="Arial"/>
          <w:lang w:eastAsia="en-US"/>
        </w:rPr>
      </w:pPr>
      <w:r w:rsidRPr="0016460E">
        <w:rPr>
          <w:rFonts w:ascii="Arial" w:hAnsi="Arial" w:cs="Arial"/>
          <w:lang w:eastAsia="en-US"/>
        </w:rPr>
        <w:t xml:space="preserve">The dissertation has reviewed the importance of mobile mental health application to assist in managing anxiety, depression and stress, and </w:t>
      </w:r>
      <w:r w:rsidR="00B167AC" w:rsidRPr="0016460E">
        <w:rPr>
          <w:rFonts w:ascii="Arial" w:hAnsi="Arial" w:cs="Arial"/>
          <w:lang w:eastAsia="en-US"/>
        </w:rPr>
        <w:t>analysed</w:t>
      </w:r>
      <w:r w:rsidRPr="0016460E">
        <w:rPr>
          <w:rFonts w:ascii="Arial" w:hAnsi="Arial" w:cs="Arial"/>
          <w:lang w:eastAsia="en-US"/>
        </w:rPr>
        <w:t xml:space="preserve"> the clinical outcomes of such application, the use and access patterns, and ethical and regulatory issues related to the use of mental health applications in health and social care. Chapter 1 defined the rationale of the study and presented the aim and four objectives, and Chapters 2 and 3 mentioned the contextual background and described the secondary, literature-based methodology. The results of Chapter 4 reveal that the evidence-based mental health application is applicable to produce some meaningful short-term improvements in symptoms, especially based on the established therapeutic models, which will respond to the first and second goals on purpose and efficacy. Nonetheless, the third goal, which was related to engagement, retention and access in heterogeneous and underserved groups, was achieved partly, because the literature has repeatedly pointed to high dropout rates and enduring digital and social disparities. The fourth goal, involving clinical translation, usability and ethical application, was met through showing that a strong governance, privacy and integration into regulated care pathways are a key to safe and equal use. In general, the dissertation finds that mobile mental health applications have a high potential, as a part of the stepped and blended care models, but the effects they have are conditional on the long-term engagement, proper regulation, and consideration of implementation.</w:t>
      </w:r>
    </w:p>
    <w:p w14:paraId="48005ABF" w14:textId="19307BBA" w:rsidR="00636D9A" w:rsidRPr="00544552" w:rsidRDefault="005C5E80" w:rsidP="00CF01E1">
      <w:pPr>
        <w:pStyle w:val="Heading2"/>
        <w:numPr>
          <w:ilvl w:val="1"/>
          <w:numId w:val="153"/>
        </w:numPr>
        <w:spacing w:before="240" w:after="160"/>
        <w:jc w:val="left"/>
        <w:rPr>
          <w:rFonts w:ascii="Arial" w:hAnsi="Arial" w:cs="Arial"/>
          <w:b/>
          <w:bCs/>
          <w:color w:val="auto"/>
          <w:sz w:val="28"/>
          <w:szCs w:val="28"/>
        </w:rPr>
      </w:pPr>
      <w:bookmarkStart w:id="62" w:name="_Toc222989927"/>
      <w:bookmarkStart w:id="63" w:name="_Toc222997213"/>
      <w:r w:rsidRPr="00544552">
        <w:rPr>
          <w:rFonts w:ascii="Arial" w:hAnsi="Arial" w:cs="Arial"/>
          <w:b/>
          <w:bCs/>
          <w:color w:val="auto"/>
          <w:sz w:val="28"/>
          <w:szCs w:val="28"/>
        </w:rPr>
        <w:t>Recommendations</w:t>
      </w:r>
      <w:bookmarkEnd w:id="62"/>
      <w:bookmarkEnd w:id="63"/>
      <w:r w:rsidR="00636D9A" w:rsidRPr="00544552">
        <w:rPr>
          <w:rFonts w:ascii="Arial" w:hAnsi="Arial" w:cs="Arial"/>
          <w:b/>
          <w:bCs/>
          <w:color w:val="auto"/>
          <w:sz w:val="28"/>
          <w:szCs w:val="28"/>
        </w:rPr>
        <w:t xml:space="preserve"> </w:t>
      </w:r>
    </w:p>
    <w:p w14:paraId="4263DD9E" w14:textId="05DACC44" w:rsidR="005C5E80" w:rsidRPr="009871EA" w:rsidRDefault="007C3CC8" w:rsidP="00CF01E1">
      <w:pPr>
        <w:pStyle w:val="Heading3"/>
        <w:numPr>
          <w:ilvl w:val="2"/>
          <w:numId w:val="153"/>
        </w:numPr>
        <w:spacing w:before="240" w:after="160"/>
        <w:jc w:val="left"/>
        <w:rPr>
          <w:rFonts w:ascii="Arial" w:hAnsi="Arial" w:cs="Arial"/>
          <w:b/>
          <w:bCs/>
          <w:color w:val="auto"/>
          <w:sz w:val="28"/>
          <w:szCs w:val="28"/>
        </w:rPr>
      </w:pPr>
      <w:bookmarkStart w:id="64" w:name="_Toc222989928"/>
      <w:bookmarkStart w:id="65" w:name="_Toc222997214"/>
      <w:r w:rsidRPr="009871EA">
        <w:rPr>
          <w:rFonts w:ascii="Arial" w:hAnsi="Arial" w:cs="Arial"/>
          <w:b/>
          <w:bCs/>
          <w:color w:val="auto"/>
          <w:sz w:val="28"/>
          <w:szCs w:val="28"/>
        </w:rPr>
        <w:t>Embed Evidence-Based Apps in Supported, Stepped-Care Pathways</w:t>
      </w:r>
      <w:bookmarkEnd w:id="64"/>
      <w:bookmarkEnd w:id="65"/>
    </w:p>
    <w:p w14:paraId="78F7869D" w14:textId="4A64E1A7" w:rsidR="008C63AC" w:rsidRPr="0016460E" w:rsidRDefault="0089047B" w:rsidP="00CF01E1">
      <w:pPr>
        <w:spacing w:before="240"/>
        <w:jc w:val="left"/>
        <w:rPr>
          <w:rFonts w:ascii="Arial" w:hAnsi="Arial" w:cs="Arial"/>
          <w:lang w:eastAsia="en-US"/>
        </w:rPr>
      </w:pPr>
      <w:r w:rsidRPr="0016460E">
        <w:rPr>
          <w:rFonts w:ascii="Arial" w:hAnsi="Arial" w:cs="Arial"/>
          <w:lang w:eastAsia="en-US"/>
        </w:rPr>
        <w:t>P</w:t>
      </w:r>
      <w:r w:rsidR="008C63AC" w:rsidRPr="0016460E">
        <w:rPr>
          <w:rFonts w:ascii="Arial" w:hAnsi="Arial" w:cs="Arial"/>
          <w:lang w:eastAsia="en-US"/>
        </w:rPr>
        <w:t xml:space="preserve">riority should be placed on integrating the </w:t>
      </w:r>
      <w:r w:rsidR="00B167AC" w:rsidRPr="0016460E">
        <w:rPr>
          <w:rFonts w:ascii="Arial" w:hAnsi="Arial" w:cs="Arial"/>
          <w:lang w:eastAsia="en-US"/>
        </w:rPr>
        <w:t>clinically validated</w:t>
      </w:r>
      <w:r w:rsidR="008C63AC" w:rsidRPr="0016460E">
        <w:rPr>
          <w:rFonts w:ascii="Arial" w:hAnsi="Arial" w:cs="Arial"/>
          <w:lang w:eastAsia="en-US"/>
        </w:rPr>
        <w:t xml:space="preserve"> mental health apps in the current, stepped-care pathways instead of promoting them as consumer-only devices. The existing experience in services like NHS Talking Therapies demonstrates the possibility of using digitally enabled programmes of CBT (such as </w:t>
      </w:r>
      <w:proofErr w:type="spellStart"/>
      <w:r w:rsidR="008C63AC" w:rsidRPr="0016460E">
        <w:rPr>
          <w:rFonts w:ascii="Arial" w:hAnsi="Arial" w:cs="Arial"/>
          <w:lang w:eastAsia="en-US"/>
        </w:rPr>
        <w:t>SilverCloud</w:t>
      </w:r>
      <w:proofErr w:type="spellEnd"/>
      <w:r w:rsidR="008C63AC" w:rsidRPr="0016460E">
        <w:rPr>
          <w:rFonts w:ascii="Arial" w:hAnsi="Arial" w:cs="Arial"/>
          <w:lang w:eastAsia="en-US"/>
        </w:rPr>
        <w:t xml:space="preserve"> “Space from Depression” and “Space from Anxiety) as they can present NICE-consistent material within the context of 6-8 sessions and allow a therapist to review progress and adjust content</w:t>
      </w:r>
      <w:r w:rsidR="008C2236" w:rsidRPr="0016460E">
        <w:rPr>
          <w:rFonts w:ascii="Arial" w:hAnsi="Arial" w:cs="Arial"/>
          <w:lang w:eastAsia="en-US"/>
        </w:rPr>
        <w:t xml:space="preserve"> (Lee et al., 2023)</w:t>
      </w:r>
      <w:r w:rsidR="008C63AC" w:rsidRPr="0016460E">
        <w:rPr>
          <w:rFonts w:ascii="Arial" w:hAnsi="Arial" w:cs="Arial"/>
          <w:lang w:eastAsia="en-US"/>
        </w:rPr>
        <w:t xml:space="preserve">. Likewise, the Australian </w:t>
      </w:r>
      <w:proofErr w:type="spellStart"/>
      <w:r w:rsidR="008C63AC" w:rsidRPr="0016460E">
        <w:rPr>
          <w:rFonts w:ascii="Arial" w:hAnsi="Arial" w:cs="Arial"/>
          <w:lang w:eastAsia="en-US"/>
        </w:rPr>
        <w:t>MindSpot</w:t>
      </w:r>
      <w:proofErr w:type="spellEnd"/>
      <w:r w:rsidR="008C63AC" w:rsidRPr="0016460E">
        <w:rPr>
          <w:rFonts w:ascii="Arial" w:hAnsi="Arial" w:cs="Arial"/>
          <w:lang w:eastAsia="en-US"/>
        </w:rPr>
        <w:t xml:space="preserve"> Clinic is a state-funded virtual clinic nationwide, where a structured online course on CBT has been provided with big drops in anxiety and depression symptoms and high levels of satisfaction, with an average user reporting approximately 50% </w:t>
      </w:r>
      <w:r w:rsidR="008C63AC" w:rsidRPr="0016460E">
        <w:rPr>
          <w:rFonts w:ascii="Arial" w:hAnsi="Arial" w:cs="Arial"/>
          <w:lang w:eastAsia="en-US"/>
        </w:rPr>
        <w:lastRenderedPageBreak/>
        <w:t>decrease in symptoms and over 90% recommending the service</w:t>
      </w:r>
      <w:r w:rsidR="007310BD" w:rsidRPr="0016460E">
        <w:rPr>
          <w:rFonts w:ascii="Arial" w:hAnsi="Arial" w:cs="Arial"/>
          <w:lang w:eastAsia="en-US"/>
        </w:rPr>
        <w:t xml:space="preserve"> (</w:t>
      </w:r>
      <w:proofErr w:type="spellStart"/>
      <w:r w:rsidR="007310BD" w:rsidRPr="0016460E">
        <w:rPr>
          <w:rFonts w:ascii="Arial" w:hAnsi="Arial" w:cs="Arial"/>
          <w:lang w:eastAsia="en-US"/>
        </w:rPr>
        <w:t>MindSpot</w:t>
      </w:r>
      <w:proofErr w:type="spellEnd"/>
      <w:r w:rsidR="007310BD" w:rsidRPr="0016460E">
        <w:rPr>
          <w:rFonts w:ascii="Arial" w:hAnsi="Arial" w:cs="Arial"/>
          <w:lang w:eastAsia="en-US"/>
        </w:rPr>
        <w:t>, 2023)</w:t>
      </w:r>
      <w:r w:rsidR="008C63AC" w:rsidRPr="0016460E">
        <w:rPr>
          <w:rFonts w:ascii="Arial" w:hAnsi="Arial" w:cs="Arial"/>
          <w:lang w:eastAsia="en-US"/>
        </w:rPr>
        <w:t>. These demonstrations suggest that in a situation where apps have been integrated into embarkation services, which have prescribed protocols, result tracking, and clinician supervision, they can generate outcomes equal to conventional low-intensity therapy and expand access to scale.</w:t>
      </w:r>
    </w:p>
    <w:p w14:paraId="004DBDE7" w14:textId="59CA9204" w:rsidR="009C4806" w:rsidRPr="0016460E" w:rsidRDefault="008C63AC" w:rsidP="00CF01E1">
      <w:pPr>
        <w:spacing w:before="240"/>
        <w:jc w:val="left"/>
        <w:rPr>
          <w:rFonts w:ascii="Arial" w:hAnsi="Arial" w:cs="Arial"/>
          <w:lang w:eastAsia="en-US"/>
        </w:rPr>
      </w:pPr>
      <w:r w:rsidRPr="0016460E">
        <w:rPr>
          <w:rFonts w:ascii="Arial" w:hAnsi="Arial" w:cs="Arial"/>
          <w:lang w:eastAsia="en-US"/>
        </w:rPr>
        <w:t xml:space="preserve">To make this suggestion more general, health systems must order only the apps that have proven clinical efficacy and </w:t>
      </w:r>
      <w:r w:rsidR="00B167AC" w:rsidRPr="0016460E">
        <w:rPr>
          <w:rFonts w:ascii="Arial" w:hAnsi="Arial" w:cs="Arial"/>
          <w:lang w:eastAsia="en-US"/>
        </w:rPr>
        <w:t>safety and</w:t>
      </w:r>
      <w:r w:rsidRPr="0016460E">
        <w:rPr>
          <w:rFonts w:ascii="Arial" w:hAnsi="Arial" w:cs="Arial"/>
          <w:lang w:eastAsia="en-US"/>
        </w:rPr>
        <w:t xml:space="preserve"> include them as an alternative among stepped-care models, aligning the app-based interventions with individuals with mild to moderate symptoms and sufficient access to digital devices. The obstacles are staff training requirements, initial cost of procurement, inconsistent digital infrastructure, and clinician fear of handing over the care to technology. The latter can be counteracted by having clinicians specifically trained on prescribing and monitoring digital interventions, explicit instructions on the types of patients who can be used, and investing in digital infrastructure as a component of the overall service transformation plans defined in documents like NHS Talking Therapies as part of high impact digital opportunities</w:t>
      </w:r>
      <w:r w:rsidR="00F27A2E" w:rsidRPr="0016460E">
        <w:rPr>
          <w:rFonts w:ascii="Arial" w:hAnsi="Arial" w:cs="Arial"/>
          <w:lang w:eastAsia="en-US"/>
        </w:rPr>
        <w:t xml:space="preserve"> (Philippe et al., 2021)</w:t>
      </w:r>
      <w:r w:rsidRPr="0016460E">
        <w:rPr>
          <w:rFonts w:ascii="Arial" w:hAnsi="Arial" w:cs="Arial"/>
          <w:lang w:eastAsia="en-US"/>
        </w:rPr>
        <w:t xml:space="preserve">. </w:t>
      </w:r>
      <w:r w:rsidR="009C633C" w:rsidRPr="0016460E">
        <w:rPr>
          <w:rFonts w:ascii="Arial" w:hAnsi="Arial" w:cs="Arial"/>
          <w:lang w:eastAsia="en-US"/>
        </w:rPr>
        <w:t>D</w:t>
      </w:r>
      <w:r w:rsidRPr="0016460E">
        <w:rPr>
          <w:rFonts w:ascii="Arial" w:hAnsi="Arial" w:cs="Arial"/>
          <w:lang w:eastAsia="en-US"/>
        </w:rPr>
        <w:t>igital alternatives must be positioned as an addition and a choice on a list of evidence-based treatments and not as an alternative to human care, which will assist in preserving clinical credibility and trust in patients.</w:t>
      </w:r>
    </w:p>
    <w:p w14:paraId="1F80D6A6" w14:textId="56BEF29D" w:rsidR="005C5E80" w:rsidRPr="00EB0030" w:rsidRDefault="000E112E" w:rsidP="00CF01E1">
      <w:pPr>
        <w:pStyle w:val="Heading3"/>
        <w:numPr>
          <w:ilvl w:val="2"/>
          <w:numId w:val="153"/>
        </w:numPr>
        <w:spacing w:before="240" w:after="160"/>
        <w:jc w:val="left"/>
        <w:rPr>
          <w:rFonts w:ascii="Arial" w:hAnsi="Arial" w:cs="Arial"/>
          <w:b/>
          <w:bCs/>
          <w:color w:val="auto"/>
          <w:sz w:val="28"/>
          <w:szCs w:val="28"/>
        </w:rPr>
      </w:pPr>
      <w:bookmarkStart w:id="66" w:name="_Toc222989929"/>
      <w:bookmarkStart w:id="67" w:name="_Toc222997215"/>
      <w:r w:rsidRPr="00EB0030">
        <w:rPr>
          <w:rFonts w:ascii="Arial" w:hAnsi="Arial" w:cs="Arial"/>
          <w:b/>
          <w:bCs/>
          <w:color w:val="auto"/>
          <w:sz w:val="28"/>
          <w:szCs w:val="28"/>
        </w:rPr>
        <w:t>Design for Engagement and Equity Through Co-Design and Human Support</w:t>
      </w:r>
      <w:bookmarkEnd w:id="66"/>
      <w:bookmarkEnd w:id="67"/>
    </w:p>
    <w:p w14:paraId="0E697A6E" w14:textId="78C4AF6A" w:rsidR="001E1494" w:rsidRPr="0016460E" w:rsidRDefault="001E1494" w:rsidP="00CF01E1">
      <w:pPr>
        <w:spacing w:before="240"/>
        <w:jc w:val="left"/>
        <w:rPr>
          <w:rFonts w:ascii="Arial" w:hAnsi="Arial" w:cs="Arial"/>
          <w:lang w:eastAsia="en-US"/>
        </w:rPr>
      </w:pPr>
      <w:r w:rsidRPr="0016460E">
        <w:rPr>
          <w:rFonts w:ascii="Arial" w:hAnsi="Arial" w:cs="Arial"/>
          <w:lang w:eastAsia="en-US"/>
        </w:rPr>
        <w:t>The second suggestion is to enhance and increase the engagement and decrease disparities through making co-design and human-centred design a standard practice when making and choosing mental health apps, especially among young people and underserved groups. In the recent understanding, a review of digital mental health co-design with youth indicates that direct user engagement in workshops, mapping exercises, prototyping and feedback sessions results in more language-relevant, priorities and lived experience-relevant, and usefully relevant interventions</w:t>
      </w:r>
      <w:r w:rsidR="008110B8" w:rsidRPr="0016460E">
        <w:rPr>
          <w:rFonts w:ascii="Arial" w:hAnsi="Arial" w:cs="Arial"/>
          <w:lang w:eastAsia="en-US"/>
        </w:rPr>
        <w:t xml:space="preserve"> (McGovern et al., 2025)</w:t>
      </w:r>
      <w:r w:rsidRPr="0016460E">
        <w:rPr>
          <w:rFonts w:ascii="Arial" w:hAnsi="Arial" w:cs="Arial"/>
          <w:lang w:eastAsia="en-US"/>
        </w:rPr>
        <w:t>. Specific design strategies already applied in the industry and research</w:t>
      </w:r>
      <w:r w:rsidR="00963E21" w:rsidRPr="0016460E">
        <w:rPr>
          <w:rFonts w:ascii="Arial" w:hAnsi="Arial" w:cs="Arial"/>
          <w:lang w:eastAsia="en-US"/>
        </w:rPr>
        <w:t xml:space="preserve">, </w:t>
      </w:r>
      <w:r w:rsidRPr="0016460E">
        <w:rPr>
          <w:rFonts w:ascii="Arial" w:hAnsi="Arial" w:cs="Arial"/>
          <w:lang w:eastAsia="en-US"/>
        </w:rPr>
        <w:t>personalised feedback, e-coaching, social or peer, reminder, gamification and flexible use patterns to which engagement reviews also allude are linked to the higher levels of adherence and satisfaction with digital interventions</w:t>
      </w:r>
      <w:r w:rsidR="00982AC9" w:rsidRPr="0016460E">
        <w:rPr>
          <w:rFonts w:ascii="Arial" w:hAnsi="Arial" w:cs="Arial"/>
          <w:lang w:eastAsia="en-US"/>
        </w:rPr>
        <w:t xml:space="preserve"> (Saleem et al., 2021)</w:t>
      </w:r>
      <w:r w:rsidRPr="0016460E">
        <w:rPr>
          <w:rFonts w:ascii="Arial" w:hAnsi="Arial" w:cs="Arial"/>
          <w:lang w:eastAsia="en-US"/>
        </w:rPr>
        <w:t>. A blend of these with true co-design can assist in shifting apps out of the content of generic, one-size-fits-all to be more responsive, tools that appear to reflect the realities of the various communities.</w:t>
      </w:r>
    </w:p>
    <w:p w14:paraId="6AD539A0" w14:textId="672050CF" w:rsidR="00B94891" w:rsidRPr="0016460E" w:rsidRDefault="001E1494" w:rsidP="00CF01E1">
      <w:pPr>
        <w:spacing w:before="240"/>
        <w:jc w:val="left"/>
        <w:rPr>
          <w:rFonts w:ascii="Arial" w:hAnsi="Arial" w:cs="Arial"/>
          <w:lang w:eastAsia="en-US"/>
        </w:rPr>
      </w:pPr>
      <w:r w:rsidRPr="0016460E">
        <w:rPr>
          <w:rFonts w:ascii="Arial" w:hAnsi="Arial" w:cs="Arial"/>
          <w:lang w:eastAsia="en-US"/>
        </w:rPr>
        <w:lastRenderedPageBreak/>
        <w:t>This, in practice, is to implement the requirement of meaningful co-design and engagement testing as part and parcel of procurement and development standards, particularly when the tool is targeting young people, marginalised communities or complex needs. Research on underserved youth highlights that their privacy concerns, cultural relevance/practical barriers (shared devices, data charges, connectivity) are those factors that largely influence continued use after initial download</w:t>
      </w:r>
      <w:r w:rsidR="004D3E6D" w:rsidRPr="0016460E">
        <w:rPr>
          <w:rFonts w:ascii="Arial" w:hAnsi="Arial" w:cs="Arial"/>
          <w:lang w:eastAsia="en-US"/>
        </w:rPr>
        <w:t xml:space="preserve"> (Teke et al., 2025)</w:t>
      </w:r>
      <w:r w:rsidRPr="0016460E">
        <w:rPr>
          <w:rFonts w:ascii="Arial" w:hAnsi="Arial" w:cs="Arial"/>
          <w:lang w:eastAsia="en-US"/>
        </w:rPr>
        <w:t>. The obstacles to this recommendation are, time and cost of co-design, challenges in recruiting marginalised participants, and a risk of tokenism. These may be discussed through establishing long-term collaborations with schools, youth services and community organisations, ring-fencing funds with participatory design, and applying existing co-design models to design participation. In the long run, this kind of investment will tend to increase involvement and retention, which further boost the practical use and cost-efficiency of digital investments in mental healthcare emphasized in existing digital therapy solutions.</w:t>
      </w:r>
    </w:p>
    <w:p w14:paraId="6DEFF1C6" w14:textId="32A48F53" w:rsidR="005C5E80" w:rsidRPr="00B01C71" w:rsidRDefault="00E22594" w:rsidP="00CF01E1">
      <w:pPr>
        <w:pStyle w:val="Heading3"/>
        <w:numPr>
          <w:ilvl w:val="2"/>
          <w:numId w:val="153"/>
        </w:numPr>
        <w:spacing w:before="240" w:after="160"/>
        <w:jc w:val="left"/>
        <w:rPr>
          <w:rFonts w:ascii="Arial" w:hAnsi="Arial" w:cs="Arial"/>
          <w:b/>
          <w:bCs/>
          <w:color w:val="auto"/>
          <w:sz w:val="28"/>
          <w:szCs w:val="28"/>
        </w:rPr>
      </w:pPr>
      <w:bookmarkStart w:id="68" w:name="_Toc222989930"/>
      <w:bookmarkStart w:id="69" w:name="_Toc222997216"/>
      <w:r w:rsidRPr="00B01C71">
        <w:rPr>
          <w:rFonts w:ascii="Arial" w:hAnsi="Arial" w:cs="Arial"/>
          <w:b/>
          <w:bCs/>
          <w:color w:val="auto"/>
          <w:sz w:val="28"/>
          <w:szCs w:val="28"/>
        </w:rPr>
        <w:t>Strengthen Governance, Safety Monitoring and Transparency for Mental Health Apps</w:t>
      </w:r>
      <w:bookmarkEnd w:id="68"/>
      <w:bookmarkEnd w:id="69"/>
    </w:p>
    <w:p w14:paraId="5888257E" w14:textId="66F513D3" w:rsidR="00003E6A" w:rsidRPr="0016460E" w:rsidRDefault="00003E6A" w:rsidP="00CF01E1">
      <w:pPr>
        <w:spacing w:before="240"/>
        <w:jc w:val="left"/>
        <w:rPr>
          <w:rFonts w:ascii="Arial" w:hAnsi="Arial" w:cs="Arial"/>
          <w:lang w:eastAsia="en-US"/>
        </w:rPr>
      </w:pPr>
      <w:r w:rsidRPr="0016460E">
        <w:rPr>
          <w:rFonts w:ascii="Arial" w:hAnsi="Arial" w:cs="Arial"/>
          <w:lang w:eastAsia="en-US"/>
        </w:rPr>
        <w:t>The third suggestion is to apply more robust ethical, regulatory and safety protections to mental health applications, such as more specifications regarding the use of data, monitoring of adverse events, and AI-assisted capabilities. On a global scale, the Global Strategy on Digital Health by WHO recommends highly effective governance of digital health technologies, including the frameworks of regulating, benchmarking and certifying digital health tools in a similar manner to medicines and vaccines</w:t>
      </w:r>
      <w:r w:rsidR="00C107D7" w:rsidRPr="0016460E">
        <w:rPr>
          <w:rFonts w:ascii="Arial" w:hAnsi="Arial" w:cs="Arial"/>
          <w:lang w:eastAsia="en-US"/>
        </w:rPr>
        <w:t xml:space="preserve"> (</w:t>
      </w:r>
      <w:proofErr w:type="gramStart"/>
      <w:r w:rsidR="00C107D7" w:rsidRPr="0016460E">
        <w:rPr>
          <w:rFonts w:ascii="Arial" w:hAnsi="Arial" w:cs="Arial"/>
          <w:lang w:eastAsia="en-US"/>
        </w:rPr>
        <w:t>WHO ,</w:t>
      </w:r>
      <w:proofErr w:type="gramEnd"/>
      <w:r w:rsidR="00C107D7" w:rsidRPr="0016460E">
        <w:rPr>
          <w:rFonts w:ascii="Arial" w:hAnsi="Arial" w:cs="Arial"/>
          <w:lang w:eastAsia="en-US"/>
        </w:rPr>
        <w:t xml:space="preserve"> 2022)</w:t>
      </w:r>
      <w:r w:rsidRPr="0016460E">
        <w:rPr>
          <w:rFonts w:ascii="Arial" w:hAnsi="Arial" w:cs="Arial"/>
          <w:lang w:eastAsia="en-US"/>
        </w:rPr>
        <w:t xml:space="preserve">. At the national level, e.g. the NHS Digital Technology Assessment Criteria (DTAC) already mandates that apps utilized in NHS services demonstrate clinical safety, data protection, cyber security, interoperability and usability, and have been enforced on programmes like </w:t>
      </w:r>
      <w:proofErr w:type="spellStart"/>
      <w:r w:rsidRPr="0016460E">
        <w:rPr>
          <w:rFonts w:ascii="Arial" w:hAnsi="Arial" w:cs="Arial"/>
          <w:lang w:eastAsia="en-US"/>
        </w:rPr>
        <w:t>SilverCloud</w:t>
      </w:r>
      <w:proofErr w:type="spellEnd"/>
      <w:r w:rsidRPr="0016460E">
        <w:rPr>
          <w:rFonts w:ascii="Arial" w:hAnsi="Arial" w:cs="Arial"/>
          <w:lang w:eastAsia="en-US"/>
        </w:rPr>
        <w:t xml:space="preserve"> to ensure they comply with the NICE-recommended practices</w:t>
      </w:r>
      <w:r w:rsidR="00080078" w:rsidRPr="0016460E">
        <w:rPr>
          <w:rFonts w:ascii="Arial" w:hAnsi="Arial" w:cs="Arial"/>
          <w:lang w:eastAsia="en-US"/>
        </w:rPr>
        <w:t xml:space="preserve"> (DTAC, 2025)</w:t>
      </w:r>
      <w:r w:rsidRPr="0016460E">
        <w:rPr>
          <w:rFonts w:ascii="Arial" w:hAnsi="Arial" w:cs="Arial"/>
          <w:lang w:eastAsia="en-US"/>
        </w:rPr>
        <w:t>. Nevertheless, numerous popular mental health applications on commercial app stores cannot be found in such regulated ecosystems and recent studies of mobile health applications have demonstrated extensive data sharing with third parties and inconsistent privacy reporting, creating issues of trust and the potential to cause harm.</w:t>
      </w:r>
    </w:p>
    <w:p w14:paraId="65F969F3" w14:textId="1EC5FDE6" w:rsidR="000400E4" w:rsidRPr="0016460E" w:rsidRDefault="00003E6A" w:rsidP="00CF01E1">
      <w:pPr>
        <w:spacing w:before="240"/>
        <w:jc w:val="left"/>
        <w:rPr>
          <w:rFonts w:ascii="Arial" w:hAnsi="Arial" w:cs="Arial"/>
          <w:lang w:eastAsia="en-US"/>
        </w:rPr>
      </w:pPr>
      <w:r w:rsidRPr="0016460E">
        <w:rPr>
          <w:rFonts w:ascii="Arial" w:hAnsi="Arial" w:cs="Arial"/>
          <w:lang w:eastAsia="en-US"/>
        </w:rPr>
        <w:t xml:space="preserve">As a way of operationalising this recommendation, governments and professional bodies might consider extending the current frameworks in such a way that any app that is promoted with mental health claims is of minimum transparency and safety, including the provision of clear labelling of its evidence base, clear statements about privacy in an accessible language, and systems allowing users and clinicians to report adverse events. </w:t>
      </w:r>
      <w:r w:rsidRPr="0016460E">
        <w:rPr>
          <w:rFonts w:ascii="Arial" w:hAnsi="Arial" w:cs="Arial"/>
          <w:lang w:eastAsia="en-US"/>
        </w:rPr>
        <w:lastRenderedPageBreak/>
        <w:t>This is especially immediate with more recent developments in the mental health arena, such as AI-controlled chatbots and so-called digital phenotyping</w:t>
      </w:r>
      <w:r w:rsidR="00F51E84" w:rsidRPr="0016460E">
        <w:rPr>
          <w:rFonts w:ascii="Arial" w:hAnsi="Arial" w:cs="Arial"/>
          <w:lang w:eastAsia="en-US"/>
        </w:rPr>
        <w:t xml:space="preserve"> (Cress, 2026). </w:t>
      </w:r>
      <w:r w:rsidR="00730E84" w:rsidRPr="0016460E">
        <w:rPr>
          <w:rFonts w:ascii="Arial" w:hAnsi="Arial" w:cs="Arial"/>
          <w:lang w:eastAsia="en-US"/>
        </w:rPr>
        <w:t>S</w:t>
      </w:r>
      <w:r w:rsidRPr="0016460E">
        <w:rPr>
          <w:rFonts w:ascii="Arial" w:hAnsi="Arial" w:cs="Arial"/>
          <w:lang w:eastAsia="en-US"/>
        </w:rPr>
        <w:t>uch systems might give false information, create dependency and take users at risk psychologically, should they be implemented without the necessary supervision. Regulatory capacity, cross-border distribution of apps and resource limitations of smaller developers are some of the barriers. They can be addressed through creation of tiered regulation strategies (harsher rules on higher risk, treatment-claiming applications), promotion of open standards and independent audits, and creation of collaboration between regulators, platform providers and health systems. To practice, a stronger governance will not only offer protection to users but also enable clinicians and services to comfortably recommend a smaller and curated selection of apps to enhance the match between clinical effectiveness, user engagement and ethical, equitable execution.</w:t>
      </w:r>
    </w:p>
    <w:p w14:paraId="59D70DFF" w14:textId="77777777" w:rsidR="000400E4" w:rsidRPr="0016460E" w:rsidRDefault="000400E4" w:rsidP="00CF01E1">
      <w:pPr>
        <w:spacing w:before="240"/>
        <w:jc w:val="left"/>
        <w:rPr>
          <w:rFonts w:ascii="Arial" w:hAnsi="Arial" w:cs="Arial"/>
        </w:rPr>
      </w:pPr>
    </w:p>
    <w:p w14:paraId="132A973C" w14:textId="77777777" w:rsidR="000400E4" w:rsidRPr="0016460E" w:rsidRDefault="000400E4" w:rsidP="00CF01E1">
      <w:pPr>
        <w:spacing w:before="240"/>
        <w:jc w:val="left"/>
        <w:rPr>
          <w:rFonts w:ascii="Arial" w:hAnsi="Arial" w:cs="Arial"/>
        </w:rPr>
      </w:pPr>
    </w:p>
    <w:p w14:paraId="54494726" w14:textId="77777777" w:rsidR="000400E4" w:rsidRPr="0016460E" w:rsidRDefault="000400E4" w:rsidP="00CF01E1">
      <w:pPr>
        <w:spacing w:before="240"/>
        <w:jc w:val="left"/>
        <w:rPr>
          <w:rFonts w:ascii="Arial" w:hAnsi="Arial" w:cs="Arial"/>
        </w:rPr>
      </w:pPr>
    </w:p>
    <w:p w14:paraId="722FC155" w14:textId="77777777" w:rsidR="000400E4" w:rsidRPr="0016460E" w:rsidRDefault="000400E4" w:rsidP="00CF01E1">
      <w:pPr>
        <w:spacing w:before="240"/>
        <w:jc w:val="left"/>
        <w:rPr>
          <w:rFonts w:ascii="Arial" w:hAnsi="Arial" w:cs="Arial"/>
        </w:rPr>
      </w:pPr>
    </w:p>
    <w:p w14:paraId="0E3B7AD0" w14:textId="77777777" w:rsidR="00DB5AEE" w:rsidRPr="0016460E" w:rsidRDefault="00DB5AEE" w:rsidP="00CF01E1">
      <w:pPr>
        <w:spacing w:before="240"/>
        <w:jc w:val="left"/>
        <w:rPr>
          <w:rFonts w:ascii="Arial" w:hAnsi="Arial" w:cs="Arial"/>
        </w:rPr>
      </w:pPr>
    </w:p>
    <w:p w14:paraId="230DD9D7" w14:textId="77777777" w:rsidR="00DB5AEE" w:rsidRPr="0016460E" w:rsidRDefault="00DB5AEE" w:rsidP="00CF01E1">
      <w:pPr>
        <w:spacing w:before="240"/>
        <w:jc w:val="left"/>
        <w:rPr>
          <w:rFonts w:ascii="Arial" w:hAnsi="Arial" w:cs="Arial"/>
        </w:rPr>
      </w:pPr>
    </w:p>
    <w:p w14:paraId="4EC65F22" w14:textId="77777777" w:rsidR="00DB5AEE" w:rsidRPr="0016460E" w:rsidRDefault="00DB5AEE" w:rsidP="00CF01E1">
      <w:pPr>
        <w:spacing w:before="240"/>
        <w:jc w:val="left"/>
        <w:rPr>
          <w:rFonts w:ascii="Arial" w:hAnsi="Arial" w:cs="Arial"/>
        </w:rPr>
      </w:pPr>
    </w:p>
    <w:p w14:paraId="48A81323" w14:textId="77777777" w:rsidR="00DB5AEE" w:rsidRPr="0016460E" w:rsidRDefault="00DB5AEE" w:rsidP="00CF01E1">
      <w:pPr>
        <w:spacing w:before="240"/>
        <w:jc w:val="left"/>
        <w:rPr>
          <w:rFonts w:ascii="Arial" w:hAnsi="Arial" w:cs="Arial"/>
        </w:rPr>
      </w:pPr>
    </w:p>
    <w:p w14:paraId="7053CFF8" w14:textId="77777777" w:rsidR="00DB5AEE" w:rsidRPr="0016460E" w:rsidRDefault="00DB5AEE" w:rsidP="00CF01E1">
      <w:pPr>
        <w:spacing w:before="240"/>
        <w:jc w:val="left"/>
        <w:rPr>
          <w:rFonts w:ascii="Arial" w:hAnsi="Arial" w:cs="Arial"/>
        </w:rPr>
      </w:pPr>
    </w:p>
    <w:p w14:paraId="6FF1CC94" w14:textId="77777777" w:rsidR="00DB5AEE" w:rsidRPr="0016460E" w:rsidRDefault="00DB5AEE" w:rsidP="00CF01E1">
      <w:pPr>
        <w:spacing w:before="240"/>
        <w:jc w:val="left"/>
        <w:rPr>
          <w:rFonts w:ascii="Arial" w:hAnsi="Arial" w:cs="Arial"/>
        </w:rPr>
      </w:pPr>
    </w:p>
    <w:p w14:paraId="4C0861AC" w14:textId="77777777" w:rsidR="00DB5AEE" w:rsidRPr="0016460E" w:rsidRDefault="00DB5AEE" w:rsidP="00CF01E1">
      <w:pPr>
        <w:spacing w:before="240"/>
        <w:jc w:val="left"/>
        <w:rPr>
          <w:rFonts w:ascii="Arial" w:hAnsi="Arial" w:cs="Arial"/>
        </w:rPr>
      </w:pPr>
    </w:p>
    <w:p w14:paraId="73943C06" w14:textId="77777777" w:rsidR="00DB5AEE" w:rsidRPr="0016460E" w:rsidRDefault="00DB5AEE" w:rsidP="00CF01E1">
      <w:pPr>
        <w:spacing w:before="240"/>
        <w:jc w:val="left"/>
        <w:rPr>
          <w:rFonts w:ascii="Arial" w:hAnsi="Arial" w:cs="Arial"/>
        </w:rPr>
      </w:pPr>
    </w:p>
    <w:p w14:paraId="6ED39B32" w14:textId="77777777" w:rsidR="00DB5AEE" w:rsidRPr="0016460E" w:rsidRDefault="00DB5AEE" w:rsidP="00CF01E1">
      <w:pPr>
        <w:spacing w:before="240"/>
        <w:jc w:val="left"/>
        <w:rPr>
          <w:rFonts w:ascii="Arial" w:hAnsi="Arial" w:cs="Arial"/>
        </w:rPr>
      </w:pPr>
    </w:p>
    <w:p w14:paraId="5E58C661" w14:textId="77777777" w:rsidR="00DB5AEE" w:rsidRPr="0016460E" w:rsidRDefault="00DB5AEE" w:rsidP="00CF01E1">
      <w:pPr>
        <w:spacing w:before="240"/>
        <w:jc w:val="left"/>
        <w:rPr>
          <w:rFonts w:ascii="Arial" w:hAnsi="Arial" w:cs="Arial"/>
        </w:rPr>
      </w:pPr>
    </w:p>
    <w:p w14:paraId="2BDFC52E" w14:textId="77777777" w:rsidR="000400E4" w:rsidRPr="0016460E" w:rsidRDefault="000400E4" w:rsidP="00CF01E1">
      <w:pPr>
        <w:spacing w:before="240"/>
        <w:jc w:val="left"/>
        <w:rPr>
          <w:rFonts w:ascii="Arial" w:hAnsi="Arial" w:cs="Arial"/>
        </w:rPr>
      </w:pPr>
    </w:p>
    <w:p w14:paraId="2EE69DD1" w14:textId="7E0A7BC4" w:rsidR="00211184" w:rsidRPr="008825BD" w:rsidRDefault="00211184" w:rsidP="00CF01E1">
      <w:pPr>
        <w:pStyle w:val="Heading1"/>
        <w:numPr>
          <w:ilvl w:val="0"/>
          <w:numId w:val="153"/>
        </w:numPr>
        <w:spacing w:before="240" w:after="160" w:line="360" w:lineRule="auto"/>
        <w:rPr>
          <w:rFonts w:cs="Arial"/>
        </w:rPr>
      </w:pPr>
      <w:bookmarkStart w:id="70" w:name="_Toc222989931"/>
      <w:bookmarkStart w:id="71" w:name="_Toc222997217"/>
      <w:r w:rsidRPr="008825BD">
        <w:rPr>
          <w:rFonts w:cs="Arial"/>
        </w:rPr>
        <w:lastRenderedPageBreak/>
        <w:t>CHAPTER 6 – References and Appendices</w:t>
      </w:r>
      <w:bookmarkEnd w:id="70"/>
      <w:bookmarkEnd w:id="71"/>
      <w:r w:rsidRPr="008825BD">
        <w:rPr>
          <w:rFonts w:cs="Arial"/>
        </w:rPr>
        <w:t xml:space="preserve"> </w:t>
      </w:r>
    </w:p>
    <w:p w14:paraId="020975DD" w14:textId="6A044115" w:rsidR="00621776" w:rsidRPr="008825BD" w:rsidRDefault="00621776" w:rsidP="00CF01E1">
      <w:pPr>
        <w:pStyle w:val="Heading2"/>
        <w:numPr>
          <w:ilvl w:val="1"/>
          <w:numId w:val="153"/>
        </w:numPr>
        <w:spacing w:before="240" w:after="160"/>
        <w:jc w:val="left"/>
        <w:rPr>
          <w:rFonts w:ascii="Arial" w:hAnsi="Arial" w:cs="Arial"/>
          <w:b/>
          <w:bCs/>
          <w:color w:val="auto"/>
          <w:sz w:val="28"/>
          <w:szCs w:val="28"/>
        </w:rPr>
      </w:pPr>
      <w:bookmarkStart w:id="72" w:name="_Toc222989932"/>
      <w:bookmarkStart w:id="73" w:name="_Toc222997218"/>
      <w:r w:rsidRPr="008825BD">
        <w:rPr>
          <w:rFonts w:ascii="Arial" w:hAnsi="Arial" w:cs="Arial"/>
          <w:b/>
          <w:bCs/>
          <w:color w:val="auto"/>
          <w:sz w:val="28"/>
          <w:szCs w:val="28"/>
        </w:rPr>
        <w:t>References</w:t>
      </w:r>
      <w:bookmarkEnd w:id="72"/>
      <w:bookmarkEnd w:id="73"/>
    </w:p>
    <w:p w14:paraId="609DD0F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Ahmed, S.K., Mohammed, R.A., Nashwan, A.J., Ibrahim, R.H., Abdalla, A.Q., Ameen, B.M.M. and </w:t>
      </w:r>
      <w:proofErr w:type="spellStart"/>
      <w:r w:rsidRPr="0016460E">
        <w:rPr>
          <w:rFonts w:ascii="Arial" w:hAnsi="Arial" w:cs="Arial"/>
          <w:sz w:val="22"/>
          <w:szCs w:val="22"/>
        </w:rPr>
        <w:t>Khidhir</w:t>
      </w:r>
      <w:proofErr w:type="spellEnd"/>
      <w:r w:rsidRPr="0016460E">
        <w:rPr>
          <w:rFonts w:ascii="Arial" w:hAnsi="Arial" w:cs="Arial"/>
          <w:sz w:val="22"/>
          <w:szCs w:val="22"/>
        </w:rPr>
        <w:t xml:space="preserve">, R.M. (2025). Using Thematic Analysis in Qualitative Research. </w:t>
      </w:r>
      <w:r w:rsidRPr="0016460E">
        <w:rPr>
          <w:rFonts w:ascii="Arial" w:hAnsi="Arial" w:cs="Arial"/>
          <w:i/>
          <w:iCs/>
          <w:sz w:val="22"/>
          <w:szCs w:val="22"/>
        </w:rPr>
        <w:t>Journal of Medicine, Surgery, and Public Health</w:t>
      </w:r>
      <w:r w:rsidRPr="0016460E">
        <w:rPr>
          <w:rFonts w:ascii="Arial" w:hAnsi="Arial" w:cs="Arial"/>
          <w:sz w:val="22"/>
          <w:szCs w:val="22"/>
        </w:rPr>
        <w:t xml:space="preserve">, [online] 6(6), p.100198.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://doi.org/10.1016/j.glmedi.2025.100198</w:t>
      </w:r>
      <w:proofErr w:type="gramEnd"/>
      <w:r w:rsidRPr="0016460E">
        <w:rPr>
          <w:rFonts w:ascii="Arial" w:hAnsi="Arial" w:cs="Arial"/>
          <w:sz w:val="22"/>
          <w:szCs w:val="22"/>
        </w:rPr>
        <w:t>.</w:t>
      </w:r>
    </w:p>
    <w:p w14:paraId="21669BA7"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Al-</w:t>
      </w:r>
      <w:proofErr w:type="spellStart"/>
      <w:r w:rsidRPr="0016460E">
        <w:rPr>
          <w:rFonts w:ascii="Arial" w:hAnsi="Arial" w:cs="Arial"/>
          <w:sz w:val="22"/>
          <w:szCs w:val="22"/>
        </w:rPr>
        <w:t>Shamaileh</w:t>
      </w:r>
      <w:proofErr w:type="spellEnd"/>
      <w:r w:rsidRPr="0016460E">
        <w:rPr>
          <w:rFonts w:ascii="Arial" w:hAnsi="Arial" w:cs="Arial"/>
          <w:sz w:val="22"/>
          <w:szCs w:val="22"/>
        </w:rPr>
        <w:t xml:space="preserve">, O. and Sutcliffe, A. (2023). Why people choose Apps: An evaluation of the ecology and user experience of mobile applications. </w:t>
      </w:r>
      <w:r w:rsidRPr="0016460E">
        <w:rPr>
          <w:rFonts w:ascii="Arial" w:hAnsi="Arial" w:cs="Arial"/>
          <w:i/>
          <w:iCs/>
          <w:sz w:val="22"/>
          <w:szCs w:val="22"/>
        </w:rPr>
        <w:t>International Journal of Human-Computer Studies</w:t>
      </w:r>
      <w:r w:rsidRPr="0016460E">
        <w:rPr>
          <w:rFonts w:ascii="Arial" w:hAnsi="Arial" w:cs="Arial"/>
          <w:sz w:val="22"/>
          <w:szCs w:val="22"/>
        </w:rPr>
        <w:t xml:space="preserve">, [online] 170, p.102965.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://doi.org/10.1016/j.ijhcs.2022.102965</w:t>
      </w:r>
      <w:proofErr w:type="gramEnd"/>
      <w:r w:rsidRPr="0016460E">
        <w:rPr>
          <w:rFonts w:ascii="Arial" w:hAnsi="Arial" w:cs="Arial"/>
          <w:sz w:val="22"/>
          <w:szCs w:val="22"/>
        </w:rPr>
        <w:t>.</w:t>
      </w:r>
    </w:p>
    <w:p w14:paraId="786E1C2C"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Almuqrin</w:t>
      </w:r>
      <w:proofErr w:type="spellEnd"/>
      <w:r w:rsidRPr="0016460E">
        <w:rPr>
          <w:rFonts w:ascii="Arial" w:hAnsi="Arial" w:cs="Arial"/>
          <w:sz w:val="22"/>
          <w:szCs w:val="22"/>
        </w:rPr>
        <w:t xml:space="preserve">, A., Hammoud, R., Ilham </w:t>
      </w:r>
      <w:proofErr w:type="spellStart"/>
      <w:r w:rsidRPr="0016460E">
        <w:rPr>
          <w:rFonts w:ascii="Arial" w:hAnsi="Arial" w:cs="Arial"/>
          <w:sz w:val="22"/>
          <w:szCs w:val="22"/>
        </w:rPr>
        <w:t>Terbagou</w:t>
      </w:r>
      <w:proofErr w:type="spellEnd"/>
      <w:r w:rsidRPr="0016460E">
        <w:rPr>
          <w:rFonts w:ascii="Arial" w:hAnsi="Arial" w:cs="Arial"/>
          <w:sz w:val="22"/>
          <w:szCs w:val="22"/>
        </w:rPr>
        <w:t xml:space="preserve">, </w:t>
      </w:r>
      <w:proofErr w:type="spellStart"/>
      <w:r w:rsidRPr="0016460E">
        <w:rPr>
          <w:rFonts w:ascii="Arial" w:hAnsi="Arial" w:cs="Arial"/>
          <w:sz w:val="22"/>
          <w:szCs w:val="22"/>
        </w:rPr>
        <w:t>Tognin</w:t>
      </w:r>
      <w:proofErr w:type="spellEnd"/>
      <w:r w:rsidRPr="0016460E">
        <w:rPr>
          <w:rFonts w:ascii="Arial" w:hAnsi="Arial" w:cs="Arial"/>
          <w:sz w:val="22"/>
          <w:szCs w:val="22"/>
        </w:rPr>
        <w:t xml:space="preserve">, S. and </w:t>
      </w:r>
      <w:proofErr w:type="spellStart"/>
      <w:r w:rsidRPr="0016460E">
        <w:rPr>
          <w:rFonts w:ascii="Arial" w:hAnsi="Arial" w:cs="Arial"/>
          <w:sz w:val="22"/>
          <w:szCs w:val="22"/>
        </w:rPr>
        <w:t>Mechelli</w:t>
      </w:r>
      <w:proofErr w:type="spellEnd"/>
      <w:r w:rsidRPr="0016460E">
        <w:rPr>
          <w:rFonts w:ascii="Arial" w:hAnsi="Arial" w:cs="Arial"/>
          <w:sz w:val="22"/>
          <w:szCs w:val="22"/>
        </w:rPr>
        <w:t xml:space="preserve">, A. (2025). Smartphone apps for mental health: systematic review of the literature and five recommendations for clinical translation. </w:t>
      </w:r>
      <w:r w:rsidRPr="0016460E">
        <w:rPr>
          <w:rFonts w:ascii="Arial" w:hAnsi="Arial" w:cs="Arial"/>
          <w:i/>
          <w:iCs/>
          <w:sz w:val="22"/>
          <w:szCs w:val="22"/>
        </w:rPr>
        <w:t>BMJ Open</w:t>
      </w:r>
      <w:r w:rsidRPr="0016460E">
        <w:rPr>
          <w:rFonts w:ascii="Arial" w:hAnsi="Arial" w:cs="Arial"/>
          <w:sz w:val="22"/>
          <w:szCs w:val="22"/>
        </w:rPr>
        <w:t xml:space="preserve">, 15(2), </w:t>
      </w:r>
      <w:proofErr w:type="gramStart"/>
      <w:r w:rsidRPr="0016460E">
        <w:rPr>
          <w:rFonts w:ascii="Arial" w:hAnsi="Arial" w:cs="Arial"/>
          <w:sz w:val="22"/>
          <w:szCs w:val="22"/>
        </w:rPr>
        <w:t>pp.e</w:t>
      </w:r>
      <w:proofErr w:type="gramEnd"/>
      <w:r w:rsidRPr="0016460E">
        <w:rPr>
          <w:rFonts w:ascii="Arial" w:hAnsi="Arial" w:cs="Arial"/>
          <w:sz w:val="22"/>
          <w:szCs w:val="22"/>
        </w:rPr>
        <w:t xml:space="preserve">093932–e093932.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://doi.org/10.1136/bmjopen-2024-093932</w:t>
      </w:r>
      <w:proofErr w:type="gramEnd"/>
      <w:r w:rsidRPr="0016460E">
        <w:rPr>
          <w:rFonts w:ascii="Arial" w:hAnsi="Arial" w:cs="Arial"/>
          <w:sz w:val="22"/>
          <w:szCs w:val="22"/>
        </w:rPr>
        <w:t>.</w:t>
      </w:r>
    </w:p>
    <w:p w14:paraId="333BC144"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Anawade</w:t>
      </w:r>
      <w:proofErr w:type="spellEnd"/>
      <w:r w:rsidRPr="0016460E">
        <w:rPr>
          <w:rFonts w:ascii="Arial" w:hAnsi="Arial" w:cs="Arial"/>
          <w:sz w:val="22"/>
          <w:szCs w:val="22"/>
        </w:rPr>
        <w:t xml:space="preserve">, P.A., Sharma, D. and Gahane, S. (2024). A comprehensive review on exploring the impact of telemedicine on healthcare accessibility. </w:t>
      </w:r>
      <w:r w:rsidRPr="0016460E">
        <w:rPr>
          <w:rFonts w:ascii="Arial" w:hAnsi="Arial" w:cs="Arial"/>
          <w:i/>
          <w:iCs/>
          <w:sz w:val="22"/>
          <w:szCs w:val="22"/>
        </w:rPr>
        <w:t>Cureus</w:t>
      </w:r>
      <w:r w:rsidRPr="0016460E">
        <w:rPr>
          <w:rFonts w:ascii="Arial" w:hAnsi="Arial" w:cs="Arial"/>
          <w:sz w:val="22"/>
          <w:szCs w:val="22"/>
        </w:rPr>
        <w:t xml:space="preserve">, [online] 16(3).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://doi.org/10.7759/cureus.55996</w:t>
      </w:r>
      <w:proofErr w:type="gramEnd"/>
      <w:r w:rsidRPr="0016460E">
        <w:rPr>
          <w:rFonts w:ascii="Arial" w:hAnsi="Arial" w:cs="Arial"/>
          <w:sz w:val="22"/>
          <w:szCs w:val="22"/>
        </w:rPr>
        <w:t>.</w:t>
      </w:r>
    </w:p>
    <w:p w14:paraId="16721C2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Azoulay, L. (2022). Rationale, Strengths, and Limitations of Real-World Evidence in Oncology: A Canadian Review and Perspective. </w:t>
      </w:r>
      <w:r w:rsidRPr="0016460E">
        <w:rPr>
          <w:rFonts w:ascii="Arial" w:hAnsi="Arial" w:cs="Arial"/>
          <w:i/>
          <w:iCs/>
          <w:sz w:val="22"/>
          <w:szCs w:val="22"/>
        </w:rPr>
        <w:t>The Oncologist</w:t>
      </w:r>
      <w:r w:rsidRPr="0016460E">
        <w:rPr>
          <w:rFonts w:ascii="Arial" w:hAnsi="Arial" w:cs="Arial"/>
          <w:sz w:val="22"/>
          <w:szCs w:val="22"/>
        </w:rPr>
        <w:t xml:space="preserve">, 27(9), </w:t>
      </w:r>
      <w:proofErr w:type="gramStart"/>
      <w:r w:rsidRPr="0016460E">
        <w:rPr>
          <w:rFonts w:ascii="Arial" w:hAnsi="Arial" w:cs="Arial"/>
          <w:sz w:val="22"/>
          <w:szCs w:val="22"/>
        </w:rPr>
        <w:t>pp.e</w:t>
      </w:r>
      <w:proofErr w:type="gramEnd"/>
      <w:r w:rsidRPr="0016460E">
        <w:rPr>
          <w:rFonts w:ascii="Arial" w:hAnsi="Arial" w:cs="Arial"/>
          <w:sz w:val="22"/>
          <w:szCs w:val="22"/>
        </w:rPr>
        <w:t xml:space="preserve">731–e738.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://doi.org/10.1093/</w:t>
      </w:r>
      <w:proofErr w:type="spellStart"/>
      <w:r w:rsidRPr="0016460E">
        <w:rPr>
          <w:rFonts w:ascii="Arial" w:hAnsi="Arial" w:cs="Arial"/>
          <w:sz w:val="22"/>
          <w:szCs w:val="22"/>
        </w:rPr>
        <w:t>oncolo</w:t>
      </w:r>
      <w:proofErr w:type="spellEnd"/>
      <w:r w:rsidRPr="0016460E">
        <w:rPr>
          <w:rFonts w:ascii="Arial" w:hAnsi="Arial" w:cs="Arial"/>
          <w:sz w:val="22"/>
          <w:szCs w:val="22"/>
        </w:rPr>
        <w:t>/oyac114</w:t>
      </w:r>
      <w:proofErr w:type="gramEnd"/>
      <w:r w:rsidRPr="0016460E">
        <w:rPr>
          <w:rFonts w:ascii="Arial" w:hAnsi="Arial" w:cs="Arial"/>
          <w:sz w:val="22"/>
          <w:szCs w:val="22"/>
        </w:rPr>
        <w:t>.</w:t>
      </w:r>
    </w:p>
    <w:p w14:paraId="32AEE4D4"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Baumel, A., Muench, F., Edan, S. and Kane, J.M. (2019). Objective User Engagement With Mental Health Apps: Systematic Search and Panel-Based Usage Analysis. </w:t>
      </w:r>
      <w:r w:rsidRPr="0016460E">
        <w:rPr>
          <w:rFonts w:ascii="Arial" w:hAnsi="Arial" w:cs="Arial"/>
          <w:i/>
          <w:iCs/>
          <w:sz w:val="22"/>
          <w:szCs w:val="22"/>
        </w:rPr>
        <w:t>Journal of Medical Internet Research</w:t>
      </w:r>
      <w:r w:rsidRPr="0016460E">
        <w:rPr>
          <w:rFonts w:ascii="Arial" w:hAnsi="Arial" w:cs="Arial"/>
          <w:sz w:val="22"/>
          <w:szCs w:val="22"/>
        </w:rPr>
        <w:t xml:space="preserve">, [online] 21(9), p.e14567.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://doi.org/10.2196/14567</w:t>
      </w:r>
      <w:proofErr w:type="gramEnd"/>
      <w:r w:rsidRPr="0016460E">
        <w:rPr>
          <w:rFonts w:ascii="Arial" w:hAnsi="Arial" w:cs="Arial"/>
          <w:sz w:val="22"/>
          <w:szCs w:val="22"/>
        </w:rPr>
        <w:t>.</w:t>
      </w:r>
    </w:p>
    <w:p w14:paraId="7A8D58A0"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Bear, H.A., Nunes, L.A., Ramos, G., Manchanda, T., Fernandes, B., Chabursky, S., Walper, S., Watkins, E. and Fazel, M. (2024). The Acceptability, Engagement, and Feasibility of Mental Health Apps for Marginalized and Underserved Young People: Systematic Review and Qualitative Study. </w:t>
      </w:r>
      <w:r w:rsidRPr="0016460E">
        <w:rPr>
          <w:rFonts w:ascii="Arial" w:hAnsi="Arial" w:cs="Arial"/>
          <w:i/>
          <w:iCs/>
          <w:sz w:val="22"/>
          <w:szCs w:val="22"/>
        </w:rPr>
        <w:t>Journal of Medical Internet Research</w:t>
      </w:r>
      <w:r w:rsidRPr="0016460E">
        <w:rPr>
          <w:rFonts w:ascii="Arial" w:hAnsi="Arial" w:cs="Arial"/>
          <w:sz w:val="22"/>
          <w:szCs w:val="22"/>
        </w:rPr>
        <w:t xml:space="preserve">, 26, </w:t>
      </w:r>
      <w:proofErr w:type="gramStart"/>
      <w:r w:rsidRPr="0016460E">
        <w:rPr>
          <w:rFonts w:ascii="Arial" w:hAnsi="Arial" w:cs="Arial"/>
          <w:sz w:val="22"/>
          <w:szCs w:val="22"/>
        </w:rPr>
        <w:t>pp.e</w:t>
      </w:r>
      <w:proofErr w:type="gramEnd"/>
      <w:r w:rsidRPr="0016460E">
        <w:rPr>
          <w:rFonts w:ascii="Arial" w:hAnsi="Arial" w:cs="Arial"/>
          <w:sz w:val="22"/>
          <w:szCs w:val="22"/>
        </w:rPr>
        <w:t xml:space="preserve">48964–e48964.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://doi.org/10.2196/48964</w:t>
      </w:r>
      <w:proofErr w:type="gramEnd"/>
      <w:r w:rsidRPr="0016460E">
        <w:rPr>
          <w:rFonts w:ascii="Arial" w:hAnsi="Arial" w:cs="Arial"/>
          <w:sz w:val="22"/>
          <w:szCs w:val="22"/>
        </w:rPr>
        <w:t>.</w:t>
      </w:r>
    </w:p>
    <w:p w14:paraId="1B8DFA7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Bégin, C., Berthod, J., Martinez, L.Z. and Truchon, M. (2022). Use of Mobile Apps and Online Programs of Mindfulness and Self-Compassion Training in Workers: A Scoping </w:t>
      </w:r>
      <w:r w:rsidRPr="0016460E">
        <w:rPr>
          <w:rFonts w:ascii="Arial" w:hAnsi="Arial" w:cs="Arial"/>
          <w:sz w:val="22"/>
          <w:szCs w:val="22"/>
        </w:rPr>
        <w:lastRenderedPageBreak/>
        <w:t xml:space="preserve">Review. </w:t>
      </w:r>
      <w:r w:rsidRPr="0016460E">
        <w:rPr>
          <w:rFonts w:ascii="Arial" w:hAnsi="Arial" w:cs="Arial"/>
          <w:i/>
          <w:iCs/>
          <w:sz w:val="22"/>
          <w:szCs w:val="22"/>
        </w:rPr>
        <w:t xml:space="preserve">Journal of Technology in </w:t>
      </w:r>
      <w:proofErr w:type="spellStart"/>
      <w:r w:rsidRPr="0016460E">
        <w:rPr>
          <w:rFonts w:ascii="Arial" w:hAnsi="Arial" w:cs="Arial"/>
          <w:i/>
          <w:iCs/>
          <w:sz w:val="22"/>
          <w:szCs w:val="22"/>
        </w:rPr>
        <w:t>Behavioral</w:t>
      </w:r>
      <w:proofErr w:type="spellEnd"/>
      <w:r w:rsidRPr="0016460E">
        <w:rPr>
          <w:rFonts w:ascii="Arial" w:hAnsi="Arial" w:cs="Arial"/>
          <w:i/>
          <w:iCs/>
          <w:sz w:val="22"/>
          <w:szCs w:val="22"/>
        </w:rPr>
        <w:t xml:space="preserve"> Science</w:t>
      </w:r>
      <w:r w:rsidRPr="0016460E">
        <w:rPr>
          <w:rFonts w:ascii="Arial" w:hAnsi="Arial" w:cs="Arial"/>
          <w:sz w:val="22"/>
          <w:szCs w:val="22"/>
        </w:rPr>
        <w:t xml:space="preserve">, [online] 7(4).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://doi.org/10.1007/s41347-022-00267-1</w:t>
      </w:r>
      <w:proofErr w:type="gramEnd"/>
      <w:r w:rsidRPr="0016460E">
        <w:rPr>
          <w:rFonts w:ascii="Arial" w:hAnsi="Arial" w:cs="Arial"/>
          <w:sz w:val="22"/>
          <w:szCs w:val="22"/>
        </w:rPr>
        <w:t>.</w:t>
      </w:r>
    </w:p>
    <w:p w14:paraId="30CFA41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Bernstein, E.E., Daniel, K.E., Miyares, P.E., Hoeppner, S.S., Bentley, K.H., Snorrason, I., Fisher, L.B., Greenberg, J.L., Weingarden, H., Harrison, O. and Wilhelm, S. (2025). Patterns of Skills Review in Smartphone Cognitive </w:t>
      </w:r>
      <w:proofErr w:type="spellStart"/>
      <w:r w:rsidRPr="0016460E">
        <w:rPr>
          <w:rFonts w:ascii="Arial" w:hAnsi="Arial" w:cs="Arial"/>
          <w:sz w:val="22"/>
          <w:szCs w:val="22"/>
        </w:rPr>
        <w:t>Behavioral</w:t>
      </w:r>
      <w:proofErr w:type="spellEnd"/>
      <w:r w:rsidRPr="0016460E">
        <w:rPr>
          <w:rFonts w:ascii="Arial" w:hAnsi="Arial" w:cs="Arial"/>
          <w:sz w:val="22"/>
          <w:szCs w:val="22"/>
        </w:rPr>
        <w:t xml:space="preserve"> Therapy for Depression: Observational Study of Intervention Content Use. </w:t>
      </w:r>
      <w:r w:rsidRPr="0016460E">
        <w:rPr>
          <w:rFonts w:ascii="Arial" w:hAnsi="Arial" w:cs="Arial"/>
          <w:i/>
          <w:iCs/>
          <w:sz w:val="22"/>
          <w:szCs w:val="22"/>
        </w:rPr>
        <w:t>JMIR Mental Health</w:t>
      </w:r>
      <w:r w:rsidRPr="0016460E">
        <w:rPr>
          <w:rFonts w:ascii="Arial" w:hAnsi="Arial" w:cs="Arial"/>
          <w:sz w:val="22"/>
          <w:szCs w:val="22"/>
        </w:rPr>
        <w:t xml:space="preserve">, 12, p.e63497.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://doi.org/10.2196/63497</w:t>
      </w:r>
      <w:proofErr w:type="gramEnd"/>
      <w:r w:rsidRPr="0016460E">
        <w:rPr>
          <w:rFonts w:ascii="Arial" w:hAnsi="Arial" w:cs="Arial"/>
          <w:sz w:val="22"/>
          <w:szCs w:val="22"/>
        </w:rPr>
        <w:t>.</w:t>
      </w:r>
    </w:p>
    <w:p w14:paraId="28D6EAE9"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Bernstein, E.E., Weingarden, H., Wolfe, E.C., Hall, M.D., Snorrason, I. and Wilhelm, S. (2022). Human Support in App-Based Cognitive </w:t>
      </w:r>
      <w:proofErr w:type="spellStart"/>
      <w:r w:rsidRPr="0016460E">
        <w:rPr>
          <w:rFonts w:ascii="Arial" w:hAnsi="Arial" w:cs="Arial"/>
          <w:sz w:val="22"/>
          <w:szCs w:val="22"/>
        </w:rPr>
        <w:t>Behavioral</w:t>
      </w:r>
      <w:proofErr w:type="spellEnd"/>
      <w:r w:rsidRPr="0016460E">
        <w:rPr>
          <w:rFonts w:ascii="Arial" w:hAnsi="Arial" w:cs="Arial"/>
          <w:sz w:val="22"/>
          <w:szCs w:val="22"/>
        </w:rPr>
        <w:t xml:space="preserve"> Therapies for Emotional Disorders: Scoping Review. </w:t>
      </w:r>
      <w:r w:rsidRPr="0016460E">
        <w:rPr>
          <w:rFonts w:ascii="Arial" w:hAnsi="Arial" w:cs="Arial"/>
          <w:i/>
          <w:iCs/>
          <w:sz w:val="22"/>
          <w:szCs w:val="22"/>
        </w:rPr>
        <w:t>Journal of Medical Internet Research</w:t>
      </w:r>
      <w:r w:rsidRPr="0016460E">
        <w:rPr>
          <w:rFonts w:ascii="Arial" w:hAnsi="Arial" w:cs="Arial"/>
          <w:sz w:val="22"/>
          <w:szCs w:val="22"/>
        </w:rPr>
        <w:t xml:space="preserve">, 24(4), p.e33307.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://doi.org/10.2196/33307</w:t>
      </w:r>
      <w:proofErr w:type="gramEnd"/>
      <w:r w:rsidRPr="0016460E">
        <w:rPr>
          <w:rFonts w:ascii="Arial" w:hAnsi="Arial" w:cs="Arial"/>
          <w:sz w:val="22"/>
          <w:szCs w:val="22"/>
        </w:rPr>
        <w:t>.</w:t>
      </w:r>
    </w:p>
    <w:p w14:paraId="57FEBD57"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Borghouts, J., Eikey, E., Mark, G., De Leon, C., Schueller, S.M., Schneider, M., Stadnick, N., Zheng, K., Mukamel, D. and Sorkin, D.H. (2021). </w:t>
      </w:r>
      <w:r w:rsidRPr="0016460E">
        <w:rPr>
          <w:rFonts w:ascii="Arial" w:hAnsi="Arial" w:cs="Arial"/>
          <w:sz w:val="22"/>
          <w:szCs w:val="22"/>
        </w:rPr>
        <w:t xml:space="preserve">Barriers to and Facilitators of User Engagement With Digital Mental Health Interventions: Systematic Review. </w:t>
      </w:r>
      <w:r w:rsidRPr="0016460E">
        <w:rPr>
          <w:rFonts w:ascii="Arial" w:hAnsi="Arial" w:cs="Arial"/>
          <w:i/>
          <w:iCs/>
          <w:sz w:val="22"/>
          <w:szCs w:val="22"/>
        </w:rPr>
        <w:t>Journal of Medical Internet Research</w:t>
      </w:r>
      <w:r w:rsidRPr="0016460E">
        <w:rPr>
          <w:rFonts w:ascii="Arial" w:hAnsi="Arial" w:cs="Arial"/>
          <w:sz w:val="22"/>
          <w:szCs w:val="22"/>
        </w:rPr>
        <w:t xml:space="preserve">, 23(3), p.e24387.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://doi.org/10.2196/24387</w:t>
      </w:r>
      <w:proofErr w:type="gramEnd"/>
      <w:r w:rsidRPr="0016460E">
        <w:rPr>
          <w:rFonts w:ascii="Arial" w:hAnsi="Arial" w:cs="Arial"/>
          <w:sz w:val="22"/>
          <w:szCs w:val="22"/>
        </w:rPr>
        <w:t>.</w:t>
      </w:r>
    </w:p>
    <w:p w14:paraId="62B2A47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Boucher, E.M. and </w:t>
      </w:r>
      <w:proofErr w:type="spellStart"/>
      <w:r w:rsidRPr="0016460E">
        <w:rPr>
          <w:rFonts w:ascii="Arial" w:hAnsi="Arial" w:cs="Arial"/>
          <w:sz w:val="22"/>
          <w:szCs w:val="22"/>
        </w:rPr>
        <w:t>Raiker</w:t>
      </w:r>
      <w:proofErr w:type="spellEnd"/>
      <w:r w:rsidRPr="0016460E">
        <w:rPr>
          <w:rFonts w:ascii="Arial" w:hAnsi="Arial" w:cs="Arial"/>
          <w:sz w:val="22"/>
          <w:szCs w:val="22"/>
        </w:rPr>
        <w:t xml:space="preserve">, J.S. (2024). Engagement and retention in digital mental health interventions: a narrative review. </w:t>
      </w:r>
      <w:r w:rsidRPr="0016460E">
        <w:rPr>
          <w:rFonts w:ascii="Arial" w:hAnsi="Arial" w:cs="Arial"/>
          <w:i/>
          <w:iCs/>
          <w:sz w:val="22"/>
          <w:szCs w:val="22"/>
        </w:rPr>
        <w:t>BMC Digital Health</w:t>
      </w:r>
      <w:r w:rsidRPr="0016460E">
        <w:rPr>
          <w:rFonts w:ascii="Arial" w:hAnsi="Arial" w:cs="Arial"/>
          <w:sz w:val="22"/>
          <w:szCs w:val="22"/>
        </w:rPr>
        <w:t xml:space="preserve">, 2(1).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://doi.org/10.1186/s44247-024-00105-9</w:t>
      </w:r>
      <w:proofErr w:type="gramEnd"/>
      <w:r w:rsidRPr="0016460E">
        <w:rPr>
          <w:rFonts w:ascii="Arial" w:hAnsi="Arial" w:cs="Arial"/>
          <w:sz w:val="22"/>
          <w:szCs w:val="22"/>
        </w:rPr>
        <w:t>.</w:t>
      </w:r>
    </w:p>
    <w:p w14:paraId="7A5D799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Bress, J.N., Falk, A., Schier, M.M., Abhishek Jaywant, Moroney, E., Dargis, M., Bennett, S.M., </w:t>
      </w:r>
      <w:proofErr w:type="spellStart"/>
      <w:r w:rsidRPr="0016460E">
        <w:rPr>
          <w:rFonts w:ascii="Arial" w:hAnsi="Arial" w:cs="Arial"/>
          <w:sz w:val="22"/>
          <w:szCs w:val="22"/>
        </w:rPr>
        <w:t>Scult</w:t>
      </w:r>
      <w:proofErr w:type="spellEnd"/>
      <w:r w:rsidRPr="0016460E">
        <w:rPr>
          <w:rFonts w:ascii="Arial" w:hAnsi="Arial" w:cs="Arial"/>
          <w:sz w:val="22"/>
          <w:szCs w:val="22"/>
        </w:rPr>
        <w:t xml:space="preserve">, M.A., Volpp, K.G., Asch, D.A., Balachandran, M., Perlis, R.H., Lee, F.S. and Gunning, F.M. (2024). Efficacy of a Mobile App-Based Intervention for Young Adults With Anxiety Disorders: A Randomized Clinical Trial. </w:t>
      </w:r>
      <w:r w:rsidRPr="0016460E">
        <w:rPr>
          <w:rFonts w:ascii="Arial" w:hAnsi="Arial" w:cs="Arial"/>
          <w:i/>
          <w:iCs/>
          <w:sz w:val="22"/>
          <w:szCs w:val="22"/>
        </w:rPr>
        <w:t>JAMA Network Open</w:t>
      </w:r>
      <w:r w:rsidRPr="0016460E">
        <w:rPr>
          <w:rFonts w:ascii="Arial" w:hAnsi="Arial" w:cs="Arial"/>
          <w:sz w:val="22"/>
          <w:szCs w:val="22"/>
        </w:rPr>
        <w:t xml:space="preserve">, [online] 7(8), </w:t>
      </w:r>
      <w:proofErr w:type="gramStart"/>
      <w:r w:rsidRPr="0016460E">
        <w:rPr>
          <w:rFonts w:ascii="Arial" w:hAnsi="Arial" w:cs="Arial"/>
          <w:sz w:val="22"/>
          <w:szCs w:val="22"/>
        </w:rPr>
        <w:t>pp.e</w:t>
      </w:r>
      <w:proofErr w:type="gramEnd"/>
      <w:r w:rsidRPr="0016460E">
        <w:rPr>
          <w:rFonts w:ascii="Arial" w:hAnsi="Arial" w:cs="Arial"/>
          <w:sz w:val="22"/>
          <w:szCs w:val="22"/>
        </w:rPr>
        <w:t xml:space="preserve">2428372–e2428372.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://doi.org/10.1001/jamanetworkopen.2024.28372</w:t>
      </w:r>
      <w:proofErr w:type="gramEnd"/>
      <w:r w:rsidRPr="0016460E">
        <w:rPr>
          <w:rFonts w:ascii="Arial" w:hAnsi="Arial" w:cs="Arial"/>
          <w:sz w:val="22"/>
          <w:szCs w:val="22"/>
        </w:rPr>
        <w:t>.</w:t>
      </w:r>
    </w:p>
    <w:p w14:paraId="6F0DC34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Chand, S.P., </w:t>
      </w:r>
      <w:proofErr w:type="spellStart"/>
      <w:r w:rsidRPr="0016460E">
        <w:rPr>
          <w:rFonts w:ascii="Arial" w:hAnsi="Arial" w:cs="Arial"/>
          <w:sz w:val="22"/>
          <w:szCs w:val="22"/>
        </w:rPr>
        <w:t>Kuckel</w:t>
      </w:r>
      <w:proofErr w:type="spellEnd"/>
      <w:r w:rsidRPr="0016460E">
        <w:rPr>
          <w:rFonts w:ascii="Arial" w:hAnsi="Arial" w:cs="Arial"/>
          <w:sz w:val="22"/>
          <w:szCs w:val="22"/>
        </w:rPr>
        <w:t xml:space="preserve">, D.P. and Huecker, M.R. (2023). </w:t>
      </w:r>
      <w:r w:rsidRPr="0016460E">
        <w:rPr>
          <w:rFonts w:ascii="Arial" w:hAnsi="Arial" w:cs="Arial"/>
          <w:i/>
          <w:iCs/>
          <w:sz w:val="22"/>
          <w:szCs w:val="22"/>
        </w:rPr>
        <w:t xml:space="preserve">Cognitive </w:t>
      </w:r>
      <w:proofErr w:type="spellStart"/>
      <w:r w:rsidRPr="0016460E">
        <w:rPr>
          <w:rFonts w:ascii="Arial" w:hAnsi="Arial" w:cs="Arial"/>
          <w:i/>
          <w:iCs/>
          <w:sz w:val="22"/>
          <w:szCs w:val="22"/>
        </w:rPr>
        <w:t>behavior</w:t>
      </w:r>
      <w:proofErr w:type="spellEnd"/>
      <w:r w:rsidRPr="0016460E">
        <w:rPr>
          <w:rFonts w:ascii="Arial" w:hAnsi="Arial" w:cs="Arial"/>
          <w:i/>
          <w:iCs/>
          <w:sz w:val="22"/>
          <w:szCs w:val="22"/>
        </w:rPr>
        <w:t xml:space="preserve"> therapy (CBT)</w:t>
      </w:r>
      <w:r w:rsidRPr="0016460E">
        <w:rPr>
          <w:rFonts w:ascii="Arial" w:hAnsi="Arial" w:cs="Arial"/>
          <w:sz w:val="22"/>
          <w:szCs w:val="22"/>
        </w:rPr>
        <w:t>. [online] National Library of Medicine. Available at: https://www.ncbi.nlm.nih.gov/books/NBK470241/.</w:t>
      </w:r>
    </w:p>
    <w:p w14:paraId="7E099B10"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Chaudhury, S., Srivastava, K., Dhamija, S., Prakash, J. and Chatterjee, K. (2020). Digital technological interventions in mental health care. </w:t>
      </w:r>
      <w:r w:rsidRPr="0016460E">
        <w:rPr>
          <w:rFonts w:ascii="Arial" w:hAnsi="Arial" w:cs="Arial"/>
          <w:i/>
          <w:iCs/>
          <w:sz w:val="22"/>
          <w:szCs w:val="22"/>
        </w:rPr>
        <w:t>Industrial Psychiatry Journal</w:t>
      </w:r>
      <w:r w:rsidRPr="0016460E">
        <w:rPr>
          <w:rFonts w:ascii="Arial" w:hAnsi="Arial" w:cs="Arial"/>
          <w:sz w:val="22"/>
          <w:szCs w:val="22"/>
        </w:rPr>
        <w:t xml:space="preserve">, [online] 29(2), p.181.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://doi.org/10.4103/ipj.ipj_32_21</w:t>
      </w:r>
      <w:proofErr w:type="gramEnd"/>
      <w:r w:rsidRPr="0016460E">
        <w:rPr>
          <w:rFonts w:ascii="Arial" w:hAnsi="Arial" w:cs="Arial"/>
          <w:sz w:val="22"/>
          <w:szCs w:val="22"/>
        </w:rPr>
        <w:t>.</w:t>
      </w:r>
    </w:p>
    <w:p w14:paraId="518EA30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Chu, B., Marwaha, K., Ayers, D. and Sanvictores, T. (2024). </w:t>
      </w:r>
      <w:r w:rsidRPr="0016460E">
        <w:rPr>
          <w:rFonts w:ascii="Arial" w:hAnsi="Arial" w:cs="Arial"/>
          <w:i/>
          <w:iCs/>
          <w:sz w:val="22"/>
          <w:szCs w:val="22"/>
        </w:rPr>
        <w:t>Physiology, Stress Reaction</w:t>
      </w:r>
      <w:r w:rsidRPr="0016460E">
        <w:rPr>
          <w:rFonts w:ascii="Arial" w:hAnsi="Arial" w:cs="Arial"/>
          <w:sz w:val="22"/>
          <w:szCs w:val="22"/>
        </w:rPr>
        <w:t>. [online] PubMed. Available at: https://www.ncbi.nlm.nih.gov/books/NBK541120/.</w:t>
      </w:r>
    </w:p>
    <w:p w14:paraId="68114B3C"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lastRenderedPageBreak/>
        <w:t xml:space="preserve">Clements, F. (2022). </w:t>
      </w:r>
      <w:r w:rsidRPr="0016460E">
        <w:rPr>
          <w:rFonts w:ascii="Arial" w:hAnsi="Arial" w:cs="Arial"/>
          <w:i/>
          <w:iCs/>
          <w:sz w:val="22"/>
          <w:szCs w:val="22"/>
        </w:rPr>
        <w:t>Library Guides: PY2106: Human Development Across the Lifespan Guide: Writing a Thematic Analysis</w:t>
      </w:r>
      <w:r w:rsidRPr="0016460E">
        <w:rPr>
          <w:rFonts w:ascii="Arial" w:hAnsi="Arial" w:cs="Arial"/>
          <w:sz w:val="22"/>
          <w:szCs w:val="22"/>
        </w:rPr>
        <w:t>. [online] libguides.jcu.edu.au. Available at: https://libguides.jcu.edu.au/py2106/lit-review.</w:t>
      </w:r>
    </w:p>
    <w:p w14:paraId="7A803B1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Clohessy, S., Arvanitis, T.N., Rashid, U., Craddock, C., Evans, M., Toro, C.T. and Elliott, M.T. (2024). Using digital tools in clinical, health and social care research: a mixed-methods study of UK stakeholders. </w:t>
      </w:r>
      <w:r w:rsidRPr="0016460E">
        <w:rPr>
          <w:rFonts w:ascii="Arial" w:hAnsi="Arial" w:cs="Arial"/>
          <w:i/>
          <w:iCs/>
          <w:sz w:val="22"/>
          <w:szCs w:val="22"/>
        </w:rPr>
        <w:t>BMJ open</w:t>
      </w:r>
      <w:r w:rsidRPr="0016460E">
        <w:rPr>
          <w:rFonts w:ascii="Arial" w:hAnsi="Arial" w:cs="Arial"/>
          <w:sz w:val="22"/>
          <w:szCs w:val="22"/>
        </w:rPr>
        <w:t xml:space="preserve">, 14(4), </w:t>
      </w:r>
      <w:proofErr w:type="gramStart"/>
      <w:r w:rsidRPr="0016460E">
        <w:rPr>
          <w:rFonts w:ascii="Arial" w:hAnsi="Arial" w:cs="Arial"/>
          <w:sz w:val="22"/>
          <w:szCs w:val="22"/>
        </w:rPr>
        <w:t>pp.e</w:t>
      </w:r>
      <w:proofErr w:type="gramEnd"/>
      <w:r w:rsidRPr="0016460E">
        <w:rPr>
          <w:rFonts w:ascii="Arial" w:hAnsi="Arial" w:cs="Arial"/>
          <w:sz w:val="22"/>
          <w:szCs w:val="22"/>
        </w:rPr>
        <w:t xml:space="preserve">076613–e076613.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://doi.org/10.1136/bmjopen-2023-076613</w:t>
      </w:r>
      <w:proofErr w:type="gramEnd"/>
      <w:r w:rsidRPr="0016460E">
        <w:rPr>
          <w:rFonts w:ascii="Arial" w:hAnsi="Arial" w:cs="Arial"/>
          <w:sz w:val="22"/>
          <w:szCs w:val="22"/>
        </w:rPr>
        <w:t>.</w:t>
      </w:r>
    </w:p>
    <w:p w14:paraId="24691DE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Cress, L. (2026). AI chatbots give inaccurate medical advice says Oxford Uni study. [online] 9 Feb. Available at: https://www.bbc.com/news/articles/c3093gjy2ero.</w:t>
      </w:r>
    </w:p>
    <w:p w14:paraId="6FAD1AAE"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Dawadi</w:t>
      </w:r>
      <w:proofErr w:type="spellEnd"/>
      <w:r w:rsidRPr="0016460E">
        <w:rPr>
          <w:rFonts w:ascii="Arial" w:hAnsi="Arial" w:cs="Arial"/>
          <w:sz w:val="22"/>
          <w:szCs w:val="22"/>
        </w:rPr>
        <w:t xml:space="preserve">, S. (2020). Thematic Analysis approach: a </w:t>
      </w:r>
      <w:proofErr w:type="gramStart"/>
      <w:r w:rsidRPr="0016460E">
        <w:rPr>
          <w:rFonts w:ascii="Arial" w:hAnsi="Arial" w:cs="Arial"/>
          <w:sz w:val="22"/>
          <w:szCs w:val="22"/>
        </w:rPr>
        <w:t>Step by Step</w:t>
      </w:r>
      <w:proofErr w:type="gramEnd"/>
      <w:r w:rsidRPr="0016460E">
        <w:rPr>
          <w:rFonts w:ascii="Arial" w:hAnsi="Arial" w:cs="Arial"/>
          <w:sz w:val="22"/>
          <w:szCs w:val="22"/>
        </w:rPr>
        <w:t xml:space="preserve"> Guide for ELT Research Practitioners. </w:t>
      </w:r>
      <w:r w:rsidRPr="0016460E">
        <w:rPr>
          <w:rFonts w:ascii="Arial" w:hAnsi="Arial" w:cs="Arial"/>
          <w:i/>
          <w:iCs/>
          <w:sz w:val="22"/>
          <w:szCs w:val="22"/>
        </w:rPr>
        <w:t>Journal of NELTA</w:t>
      </w:r>
      <w:r w:rsidRPr="0016460E">
        <w:rPr>
          <w:rFonts w:ascii="Arial" w:hAnsi="Arial" w:cs="Arial"/>
          <w:sz w:val="22"/>
          <w:szCs w:val="22"/>
        </w:rPr>
        <w:t>, 25(1-2), pp.62–71.</w:t>
      </w:r>
    </w:p>
    <w:p w14:paraId="5EE5776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Denecke, K., Schmid, N. and Nüssli, S. (2021). </w:t>
      </w:r>
      <w:r w:rsidRPr="0016460E">
        <w:rPr>
          <w:rFonts w:ascii="Arial" w:hAnsi="Arial" w:cs="Arial"/>
          <w:sz w:val="22"/>
          <w:szCs w:val="22"/>
        </w:rPr>
        <w:t xml:space="preserve">How Do </w:t>
      </w:r>
      <w:proofErr w:type="spellStart"/>
      <w:r w:rsidRPr="0016460E">
        <w:rPr>
          <w:rFonts w:ascii="Arial" w:hAnsi="Arial" w:cs="Arial"/>
          <w:sz w:val="22"/>
          <w:szCs w:val="22"/>
        </w:rPr>
        <w:t>eMental</w:t>
      </w:r>
      <w:proofErr w:type="spellEnd"/>
      <w:r w:rsidRPr="0016460E">
        <w:rPr>
          <w:rFonts w:ascii="Arial" w:hAnsi="Arial" w:cs="Arial"/>
          <w:sz w:val="22"/>
          <w:szCs w:val="22"/>
        </w:rPr>
        <w:t xml:space="preserve"> Health Apps Implement Cognitive </w:t>
      </w:r>
      <w:proofErr w:type="spellStart"/>
      <w:r w:rsidRPr="0016460E">
        <w:rPr>
          <w:rFonts w:ascii="Arial" w:hAnsi="Arial" w:cs="Arial"/>
          <w:sz w:val="22"/>
          <w:szCs w:val="22"/>
        </w:rPr>
        <w:t>Behavioral</w:t>
      </w:r>
      <w:proofErr w:type="spellEnd"/>
      <w:r w:rsidRPr="0016460E">
        <w:rPr>
          <w:rFonts w:ascii="Arial" w:hAnsi="Arial" w:cs="Arial"/>
          <w:sz w:val="22"/>
          <w:szCs w:val="22"/>
        </w:rPr>
        <w:t xml:space="preserve"> Therapy: A Literature Review (Preprint). </w:t>
      </w:r>
      <w:r w:rsidRPr="0016460E">
        <w:rPr>
          <w:rFonts w:ascii="Arial" w:hAnsi="Arial" w:cs="Arial"/>
          <w:i/>
          <w:iCs/>
          <w:sz w:val="22"/>
          <w:szCs w:val="22"/>
        </w:rPr>
        <w:t>Journal of Medical Internet Research</w:t>
      </w:r>
      <w:r w:rsidRPr="0016460E">
        <w:rPr>
          <w:rFonts w:ascii="Arial" w:hAnsi="Arial" w:cs="Arial"/>
          <w:sz w:val="22"/>
          <w:szCs w:val="22"/>
        </w:rPr>
        <w:t xml:space="preserve">, 24(3).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://doi.org/10.2196/27791</w:t>
      </w:r>
      <w:proofErr w:type="gramEnd"/>
      <w:r w:rsidRPr="0016460E">
        <w:rPr>
          <w:rFonts w:ascii="Arial" w:hAnsi="Arial" w:cs="Arial"/>
          <w:sz w:val="22"/>
          <w:szCs w:val="22"/>
        </w:rPr>
        <w:t>.</w:t>
      </w:r>
    </w:p>
    <w:p w14:paraId="24227D5E"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Di Carlo, F., </w:t>
      </w:r>
      <w:proofErr w:type="spellStart"/>
      <w:r w:rsidRPr="0016460E">
        <w:rPr>
          <w:rFonts w:ascii="Arial" w:hAnsi="Arial" w:cs="Arial"/>
          <w:sz w:val="22"/>
          <w:szCs w:val="22"/>
        </w:rPr>
        <w:t>Sociali</w:t>
      </w:r>
      <w:proofErr w:type="spellEnd"/>
      <w:r w:rsidRPr="0016460E">
        <w:rPr>
          <w:rFonts w:ascii="Arial" w:hAnsi="Arial" w:cs="Arial"/>
          <w:sz w:val="22"/>
          <w:szCs w:val="22"/>
        </w:rPr>
        <w:t xml:space="preserve">, A., </w:t>
      </w:r>
      <w:proofErr w:type="spellStart"/>
      <w:r w:rsidRPr="0016460E">
        <w:rPr>
          <w:rFonts w:ascii="Arial" w:hAnsi="Arial" w:cs="Arial"/>
          <w:sz w:val="22"/>
          <w:szCs w:val="22"/>
        </w:rPr>
        <w:t>Picutti</w:t>
      </w:r>
      <w:proofErr w:type="spellEnd"/>
      <w:r w:rsidRPr="0016460E">
        <w:rPr>
          <w:rFonts w:ascii="Arial" w:hAnsi="Arial" w:cs="Arial"/>
          <w:sz w:val="22"/>
          <w:szCs w:val="22"/>
        </w:rPr>
        <w:t xml:space="preserve">, E., Pettorruso, M., </w:t>
      </w:r>
      <w:proofErr w:type="spellStart"/>
      <w:r w:rsidRPr="0016460E">
        <w:rPr>
          <w:rFonts w:ascii="Arial" w:hAnsi="Arial" w:cs="Arial"/>
          <w:sz w:val="22"/>
          <w:szCs w:val="22"/>
        </w:rPr>
        <w:t>Vellante</w:t>
      </w:r>
      <w:proofErr w:type="spellEnd"/>
      <w:r w:rsidRPr="0016460E">
        <w:rPr>
          <w:rFonts w:ascii="Arial" w:hAnsi="Arial" w:cs="Arial"/>
          <w:sz w:val="22"/>
          <w:szCs w:val="22"/>
        </w:rPr>
        <w:t>, F., Verrastro, V., Martinotti, G. and di Giannantonio, M. (2020). Telepsychiatry and other cutting</w:t>
      </w:r>
      <w:r w:rsidRPr="0016460E">
        <w:rPr>
          <w:rFonts w:ascii="Cambria Math" w:hAnsi="Cambria Math" w:cs="Cambria Math"/>
          <w:sz w:val="22"/>
          <w:szCs w:val="22"/>
        </w:rPr>
        <w:t>‐</w:t>
      </w:r>
      <w:r w:rsidRPr="0016460E">
        <w:rPr>
          <w:rFonts w:ascii="Arial" w:hAnsi="Arial" w:cs="Arial"/>
          <w:sz w:val="22"/>
          <w:szCs w:val="22"/>
        </w:rPr>
        <w:t>edge technologies in COVID</w:t>
      </w:r>
      <w:r w:rsidRPr="0016460E">
        <w:rPr>
          <w:rFonts w:ascii="Cambria Math" w:hAnsi="Cambria Math" w:cs="Cambria Math"/>
          <w:sz w:val="22"/>
          <w:szCs w:val="22"/>
        </w:rPr>
        <w:t>‐</w:t>
      </w:r>
      <w:r w:rsidRPr="0016460E">
        <w:rPr>
          <w:rFonts w:ascii="Arial" w:hAnsi="Arial" w:cs="Arial"/>
          <w:sz w:val="22"/>
          <w:szCs w:val="22"/>
        </w:rPr>
        <w:t xml:space="preserve">19 pandemic: Bridging the distance in mental health assistance. </w:t>
      </w:r>
      <w:r w:rsidRPr="0016460E">
        <w:rPr>
          <w:rFonts w:ascii="Arial" w:hAnsi="Arial" w:cs="Arial"/>
          <w:i/>
          <w:iCs/>
          <w:sz w:val="22"/>
          <w:szCs w:val="22"/>
        </w:rPr>
        <w:t>International Journal of Clinical Practice</w:t>
      </w:r>
      <w:r w:rsidRPr="0016460E">
        <w:rPr>
          <w:rFonts w:ascii="Arial" w:hAnsi="Arial" w:cs="Arial"/>
          <w:sz w:val="22"/>
          <w:szCs w:val="22"/>
        </w:rPr>
        <w:t xml:space="preserve">, 75(1).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://doi.org/10.1111/ijcp.13716</w:t>
      </w:r>
      <w:proofErr w:type="gramEnd"/>
      <w:r w:rsidRPr="0016460E">
        <w:rPr>
          <w:rFonts w:ascii="Arial" w:hAnsi="Arial" w:cs="Arial"/>
          <w:sz w:val="22"/>
          <w:szCs w:val="22"/>
        </w:rPr>
        <w:t>.</w:t>
      </w:r>
    </w:p>
    <w:p w14:paraId="5A30358C"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DTAC (2025). </w:t>
      </w:r>
      <w:r w:rsidRPr="0016460E">
        <w:rPr>
          <w:rFonts w:ascii="Arial" w:hAnsi="Arial" w:cs="Arial"/>
          <w:i/>
          <w:iCs/>
          <w:sz w:val="22"/>
          <w:szCs w:val="22"/>
        </w:rPr>
        <w:t>Using the Digital Technology Assessment Criteria (DTAC) - AI and Digital Regulations Service for health and social care</w:t>
      </w:r>
      <w:r w:rsidRPr="0016460E">
        <w:rPr>
          <w:rFonts w:ascii="Arial" w:hAnsi="Arial" w:cs="Arial"/>
          <w:sz w:val="22"/>
          <w:szCs w:val="22"/>
        </w:rPr>
        <w:t>. [online] AI and Digital Regulations Service for health and social care. Available at: https://www.digitalregulations.innovation.nhs.uk/regulations-and-guidance-for-developers/all-developers-guidance/using-the-digital-technology-assessment-criteria-dtac/.</w:t>
      </w:r>
    </w:p>
    <w:p w14:paraId="068310C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Elkes, J., Cro, S., Batchelor, R., O’Connor, S., Yu, L.-M., Bell, L., Harris, V., Sin, J. and Cornelius, V. (2024). User engagement in clinical trials of digital mental health interventions: a systematic review. </w:t>
      </w:r>
      <w:r w:rsidRPr="0016460E">
        <w:rPr>
          <w:rFonts w:ascii="Arial" w:hAnsi="Arial" w:cs="Arial"/>
          <w:i/>
          <w:iCs/>
          <w:sz w:val="22"/>
          <w:szCs w:val="22"/>
        </w:rPr>
        <w:t>BMC Medical Research Methodology</w:t>
      </w:r>
      <w:r w:rsidRPr="0016460E">
        <w:rPr>
          <w:rFonts w:ascii="Arial" w:hAnsi="Arial" w:cs="Arial"/>
          <w:sz w:val="22"/>
          <w:szCs w:val="22"/>
        </w:rPr>
        <w:t xml:space="preserve">, 24(1).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://doi.org/10.1186/s12874-024-02308-0</w:t>
      </w:r>
      <w:proofErr w:type="gramEnd"/>
      <w:r w:rsidRPr="0016460E">
        <w:rPr>
          <w:rFonts w:ascii="Arial" w:hAnsi="Arial" w:cs="Arial"/>
          <w:sz w:val="22"/>
          <w:szCs w:val="22"/>
        </w:rPr>
        <w:t>.</w:t>
      </w:r>
    </w:p>
    <w:p w14:paraId="6D268E3B"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Fan, Y., Fan, A., Yang, Z. and Fan, D. (2025). Global burden of mental disorders in 204 countries and territories, 1990–2021: results from the global burden of disease study 2021. </w:t>
      </w:r>
      <w:r w:rsidRPr="0016460E">
        <w:rPr>
          <w:rFonts w:ascii="Arial" w:hAnsi="Arial" w:cs="Arial"/>
          <w:i/>
          <w:iCs/>
          <w:sz w:val="22"/>
          <w:szCs w:val="22"/>
        </w:rPr>
        <w:t>BMC Psychiatry</w:t>
      </w:r>
      <w:r w:rsidRPr="0016460E">
        <w:rPr>
          <w:rFonts w:ascii="Arial" w:hAnsi="Arial" w:cs="Arial"/>
          <w:sz w:val="22"/>
          <w:szCs w:val="22"/>
        </w:rPr>
        <w:t xml:space="preserve">, 25(1).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://doi.org/10.1186/s12888-025-06932-y</w:t>
      </w:r>
      <w:proofErr w:type="gramEnd"/>
      <w:r w:rsidRPr="0016460E">
        <w:rPr>
          <w:rFonts w:ascii="Arial" w:hAnsi="Arial" w:cs="Arial"/>
          <w:sz w:val="22"/>
          <w:szCs w:val="22"/>
        </w:rPr>
        <w:t>.</w:t>
      </w:r>
    </w:p>
    <w:p w14:paraId="7B2B70A1"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lastRenderedPageBreak/>
        <w:t>Fanarioti</w:t>
      </w:r>
      <w:proofErr w:type="spellEnd"/>
      <w:r w:rsidRPr="0016460E">
        <w:rPr>
          <w:rFonts w:ascii="Arial" w:hAnsi="Arial" w:cs="Arial"/>
          <w:sz w:val="22"/>
          <w:szCs w:val="22"/>
        </w:rPr>
        <w:t xml:space="preserve">, A.K. and </w:t>
      </w:r>
      <w:proofErr w:type="spellStart"/>
      <w:r w:rsidRPr="0016460E">
        <w:rPr>
          <w:rFonts w:ascii="Arial" w:hAnsi="Arial" w:cs="Arial"/>
          <w:sz w:val="22"/>
          <w:szCs w:val="22"/>
        </w:rPr>
        <w:t>Karpouzis</w:t>
      </w:r>
      <w:proofErr w:type="spellEnd"/>
      <w:r w:rsidRPr="0016460E">
        <w:rPr>
          <w:rFonts w:ascii="Arial" w:hAnsi="Arial" w:cs="Arial"/>
          <w:sz w:val="22"/>
          <w:szCs w:val="22"/>
        </w:rPr>
        <w:t xml:space="preserve">, K. (2025). Artificial Intelligence and the Future of Mental Health in a Digitally Transformed World. </w:t>
      </w:r>
      <w:r w:rsidRPr="0016460E">
        <w:rPr>
          <w:rFonts w:ascii="Arial" w:hAnsi="Arial" w:cs="Arial"/>
          <w:i/>
          <w:iCs/>
          <w:sz w:val="22"/>
          <w:szCs w:val="22"/>
        </w:rPr>
        <w:t>Computers</w:t>
      </w:r>
      <w:r w:rsidRPr="0016460E">
        <w:rPr>
          <w:rFonts w:ascii="Arial" w:hAnsi="Arial" w:cs="Arial"/>
          <w:sz w:val="22"/>
          <w:szCs w:val="22"/>
        </w:rPr>
        <w:t xml:space="preserve">, [online] 14(7), pp.259–259.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://doi.org/10.3390/computers14070259</w:t>
      </w:r>
      <w:proofErr w:type="gramEnd"/>
      <w:r w:rsidRPr="0016460E">
        <w:rPr>
          <w:rFonts w:ascii="Arial" w:hAnsi="Arial" w:cs="Arial"/>
          <w:sz w:val="22"/>
          <w:szCs w:val="22"/>
        </w:rPr>
        <w:t>.</w:t>
      </w:r>
    </w:p>
    <w:p w14:paraId="4C8CD2CA"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Fleming, T., Lucassen, M., Frampton, C., Parag, V., Bullen, C., Merry, S., Shepherd, M. and Stasiak, K. (2025). Nationwide Implementation of Unguided Cognitive </w:t>
      </w:r>
      <w:proofErr w:type="spellStart"/>
      <w:r w:rsidRPr="0016460E">
        <w:rPr>
          <w:rFonts w:ascii="Arial" w:hAnsi="Arial" w:cs="Arial"/>
          <w:sz w:val="22"/>
          <w:szCs w:val="22"/>
        </w:rPr>
        <w:t>Behavioral</w:t>
      </w:r>
      <w:proofErr w:type="spellEnd"/>
      <w:r w:rsidRPr="0016460E">
        <w:rPr>
          <w:rFonts w:ascii="Arial" w:hAnsi="Arial" w:cs="Arial"/>
          <w:sz w:val="22"/>
          <w:szCs w:val="22"/>
        </w:rPr>
        <w:t xml:space="preserve"> Therapy for Adolescent Depression: Observational Study of SPARX. </w:t>
      </w:r>
      <w:r w:rsidRPr="0016460E">
        <w:rPr>
          <w:rFonts w:ascii="Arial" w:hAnsi="Arial" w:cs="Arial"/>
          <w:i/>
          <w:iCs/>
          <w:sz w:val="22"/>
          <w:szCs w:val="22"/>
        </w:rPr>
        <w:t>Journal of Medical Internet Research</w:t>
      </w:r>
      <w:r w:rsidRPr="0016460E">
        <w:rPr>
          <w:rFonts w:ascii="Arial" w:hAnsi="Arial" w:cs="Arial"/>
          <w:sz w:val="22"/>
          <w:szCs w:val="22"/>
        </w:rPr>
        <w:t xml:space="preserve">, [online] 27, </w:t>
      </w:r>
      <w:proofErr w:type="gramStart"/>
      <w:r w:rsidRPr="0016460E">
        <w:rPr>
          <w:rFonts w:ascii="Arial" w:hAnsi="Arial" w:cs="Arial"/>
          <w:sz w:val="22"/>
          <w:szCs w:val="22"/>
        </w:rPr>
        <w:t>pp.e</w:t>
      </w:r>
      <w:proofErr w:type="gramEnd"/>
      <w:r w:rsidRPr="0016460E">
        <w:rPr>
          <w:rFonts w:ascii="Arial" w:hAnsi="Arial" w:cs="Arial"/>
          <w:sz w:val="22"/>
          <w:szCs w:val="22"/>
        </w:rPr>
        <w:t xml:space="preserve">66047–e66047.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://doi.org/10.2196/66047</w:t>
      </w:r>
      <w:proofErr w:type="gramEnd"/>
      <w:r w:rsidRPr="0016460E">
        <w:rPr>
          <w:rFonts w:ascii="Arial" w:hAnsi="Arial" w:cs="Arial"/>
          <w:sz w:val="22"/>
          <w:szCs w:val="22"/>
        </w:rPr>
        <w:t>.</w:t>
      </w:r>
    </w:p>
    <w:p w14:paraId="517F646D"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Forand, N.R., </w:t>
      </w:r>
      <w:proofErr w:type="spellStart"/>
      <w:r w:rsidRPr="0016460E">
        <w:rPr>
          <w:rFonts w:ascii="Arial" w:hAnsi="Arial" w:cs="Arial"/>
          <w:sz w:val="22"/>
          <w:szCs w:val="22"/>
        </w:rPr>
        <w:t>Nettiksimmons</w:t>
      </w:r>
      <w:proofErr w:type="spellEnd"/>
      <w:r w:rsidRPr="0016460E">
        <w:rPr>
          <w:rFonts w:ascii="Arial" w:hAnsi="Arial" w:cs="Arial"/>
          <w:sz w:val="22"/>
          <w:szCs w:val="22"/>
        </w:rPr>
        <w:t xml:space="preserve">, J., Anton, M., Truxson, R., Vanderwood, K. and Green, B. (2025). Depression and Anxiety Outcomes in a Technology-Enabled Psychotherapy Practice: Retrospective Cohort Study. </w:t>
      </w:r>
      <w:r w:rsidRPr="0016460E">
        <w:rPr>
          <w:rFonts w:ascii="Arial" w:hAnsi="Arial" w:cs="Arial"/>
          <w:i/>
          <w:iCs/>
          <w:sz w:val="22"/>
          <w:szCs w:val="22"/>
        </w:rPr>
        <w:t>JMIR Formative Research</w:t>
      </w:r>
      <w:r w:rsidRPr="0016460E">
        <w:rPr>
          <w:rFonts w:ascii="Arial" w:hAnsi="Arial" w:cs="Arial"/>
          <w:sz w:val="22"/>
          <w:szCs w:val="22"/>
        </w:rPr>
        <w:t xml:space="preserve">, [online] 9, </w:t>
      </w:r>
      <w:proofErr w:type="gramStart"/>
      <w:r w:rsidRPr="0016460E">
        <w:rPr>
          <w:rFonts w:ascii="Arial" w:hAnsi="Arial" w:cs="Arial"/>
          <w:sz w:val="22"/>
          <w:szCs w:val="22"/>
        </w:rPr>
        <w:t>pp.e</w:t>
      </w:r>
      <w:proofErr w:type="gramEnd"/>
      <w:r w:rsidRPr="0016460E">
        <w:rPr>
          <w:rFonts w:ascii="Arial" w:hAnsi="Arial" w:cs="Arial"/>
          <w:sz w:val="22"/>
          <w:szCs w:val="22"/>
        </w:rPr>
        <w:t xml:space="preserve">76264–e76264.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://doi.org/10.2196/76264</w:t>
      </w:r>
      <w:proofErr w:type="gramEnd"/>
      <w:r w:rsidRPr="0016460E">
        <w:rPr>
          <w:rFonts w:ascii="Arial" w:hAnsi="Arial" w:cs="Arial"/>
          <w:sz w:val="22"/>
          <w:szCs w:val="22"/>
        </w:rPr>
        <w:t>.</w:t>
      </w:r>
    </w:p>
    <w:p w14:paraId="1F3C89A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Gama, B. (2023). Self-help: a Systematic Review of the Efficacy of Mental Health Apps for Low- and Middle-Income Communities. </w:t>
      </w:r>
      <w:r w:rsidRPr="0016460E">
        <w:rPr>
          <w:rFonts w:ascii="Arial" w:hAnsi="Arial" w:cs="Arial"/>
          <w:i/>
          <w:iCs/>
          <w:sz w:val="22"/>
          <w:szCs w:val="22"/>
        </w:rPr>
        <w:t xml:space="preserve">Journal of Technology in </w:t>
      </w:r>
      <w:proofErr w:type="spellStart"/>
      <w:r w:rsidRPr="0016460E">
        <w:rPr>
          <w:rFonts w:ascii="Arial" w:hAnsi="Arial" w:cs="Arial"/>
          <w:i/>
          <w:iCs/>
          <w:sz w:val="22"/>
          <w:szCs w:val="22"/>
        </w:rPr>
        <w:t>Behavioral</w:t>
      </w:r>
      <w:proofErr w:type="spellEnd"/>
      <w:r w:rsidRPr="0016460E">
        <w:rPr>
          <w:rFonts w:ascii="Arial" w:hAnsi="Arial" w:cs="Arial"/>
          <w:i/>
          <w:iCs/>
          <w:sz w:val="22"/>
          <w:szCs w:val="22"/>
        </w:rPr>
        <w:t xml:space="preserve"> Science</w:t>
      </w:r>
      <w:r w:rsidRPr="0016460E">
        <w:rPr>
          <w:rFonts w:ascii="Arial" w:hAnsi="Arial" w:cs="Arial"/>
          <w:sz w:val="22"/>
          <w:szCs w:val="22"/>
        </w:rPr>
        <w:t xml:space="preserve">.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://doi.org/10.1007/s41347-023-00360-z</w:t>
      </w:r>
      <w:proofErr w:type="gramEnd"/>
      <w:r w:rsidRPr="0016460E">
        <w:rPr>
          <w:rFonts w:ascii="Arial" w:hAnsi="Arial" w:cs="Arial"/>
          <w:sz w:val="22"/>
          <w:szCs w:val="22"/>
        </w:rPr>
        <w:t>.</w:t>
      </w:r>
    </w:p>
    <w:p w14:paraId="7079C69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George, P., Jones, N., Goldman, H. and Rosenblatt, A. (2023). Cycles of reform in the history of psychosis treatment in the United States. </w:t>
      </w:r>
      <w:r w:rsidRPr="0016460E">
        <w:rPr>
          <w:rFonts w:ascii="Arial" w:hAnsi="Arial" w:cs="Arial"/>
          <w:i/>
          <w:iCs/>
          <w:sz w:val="22"/>
          <w:szCs w:val="22"/>
        </w:rPr>
        <w:t>SSM - Mental Health</w:t>
      </w:r>
      <w:r w:rsidRPr="0016460E">
        <w:rPr>
          <w:rFonts w:ascii="Arial" w:hAnsi="Arial" w:cs="Arial"/>
          <w:sz w:val="22"/>
          <w:szCs w:val="22"/>
        </w:rPr>
        <w:t xml:space="preserve">, [online] 3(1), p.100205.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://doi.org/10.1016/j.ssmmh.2023.100205</w:t>
      </w:r>
      <w:proofErr w:type="gramEnd"/>
      <w:r w:rsidRPr="0016460E">
        <w:rPr>
          <w:rFonts w:ascii="Arial" w:hAnsi="Arial" w:cs="Arial"/>
          <w:sz w:val="22"/>
          <w:szCs w:val="22"/>
        </w:rPr>
        <w:t>.</w:t>
      </w:r>
    </w:p>
    <w:p w14:paraId="0AC5C4BD"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Gleason, M. (2021). </w:t>
      </w:r>
      <w:r w:rsidRPr="0016460E">
        <w:rPr>
          <w:rFonts w:ascii="Arial" w:hAnsi="Arial" w:cs="Arial"/>
          <w:i/>
          <w:iCs/>
          <w:sz w:val="22"/>
          <w:szCs w:val="22"/>
        </w:rPr>
        <w:t xml:space="preserve">The Digital Mental Health Market Is Booming. Here’s Why Some Experts Are Concerned | The Center for Technology and </w:t>
      </w:r>
      <w:proofErr w:type="spellStart"/>
      <w:r w:rsidRPr="0016460E">
        <w:rPr>
          <w:rFonts w:ascii="Arial" w:hAnsi="Arial" w:cs="Arial"/>
          <w:i/>
          <w:iCs/>
          <w:sz w:val="22"/>
          <w:szCs w:val="22"/>
        </w:rPr>
        <w:t>Behavioral</w:t>
      </w:r>
      <w:proofErr w:type="spellEnd"/>
      <w:r w:rsidRPr="0016460E">
        <w:rPr>
          <w:rFonts w:ascii="Arial" w:hAnsi="Arial" w:cs="Arial"/>
          <w:i/>
          <w:iCs/>
          <w:sz w:val="22"/>
          <w:szCs w:val="22"/>
        </w:rPr>
        <w:t xml:space="preserve"> Health</w:t>
      </w:r>
      <w:r w:rsidRPr="0016460E">
        <w:rPr>
          <w:rFonts w:ascii="Arial" w:hAnsi="Arial" w:cs="Arial"/>
          <w:sz w:val="22"/>
          <w:szCs w:val="22"/>
        </w:rPr>
        <w:t xml:space="preserve">. [online] The Center for Technology and </w:t>
      </w:r>
      <w:proofErr w:type="spellStart"/>
      <w:r w:rsidRPr="0016460E">
        <w:rPr>
          <w:rFonts w:ascii="Arial" w:hAnsi="Arial" w:cs="Arial"/>
          <w:sz w:val="22"/>
          <w:szCs w:val="22"/>
        </w:rPr>
        <w:t>Behavioral</w:t>
      </w:r>
      <w:proofErr w:type="spellEnd"/>
      <w:r w:rsidRPr="0016460E">
        <w:rPr>
          <w:rFonts w:ascii="Arial" w:hAnsi="Arial" w:cs="Arial"/>
          <w:sz w:val="22"/>
          <w:szCs w:val="22"/>
        </w:rPr>
        <w:t xml:space="preserve"> Health. Available at: https://www.c4tbh.org/the-digital-mental-health-market-is-booming-heres-why-some-experts-are-concerned/ [Accessed 26 Feb. 2026].</w:t>
      </w:r>
    </w:p>
    <w:p w14:paraId="60194D9E"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Götzl, C., Hiller, S., Rauschenberg, C., Schick, A., Fechtelpeter, J., Fischer Abaigar, U., Koppe, G., Durstewitz, D., Reininghaus, U. and Krumm, S. (2022). </w:t>
      </w:r>
      <w:r w:rsidRPr="0016460E">
        <w:rPr>
          <w:rFonts w:ascii="Arial" w:hAnsi="Arial" w:cs="Arial"/>
          <w:sz w:val="22"/>
          <w:szCs w:val="22"/>
        </w:rPr>
        <w:t xml:space="preserve">Artificial intelligence-informed mobile mental health apps for young people: a mixed-methods approach on users’ and stakeholders’ perspectives. </w:t>
      </w:r>
      <w:r w:rsidRPr="0016460E">
        <w:rPr>
          <w:rFonts w:ascii="Arial" w:hAnsi="Arial" w:cs="Arial"/>
          <w:i/>
          <w:iCs/>
          <w:sz w:val="22"/>
          <w:szCs w:val="22"/>
        </w:rPr>
        <w:t>Child and Adolescent Psychiatry and Mental Health</w:t>
      </w:r>
      <w:r w:rsidRPr="0016460E">
        <w:rPr>
          <w:rFonts w:ascii="Arial" w:hAnsi="Arial" w:cs="Arial"/>
          <w:sz w:val="22"/>
          <w:szCs w:val="22"/>
        </w:rPr>
        <w:t xml:space="preserve">, 16(1).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://doi.org/10.1186/s13034-022-00522-6</w:t>
      </w:r>
      <w:proofErr w:type="gramEnd"/>
      <w:r w:rsidRPr="0016460E">
        <w:rPr>
          <w:rFonts w:ascii="Arial" w:hAnsi="Arial" w:cs="Arial"/>
          <w:sz w:val="22"/>
          <w:szCs w:val="22"/>
        </w:rPr>
        <w:t>.</w:t>
      </w:r>
    </w:p>
    <w:p w14:paraId="45C380C3"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GOV.UK (2026). </w:t>
      </w:r>
      <w:r w:rsidRPr="0016460E">
        <w:rPr>
          <w:rFonts w:ascii="Arial" w:hAnsi="Arial" w:cs="Arial"/>
          <w:i/>
          <w:iCs/>
          <w:sz w:val="22"/>
          <w:szCs w:val="22"/>
        </w:rPr>
        <w:t>MHRA issues new guidance for people using mental health apps and technologies</w:t>
      </w:r>
      <w:r w:rsidRPr="0016460E">
        <w:rPr>
          <w:rFonts w:ascii="Arial" w:hAnsi="Arial" w:cs="Arial"/>
          <w:sz w:val="22"/>
          <w:szCs w:val="22"/>
        </w:rPr>
        <w:t>. [online] GOV.UK. Available at: https://www.gov.uk/government/news/mhra-issues-new-guidance-for-people-using-mental-health-apps-and-technologies.</w:t>
      </w:r>
    </w:p>
    <w:p w14:paraId="782F94EC"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Guracho</w:t>
      </w:r>
      <w:proofErr w:type="spellEnd"/>
      <w:r w:rsidRPr="0016460E">
        <w:rPr>
          <w:rFonts w:ascii="Arial" w:hAnsi="Arial" w:cs="Arial"/>
          <w:sz w:val="22"/>
          <w:szCs w:val="22"/>
        </w:rPr>
        <w:t xml:space="preserve">, Y.D., Thomas, S.J., Nawaf </w:t>
      </w:r>
      <w:proofErr w:type="spellStart"/>
      <w:r w:rsidRPr="0016460E">
        <w:rPr>
          <w:rFonts w:ascii="Arial" w:hAnsi="Arial" w:cs="Arial"/>
          <w:sz w:val="22"/>
          <w:szCs w:val="22"/>
        </w:rPr>
        <w:t>Ammutairi</w:t>
      </w:r>
      <w:proofErr w:type="spellEnd"/>
      <w:r w:rsidRPr="0016460E">
        <w:rPr>
          <w:rFonts w:ascii="Arial" w:hAnsi="Arial" w:cs="Arial"/>
          <w:sz w:val="22"/>
          <w:szCs w:val="22"/>
        </w:rPr>
        <w:t xml:space="preserve"> and Win, K.T. (2025). Design and development of a mobile mental health application for individuals with depression and </w:t>
      </w:r>
      <w:r w:rsidRPr="0016460E">
        <w:rPr>
          <w:rFonts w:ascii="Arial" w:hAnsi="Arial" w:cs="Arial"/>
          <w:sz w:val="22"/>
          <w:szCs w:val="22"/>
        </w:rPr>
        <w:lastRenderedPageBreak/>
        <w:t xml:space="preserve">anxiety: design science research methods. </w:t>
      </w:r>
      <w:r w:rsidRPr="0016460E">
        <w:rPr>
          <w:rFonts w:ascii="Arial" w:hAnsi="Arial" w:cs="Arial"/>
          <w:i/>
          <w:iCs/>
          <w:sz w:val="22"/>
          <w:szCs w:val="22"/>
        </w:rPr>
        <w:t>Behaviour and Information Technology</w:t>
      </w:r>
      <w:r w:rsidRPr="0016460E">
        <w:rPr>
          <w:rFonts w:ascii="Arial" w:hAnsi="Arial" w:cs="Arial"/>
          <w:sz w:val="22"/>
          <w:szCs w:val="22"/>
        </w:rPr>
        <w:t xml:space="preserve">, pp.1–16.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://doi.org/10.1080/0144929x.2025.2481639</w:t>
      </w:r>
      <w:proofErr w:type="gramEnd"/>
      <w:r w:rsidRPr="0016460E">
        <w:rPr>
          <w:rFonts w:ascii="Arial" w:hAnsi="Arial" w:cs="Arial"/>
          <w:sz w:val="22"/>
          <w:szCs w:val="22"/>
        </w:rPr>
        <w:t>.</w:t>
      </w:r>
    </w:p>
    <w:p w14:paraId="54712B01"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Gusenbauer, M. and Gauster, S.P. (2024). </w:t>
      </w:r>
      <w:r w:rsidRPr="0016460E">
        <w:rPr>
          <w:rFonts w:ascii="Arial" w:hAnsi="Arial" w:cs="Arial"/>
          <w:sz w:val="22"/>
          <w:szCs w:val="22"/>
        </w:rPr>
        <w:t xml:space="preserve">How to Search for Literature in Systematic Reviews and meta-analyses: a Comprehensive step-by-step Guide. </w:t>
      </w:r>
      <w:r w:rsidRPr="0016460E">
        <w:rPr>
          <w:rFonts w:ascii="Arial" w:hAnsi="Arial" w:cs="Arial"/>
          <w:i/>
          <w:iCs/>
          <w:sz w:val="22"/>
          <w:szCs w:val="22"/>
        </w:rPr>
        <w:t>Technological Forecasting and Social Change</w:t>
      </w:r>
      <w:r w:rsidRPr="0016460E">
        <w:rPr>
          <w:rFonts w:ascii="Arial" w:hAnsi="Arial" w:cs="Arial"/>
          <w:sz w:val="22"/>
          <w:szCs w:val="22"/>
        </w:rPr>
        <w:t xml:space="preserve">, [online] 212, p.123833.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://doi.org/10.1016/j.techfore.2024.123833</w:t>
      </w:r>
      <w:proofErr w:type="gramEnd"/>
      <w:r w:rsidRPr="0016460E">
        <w:rPr>
          <w:rFonts w:ascii="Arial" w:hAnsi="Arial" w:cs="Arial"/>
          <w:sz w:val="22"/>
          <w:szCs w:val="22"/>
        </w:rPr>
        <w:t>.</w:t>
      </w:r>
    </w:p>
    <w:p w14:paraId="148B9637"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Gusenbauer, M. and Haddaway, N.R. (2020). Which Academic Search Systems Are Suitable for Systematic Reviews or meta</w:t>
      </w:r>
      <w:r w:rsidRPr="0016460E">
        <w:rPr>
          <w:rFonts w:ascii="Cambria Math" w:hAnsi="Cambria Math" w:cs="Cambria Math"/>
          <w:sz w:val="22"/>
          <w:szCs w:val="22"/>
        </w:rPr>
        <w:t>‐</w:t>
      </w:r>
      <w:r w:rsidRPr="0016460E">
        <w:rPr>
          <w:rFonts w:ascii="Arial" w:hAnsi="Arial" w:cs="Arial"/>
          <w:sz w:val="22"/>
          <w:szCs w:val="22"/>
        </w:rPr>
        <w:t xml:space="preserve">analyses? Evaluating Retrieval Qualities of Google Scholar, PubMed, and 26 Other Resources. </w:t>
      </w:r>
      <w:r w:rsidRPr="0016460E">
        <w:rPr>
          <w:rFonts w:ascii="Arial" w:hAnsi="Arial" w:cs="Arial"/>
          <w:i/>
          <w:iCs/>
          <w:sz w:val="22"/>
          <w:szCs w:val="22"/>
        </w:rPr>
        <w:t>Research Synthesis Methods</w:t>
      </w:r>
      <w:r w:rsidRPr="0016460E">
        <w:rPr>
          <w:rFonts w:ascii="Arial" w:hAnsi="Arial" w:cs="Arial"/>
          <w:sz w:val="22"/>
          <w:szCs w:val="22"/>
        </w:rPr>
        <w:t xml:space="preserve">, [online] 11(2), pp.181–217.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://doi.org/10.1002/jrsm.1378</w:t>
      </w:r>
      <w:proofErr w:type="gramEnd"/>
      <w:r w:rsidRPr="0016460E">
        <w:rPr>
          <w:rFonts w:ascii="Arial" w:hAnsi="Arial" w:cs="Arial"/>
          <w:sz w:val="22"/>
          <w:szCs w:val="22"/>
        </w:rPr>
        <w:t>.</w:t>
      </w:r>
    </w:p>
    <w:p w14:paraId="4A0E6F1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Hawke, L.J., Nelson, E., O’Brien, P., Crossley, K.M., Choong, P.F., </w:t>
      </w:r>
      <w:proofErr w:type="spellStart"/>
      <w:r w:rsidRPr="0016460E">
        <w:rPr>
          <w:rFonts w:ascii="Arial" w:hAnsi="Arial" w:cs="Arial"/>
          <w:sz w:val="22"/>
          <w:szCs w:val="22"/>
        </w:rPr>
        <w:t>Bunzli</w:t>
      </w:r>
      <w:proofErr w:type="spellEnd"/>
      <w:r w:rsidRPr="0016460E">
        <w:rPr>
          <w:rFonts w:ascii="Arial" w:hAnsi="Arial" w:cs="Arial"/>
          <w:sz w:val="22"/>
          <w:szCs w:val="22"/>
        </w:rPr>
        <w:t xml:space="preserve">, S. and Dowsey, M.M. (2024). Influences on clinical trial participation: Enhancing recruitment through a gender lens - A scoping review. </w:t>
      </w:r>
      <w:r w:rsidRPr="0016460E">
        <w:rPr>
          <w:rFonts w:ascii="Arial" w:hAnsi="Arial" w:cs="Arial"/>
          <w:i/>
          <w:iCs/>
          <w:sz w:val="22"/>
          <w:szCs w:val="22"/>
        </w:rPr>
        <w:t>Contemporary Clinical Trials Communications</w:t>
      </w:r>
      <w:r w:rsidRPr="0016460E">
        <w:rPr>
          <w:rFonts w:ascii="Arial" w:hAnsi="Arial" w:cs="Arial"/>
          <w:sz w:val="22"/>
          <w:szCs w:val="22"/>
        </w:rPr>
        <w:t xml:space="preserve">, [online] pp.101283–101283.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://doi.org/10.1016/j.conctc.2024.101283</w:t>
      </w:r>
      <w:proofErr w:type="gramEnd"/>
      <w:r w:rsidRPr="0016460E">
        <w:rPr>
          <w:rFonts w:ascii="Arial" w:hAnsi="Arial" w:cs="Arial"/>
          <w:sz w:val="22"/>
          <w:szCs w:val="22"/>
        </w:rPr>
        <w:t>.</w:t>
      </w:r>
    </w:p>
    <w:p w14:paraId="26C84DD3"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Huckvale, K., </w:t>
      </w:r>
      <w:proofErr w:type="spellStart"/>
      <w:r w:rsidRPr="0016460E">
        <w:rPr>
          <w:rFonts w:ascii="Arial" w:hAnsi="Arial" w:cs="Arial"/>
          <w:sz w:val="22"/>
          <w:szCs w:val="22"/>
        </w:rPr>
        <w:t>Torous</w:t>
      </w:r>
      <w:proofErr w:type="spellEnd"/>
      <w:r w:rsidRPr="0016460E">
        <w:rPr>
          <w:rFonts w:ascii="Arial" w:hAnsi="Arial" w:cs="Arial"/>
          <w:sz w:val="22"/>
          <w:szCs w:val="22"/>
        </w:rPr>
        <w:t xml:space="preserve">, J. and Larsen, M.E. (2019). Assessment of the Data Sharing and Privacy Practices of Smartphone Apps for Depression and Smoking Cessation. </w:t>
      </w:r>
      <w:r w:rsidRPr="0016460E">
        <w:rPr>
          <w:rFonts w:ascii="Arial" w:hAnsi="Arial" w:cs="Arial"/>
          <w:i/>
          <w:iCs/>
          <w:sz w:val="22"/>
          <w:szCs w:val="22"/>
        </w:rPr>
        <w:t>JAMA Network Open</w:t>
      </w:r>
      <w:r w:rsidRPr="0016460E">
        <w:rPr>
          <w:rFonts w:ascii="Arial" w:hAnsi="Arial" w:cs="Arial"/>
          <w:sz w:val="22"/>
          <w:szCs w:val="22"/>
        </w:rPr>
        <w:t xml:space="preserve">, 2(4), p.e192542.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://doi.org/10.1001/jamanetworkopen.2019.2542</w:t>
      </w:r>
      <w:proofErr w:type="gramEnd"/>
      <w:r w:rsidRPr="0016460E">
        <w:rPr>
          <w:rFonts w:ascii="Arial" w:hAnsi="Arial" w:cs="Arial"/>
          <w:sz w:val="22"/>
          <w:szCs w:val="22"/>
        </w:rPr>
        <w:t>.</w:t>
      </w:r>
    </w:p>
    <w:p w14:paraId="6D5E5F4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IE Digital (2026). </w:t>
      </w:r>
      <w:r w:rsidRPr="0016460E">
        <w:rPr>
          <w:rFonts w:ascii="Arial" w:hAnsi="Arial" w:cs="Arial"/>
          <w:i/>
          <w:iCs/>
          <w:sz w:val="22"/>
          <w:szCs w:val="22"/>
          <w:lang w:val="de-DE"/>
        </w:rPr>
        <w:t>Moodometer | IE Digital</w:t>
      </w:r>
      <w:r w:rsidRPr="0016460E">
        <w:rPr>
          <w:rFonts w:ascii="Arial" w:hAnsi="Arial" w:cs="Arial"/>
          <w:sz w:val="22"/>
          <w:szCs w:val="22"/>
          <w:lang w:val="de-DE"/>
        </w:rPr>
        <w:t xml:space="preserve">. </w:t>
      </w:r>
      <w:r w:rsidRPr="0016460E">
        <w:rPr>
          <w:rFonts w:ascii="Arial" w:hAnsi="Arial" w:cs="Arial"/>
          <w:sz w:val="22"/>
          <w:szCs w:val="22"/>
        </w:rPr>
        <w:t>[online] IE Digital. Available at: https://www.iedigital.co.uk/case-studies/moodometer [Accessed 26 Feb. 2026].</w:t>
      </w:r>
    </w:p>
    <w:p w14:paraId="587A3FD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Iwaya, L.H., Babar, M.A., Rashid, A. and Wijayarathna, C. (2022). On the privacy of mental health apps. </w:t>
      </w:r>
      <w:r w:rsidRPr="0016460E">
        <w:rPr>
          <w:rFonts w:ascii="Arial" w:hAnsi="Arial" w:cs="Arial"/>
          <w:i/>
          <w:iCs/>
          <w:sz w:val="22"/>
          <w:szCs w:val="22"/>
        </w:rPr>
        <w:t>Empirical Software Engineering</w:t>
      </w:r>
      <w:r w:rsidRPr="0016460E">
        <w:rPr>
          <w:rFonts w:ascii="Arial" w:hAnsi="Arial" w:cs="Arial"/>
          <w:sz w:val="22"/>
          <w:szCs w:val="22"/>
        </w:rPr>
        <w:t xml:space="preserve">, [online] 28(1).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://doi.org/10.1007/s10664-022-10236-0</w:t>
      </w:r>
      <w:proofErr w:type="gramEnd"/>
      <w:r w:rsidRPr="0016460E">
        <w:rPr>
          <w:rFonts w:ascii="Arial" w:hAnsi="Arial" w:cs="Arial"/>
          <w:sz w:val="22"/>
          <w:szCs w:val="22"/>
        </w:rPr>
        <w:t>.</w:t>
      </w:r>
    </w:p>
    <w:p w14:paraId="64F12B7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Juliusson, K. (2025). </w:t>
      </w:r>
      <w:r w:rsidRPr="0016460E">
        <w:rPr>
          <w:rFonts w:ascii="Arial" w:hAnsi="Arial" w:cs="Arial"/>
          <w:i/>
          <w:iCs/>
          <w:sz w:val="22"/>
          <w:szCs w:val="22"/>
        </w:rPr>
        <w:t>Research Guides: Citation Style Guides: Why Cite Sources: Academic Honesty &amp; Plagiarism</w:t>
      </w:r>
      <w:r w:rsidRPr="0016460E">
        <w:rPr>
          <w:rFonts w:ascii="Arial" w:hAnsi="Arial" w:cs="Arial"/>
          <w:sz w:val="22"/>
          <w:szCs w:val="22"/>
        </w:rPr>
        <w:t>. [online] libguides.usask.ca. Available at: https://libguides.usask.ca/citation/whycite.</w:t>
      </w:r>
    </w:p>
    <w:p w14:paraId="131CA1AA" w14:textId="77777777" w:rsidR="007B4AAB" w:rsidRPr="0016460E" w:rsidRDefault="007B4AAB" w:rsidP="00CF01E1">
      <w:pPr>
        <w:pStyle w:val="NormalWeb"/>
        <w:spacing w:before="240" w:beforeAutospacing="0" w:after="240" w:afterAutospacing="0" w:line="360" w:lineRule="auto"/>
        <w:rPr>
          <w:rFonts w:ascii="Arial" w:hAnsi="Arial" w:cs="Arial"/>
          <w:sz w:val="22"/>
          <w:szCs w:val="22"/>
          <w:lang w:val="de-DE"/>
        </w:rPr>
      </w:pPr>
      <w:r w:rsidRPr="0016460E">
        <w:rPr>
          <w:rFonts w:ascii="Arial" w:hAnsi="Arial" w:cs="Arial"/>
          <w:sz w:val="22"/>
          <w:szCs w:val="22"/>
        </w:rPr>
        <w:t xml:space="preserve">Kaveladze, B.T., Wasil, A.R., Bunyi, J.B., Ramirez, V. and Schueller, S.M. (2022). User Experience, Engagement, and Popularity in Mental Health Apps: Secondary Analysis of App Analytics and Expert App Reviews. </w:t>
      </w:r>
      <w:r w:rsidRPr="0016460E">
        <w:rPr>
          <w:rFonts w:ascii="Arial" w:hAnsi="Arial" w:cs="Arial"/>
          <w:i/>
          <w:iCs/>
          <w:sz w:val="22"/>
          <w:szCs w:val="22"/>
          <w:lang w:val="de-DE"/>
        </w:rPr>
        <w:t>JMIR Human Factors</w:t>
      </w:r>
      <w:r w:rsidRPr="0016460E">
        <w:rPr>
          <w:rFonts w:ascii="Arial" w:hAnsi="Arial" w:cs="Arial"/>
          <w:sz w:val="22"/>
          <w:szCs w:val="22"/>
          <w:lang w:val="de-DE"/>
        </w:rPr>
        <w:t>, 9(1), p.e30766. doi:https://doi.org/10.2196/30766.</w:t>
      </w:r>
    </w:p>
    <w:p w14:paraId="4C72A3CA"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lastRenderedPageBreak/>
        <w:t xml:space="preserve">Keller, J., Roitzheim, C., Radtke, T., Schenkel, K. and Schwarzer, R. (2020). </w:t>
      </w:r>
      <w:r w:rsidRPr="0016460E">
        <w:rPr>
          <w:rFonts w:ascii="Arial" w:hAnsi="Arial" w:cs="Arial"/>
          <w:sz w:val="22"/>
          <w:szCs w:val="22"/>
        </w:rPr>
        <w:t xml:space="preserve">Effects of an Intervention App on Problematic Smartphone Use: Randomized Controlled Trial (Preprint). </w:t>
      </w:r>
      <w:r w:rsidRPr="0016460E">
        <w:rPr>
          <w:rFonts w:ascii="Arial" w:hAnsi="Arial" w:cs="Arial"/>
          <w:i/>
          <w:iCs/>
          <w:sz w:val="22"/>
          <w:szCs w:val="22"/>
        </w:rPr>
        <w:t xml:space="preserve">JMIR mHealth and </w:t>
      </w:r>
      <w:proofErr w:type="spellStart"/>
      <w:r w:rsidRPr="0016460E">
        <w:rPr>
          <w:rFonts w:ascii="Arial" w:hAnsi="Arial" w:cs="Arial"/>
          <w:i/>
          <w:iCs/>
          <w:sz w:val="22"/>
          <w:szCs w:val="22"/>
        </w:rPr>
        <w:t>uHealth</w:t>
      </w:r>
      <w:proofErr w:type="spellEnd"/>
      <w:r w:rsidRPr="0016460E">
        <w:rPr>
          <w:rFonts w:ascii="Arial" w:hAnsi="Arial" w:cs="Arial"/>
          <w:sz w:val="22"/>
          <w:szCs w:val="22"/>
        </w:rPr>
        <w:t xml:space="preserve">, 9(11).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://doi.org/10.2196/26397</w:t>
      </w:r>
      <w:proofErr w:type="gramEnd"/>
      <w:r w:rsidRPr="0016460E">
        <w:rPr>
          <w:rFonts w:ascii="Arial" w:hAnsi="Arial" w:cs="Arial"/>
          <w:sz w:val="22"/>
          <w:szCs w:val="22"/>
        </w:rPr>
        <w:t>.</w:t>
      </w:r>
    </w:p>
    <w:p w14:paraId="65025C97"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Khan, MD.A., Rahman, A., Mahmud, F.U., Bishnu, K.K., Ahmed, M., Mridha, M.F. and Aung, Z. (2025). A systematic review of AI-driven business models for advancing Sustainable Development Goals. </w:t>
      </w:r>
      <w:r w:rsidRPr="0016460E">
        <w:rPr>
          <w:rFonts w:ascii="Arial" w:hAnsi="Arial" w:cs="Arial"/>
          <w:i/>
          <w:iCs/>
          <w:sz w:val="22"/>
          <w:szCs w:val="22"/>
        </w:rPr>
        <w:t>Array</w:t>
      </w:r>
      <w:r w:rsidRPr="0016460E">
        <w:rPr>
          <w:rFonts w:ascii="Arial" w:hAnsi="Arial" w:cs="Arial"/>
          <w:sz w:val="22"/>
          <w:szCs w:val="22"/>
        </w:rPr>
        <w:t xml:space="preserve">, 28, p.100539.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://doi.org/10.1016/j.array.2025.100539</w:t>
      </w:r>
      <w:proofErr w:type="gramEnd"/>
      <w:r w:rsidRPr="0016460E">
        <w:rPr>
          <w:rFonts w:ascii="Arial" w:hAnsi="Arial" w:cs="Arial"/>
          <w:sz w:val="22"/>
          <w:szCs w:val="22"/>
        </w:rPr>
        <w:t>.</w:t>
      </w:r>
    </w:p>
    <w:p w14:paraId="26A6EF63"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Kurpiel, S. (2025). </w:t>
      </w:r>
      <w:r w:rsidRPr="0016460E">
        <w:rPr>
          <w:rFonts w:ascii="Arial" w:hAnsi="Arial" w:cs="Arial"/>
          <w:i/>
          <w:iCs/>
          <w:sz w:val="22"/>
          <w:szCs w:val="22"/>
        </w:rPr>
        <w:t>Research Guides: Evaluating Sources: The CRAAP Test</w:t>
      </w:r>
      <w:r w:rsidRPr="0016460E">
        <w:rPr>
          <w:rFonts w:ascii="Arial" w:hAnsi="Arial" w:cs="Arial"/>
          <w:sz w:val="22"/>
          <w:szCs w:val="22"/>
        </w:rPr>
        <w:t>. [online] Benedictine University. Available at: https://researchguides.ben.edu/source-evaluation.</w:t>
      </w:r>
    </w:p>
    <w:p w14:paraId="6D3A7D5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Lawn, S., Huang, N., Zabeen, S., Smith, D., Battersby, M., Redpath, P., Glover, F., Venning, A., Cameron, J. and Fairweather-Schmidt, K. (2019). Outcomes of telephone-delivered low-intensity cognitive behaviour therapy (</w:t>
      </w:r>
      <w:proofErr w:type="spellStart"/>
      <w:r w:rsidRPr="0016460E">
        <w:rPr>
          <w:rFonts w:ascii="Arial" w:hAnsi="Arial" w:cs="Arial"/>
          <w:sz w:val="22"/>
          <w:szCs w:val="22"/>
        </w:rPr>
        <w:t>LiCBT</w:t>
      </w:r>
      <w:proofErr w:type="spellEnd"/>
      <w:r w:rsidRPr="0016460E">
        <w:rPr>
          <w:rFonts w:ascii="Arial" w:hAnsi="Arial" w:cs="Arial"/>
          <w:sz w:val="22"/>
          <w:szCs w:val="22"/>
        </w:rPr>
        <w:t xml:space="preserve">) to community dwelling Australians with a recent hospital admission due to depression or anxiety: </w:t>
      </w:r>
      <w:proofErr w:type="spellStart"/>
      <w:r w:rsidRPr="0016460E">
        <w:rPr>
          <w:rFonts w:ascii="Arial" w:hAnsi="Arial" w:cs="Arial"/>
          <w:sz w:val="22"/>
          <w:szCs w:val="22"/>
        </w:rPr>
        <w:t>MindStep</w:t>
      </w:r>
      <w:r w:rsidRPr="0016460E">
        <w:rPr>
          <w:rFonts w:ascii="Arial" w:hAnsi="Arial" w:cs="Arial"/>
          <w:sz w:val="22"/>
          <w:szCs w:val="22"/>
          <w:vertAlign w:val="superscript"/>
        </w:rPr>
        <w:t>TM</w:t>
      </w:r>
      <w:proofErr w:type="spellEnd"/>
      <w:r w:rsidRPr="0016460E">
        <w:rPr>
          <w:rFonts w:ascii="Arial" w:hAnsi="Arial" w:cs="Arial"/>
          <w:sz w:val="22"/>
          <w:szCs w:val="22"/>
        </w:rPr>
        <w:t xml:space="preserve">. </w:t>
      </w:r>
      <w:r w:rsidRPr="0016460E">
        <w:rPr>
          <w:rFonts w:ascii="Arial" w:hAnsi="Arial" w:cs="Arial"/>
          <w:i/>
          <w:iCs/>
          <w:sz w:val="22"/>
          <w:szCs w:val="22"/>
        </w:rPr>
        <w:t>BMC Psychiatry</w:t>
      </w:r>
      <w:r w:rsidRPr="0016460E">
        <w:rPr>
          <w:rFonts w:ascii="Arial" w:hAnsi="Arial" w:cs="Arial"/>
          <w:sz w:val="22"/>
          <w:szCs w:val="22"/>
        </w:rPr>
        <w:t xml:space="preserve">, [online] 19(1).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://doi.org/10.1186/s12888-018-1987-1</w:t>
      </w:r>
      <w:proofErr w:type="gramEnd"/>
      <w:r w:rsidRPr="0016460E">
        <w:rPr>
          <w:rFonts w:ascii="Arial" w:hAnsi="Arial" w:cs="Arial"/>
          <w:sz w:val="22"/>
          <w:szCs w:val="22"/>
        </w:rPr>
        <w:t>.</w:t>
      </w:r>
    </w:p>
    <w:p w14:paraId="77E713F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Lee, A.T., Ramasamy, R.K. and Subbarao, A. (2025). Understanding Psychosocial Barriers to Healthcare Technology Adoption: A Review of TAM Technology Acceptance Model and Unified Theory of Acceptance and Use of Technology and UTAUT Frameworks. </w:t>
      </w:r>
      <w:r w:rsidRPr="0016460E">
        <w:rPr>
          <w:rFonts w:ascii="Arial" w:hAnsi="Arial" w:cs="Arial"/>
          <w:i/>
          <w:iCs/>
          <w:sz w:val="22"/>
          <w:szCs w:val="22"/>
        </w:rPr>
        <w:t>Healthcare</w:t>
      </w:r>
      <w:r w:rsidRPr="0016460E">
        <w:rPr>
          <w:rFonts w:ascii="Arial" w:hAnsi="Arial" w:cs="Arial"/>
          <w:sz w:val="22"/>
          <w:szCs w:val="22"/>
        </w:rPr>
        <w:t xml:space="preserve">, 13(3), p.250.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://doi.org/10.3390/healthcare13030250</w:t>
      </w:r>
      <w:proofErr w:type="gramEnd"/>
      <w:r w:rsidRPr="0016460E">
        <w:rPr>
          <w:rFonts w:ascii="Arial" w:hAnsi="Arial" w:cs="Arial"/>
          <w:sz w:val="22"/>
          <w:szCs w:val="22"/>
        </w:rPr>
        <w:t>.</w:t>
      </w:r>
    </w:p>
    <w:p w14:paraId="76F524AB"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Lee, C.T., Palacios, J., Richards, D., Hanlon, A.K., Lynch, K., Harty, S., Claus, N., Swords, L., </w:t>
      </w:r>
      <w:proofErr w:type="spellStart"/>
      <w:r w:rsidRPr="0016460E">
        <w:rPr>
          <w:rFonts w:ascii="Arial" w:hAnsi="Arial" w:cs="Arial"/>
          <w:sz w:val="22"/>
          <w:szCs w:val="22"/>
        </w:rPr>
        <w:t>O’Keane</w:t>
      </w:r>
      <w:proofErr w:type="spellEnd"/>
      <w:r w:rsidRPr="0016460E">
        <w:rPr>
          <w:rFonts w:ascii="Arial" w:hAnsi="Arial" w:cs="Arial"/>
          <w:sz w:val="22"/>
          <w:szCs w:val="22"/>
        </w:rPr>
        <w:t xml:space="preserve">, V., Stephan, K.E. and Gillan, C.M. (2023). The Precision in Psychiatry (PIP) study: Testing an internet-based methodology for accelerating research in treatment prediction and personalisation. </w:t>
      </w:r>
      <w:r w:rsidRPr="0016460E">
        <w:rPr>
          <w:rFonts w:ascii="Arial" w:hAnsi="Arial" w:cs="Arial"/>
          <w:i/>
          <w:iCs/>
          <w:sz w:val="22"/>
          <w:szCs w:val="22"/>
        </w:rPr>
        <w:t>BMC Psychiatry</w:t>
      </w:r>
      <w:r w:rsidRPr="0016460E">
        <w:rPr>
          <w:rFonts w:ascii="Arial" w:hAnsi="Arial" w:cs="Arial"/>
          <w:sz w:val="22"/>
          <w:szCs w:val="22"/>
        </w:rPr>
        <w:t xml:space="preserve">, 23(1).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://doi.org/10.1186/s12888-022-04462-5</w:t>
      </w:r>
      <w:proofErr w:type="gramEnd"/>
      <w:r w:rsidRPr="0016460E">
        <w:rPr>
          <w:rFonts w:ascii="Arial" w:hAnsi="Arial" w:cs="Arial"/>
          <w:sz w:val="22"/>
          <w:szCs w:val="22"/>
        </w:rPr>
        <w:t>.</w:t>
      </w:r>
    </w:p>
    <w:p w14:paraId="358CBAC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Linardon</w:t>
      </w:r>
      <w:proofErr w:type="spellEnd"/>
      <w:r w:rsidRPr="0016460E">
        <w:rPr>
          <w:rFonts w:ascii="Arial" w:hAnsi="Arial" w:cs="Arial"/>
          <w:sz w:val="22"/>
          <w:szCs w:val="22"/>
        </w:rPr>
        <w:t xml:space="preserve">, J. and Fuller-Tyszkiewicz, M. (2020). Attrition and adherence in smartphone-delivered interventions for mental health problems: A systematic and meta-analytic review. </w:t>
      </w:r>
      <w:r w:rsidRPr="0016460E">
        <w:rPr>
          <w:rFonts w:ascii="Arial" w:hAnsi="Arial" w:cs="Arial"/>
          <w:i/>
          <w:iCs/>
          <w:sz w:val="22"/>
          <w:szCs w:val="22"/>
        </w:rPr>
        <w:t>Journal of Consulting and Clinical Psychology</w:t>
      </w:r>
      <w:r w:rsidRPr="0016460E">
        <w:rPr>
          <w:rFonts w:ascii="Arial" w:hAnsi="Arial" w:cs="Arial"/>
          <w:sz w:val="22"/>
          <w:szCs w:val="22"/>
        </w:rPr>
        <w:t xml:space="preserve">, 88(1), pp.1–13.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://doi.org/10.1037/ccp0000459</w:t>
      </w:r>
      <w:proofErr w:type="gramEnd"/>
      <w:r w:rsidRPr="0016460E">
        <w:rPr>
          <w:rFonts w:ascii="Arial" w:hAnsi="Arial" w:cs="Arial"/>
          <w:sz w:val="22"/>
          <w:szCs w:val="22"/>
        </w:rPr>
        <w:t>.</w:t>
      </w:r>
    </w:p>
    <w:p w14:paraId="72E5DAC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Lipschitz, J.M., Pike, C.K., Hogan, T.P., Murphy, S.A. and Burdick, K.E. (2023). The Engagement Problem: a Review of Engagement with Digital Mental Health Interventions and Recommendations for a Path Forward. </w:t>
      </w:r>
      <w:r w:rsidRPr="0016460E">
        <w:rPr>
          <w:rFonts w:ascii="Arial" w:hAnsi="Arial" w:cs="Arial"/>
          <w:i/>
          <w:iCs/>
          <w:sz w:val="22"/>
          <w:szCs w:val="22"/>
        </w:rPr>
        <w:t>Current Treatment Options in Psychiatry</w:t>
      </w:r>
      <w:r w:rsidRPr="0016460E">
        <w:rPr>
          <w:rFonts w:ascii="Arial" w:hAnsi="Arial" w:cs="Arial"/>
          <w:sz w:val="22"/>
          <w:szCs w:val="22"/>
        </w:rPr>
        <w:t xml:space="preserve">, 10(3), pp.119–135.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://doi.org/10.1007/s40501-023-00297-3</w:t>
      </w:r>
      <w:proofErr w:type="gramEnd"/>
      <w:r w:rsidRPr="0016460E">
        <w:rPr>
          <w:rFonts w:ascii="Arial" w:hAnsi="Arial" w:cs="Arial"/>
          <w:sz w:val="22"/>
          <w:szCs w:val="22"/>
        </w:rPr>
        <w:t>.</w:t>
      </w:r>
    </w:p>
    <w:p w14:paraId="7706DB8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Litke, S.G., Resnikoff, A., Anil, A., Montgomery, M., Matta, R., Huh-Yoo, J. and Daly, B.P. (2023). Mobile Technologies for Supporting Mental Health in Youths: Scoping Review of </w:t>
      </w:r>
      <w:r w:rsidRPr="0016460E">
        <w:rPr>
          <w:rFonts w:ascii="Arial" w:hAnsi="Arial" w:cs="Arial"/>
          <w:sz w:val="22"/>
          <w:szCs w:val="22"/>
        </w:rPr>
        <w:lastRenderedPageBreak/>
        <w:t xml:space="preserve">Effectiveness, Limitations, and Inclusivity. </w:t>
      </w:r>
      <w:r w:rsidRPr="0016460E">
        <w:rPr>
          <w:rFonts w:ascii="Arial" w:hAnsi="Arial" w:cs="Arial"/>
          <w:i/>
          <w:iCs/>
          <w:sz w:val="22"/>
          <w:szCs w:val="22"/>
        </w:rPr>
        <w:t>JMIR Mental Health</w:t>
      </w:r>
      <w:r w:rsidRPr="0016460E">
        <w:rPr>
          <w:rFonts w:ascii="Arial" w:hAnsi="Arial" w:cs="Arial"/>
          <w:sz w:val="22"/>
          <w:szCs w:val="22"/>
        </w:rPr>
        <w:t xml:space="preserve">, [online] 10(1), p.e46949.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://doi.org/10.2196/46949</w:t>
      </w:r>
      <w:proofErr w:type="gramEnd"/>
      <w:r w:rsidRPr="0016460E">
        <w:rPr>
          <w:rFonts w:ascii="Arial" w:hAnsi="Arial" w:cs="Arial"/>
          <w:sz w:val="22"/>
          <w:szCs w:val="22"/>
        </w:rPr>
        <w:t>.</w:t>
      </w:r>
    </w:p>
    <w:p w14:paraId="5D1FF48C"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Liu, J., Ning, W., Zhang, N., Zhu, B. and Mao, Y. (2024). Estimation of the Global Disease Burden of Depression and Anxiety between 1990 and 2044: An Analysis of the Global Burden of Disease Study 2019. </w:t>
      </w:r>
      <w:r w:rsidRPr="0016460E">
        <w:rPr>
          <w:rFonts w:ascii="Arial" w:hAnsi="Arial" w:cs="Arial"/>
          <w:i/>
          <w:iCs/>
          <w:sz w:val="22"/>
          <w:szCs w:val="22"/>
        </w:rPr>
        <w:t>Healthcare</w:t>
      </w:r>
      <w:r w:rsidRPr="0016460E">
        <w:rPr>
          <w:rFonts w:ascii="Arial" w:hAnsi="Arial" w:cs="Arial"/>
          <w:sz w:val="22"/>
          <w:szCs w:val="22"/>
        </w:rPr>
        <w:t xml:space="preserve">, [online] 12(17), pp.1721–1721.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://doi.org/10.3390/healthcare12171721</w:t>
      </w:r>
      <w:proofErr w:type="gramEnd"/>
      <w:r w:rsidRPr="0016460E">
        <w:rPr>
          <w:rFonts w:ascii="Arial" w:hAnsi="Arial" w:cs="Arial"/>
          <w:sz w:val="22"/>
          <w:szCs w:val="22"/>
        </w:rPr>
        <w:t>.</w:t>
      </w:r>
    </w:p>
    <w:p w14:paraId="2DF59579"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Liu, S., Hu, Y., Pfaff, H., Lei, X., Qi, Z. and Feng, X. (2025). Barriers and facilitators to seeking psychological support among healthcare professionals: a qualitative study using the Theoretical Domains Framework. </w:t>
      </w:r>
      <w:r w:rsidRPr="0016460E">
        <w:rPr>
          <w:rFonts w:ascii="Arial" w:hAnsi="Arial" w:cs="Arial"/>
          <w:i/>
          <w:iCs/>
          <w:sz w:val="22"/>
          <w:szCs w:val="22"/>
        </w:rPr>
        <w:t>BMC Public Health</w:t>
      </w:r>
      <w:r w:rsidRPr="0016460E">
        <w:rPr>
          <w:rFonts w:ascii="Arial" w:hAnsi="Arial" w:cs="Arial"/>
          <w:sz w:val="22"/>
          <w:szCs w:val="22"/>
        </w:rPr>
        <w:t xml:space="preserve">, 25(1).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://doi.org/10.1186/s12889-025-21912-3</w:t>
      </w:r>
      <w:proofErr w:type="gramEnd"/>
      <w:r w:rsidRPr="0016460E">
        <w:rPr>
          <w:rFonts w:ascii="Arial" w:hAnsi="Arial" w:cs="Arial"/>
          <w:sz w:val="22"/>
          <w:szCs w:val="22"/>
        </w:rPr>
        <w:t>.</w:t>
      </w:r>
    </w:p>
    <w:p w14:paraId="41740B0A"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Malla, A. and Joober, R. (2020). COVID-19 and the Future with Digital Mental Health: Need for Attention to Complexities. </w:t>
      </w:r>
      <w:r w:rsidRPr="0016460E">
        <w:rPr>
          <w:rFonts w:ascii="Arial" w:hAnsi="Arial" w:cs="Arial"/>
          <w:i/>
          <w:iCs/>
          <w:sz w:val="22"/>
          <w:szCs w:val="22"/>
        </w:rPr>
        <w:t>The Canadian Journal of Psychiatry</w:t>
      </w:r>
      <w:r w:rsidRPr="0016460E">
        <w:rPr>
          <w:rFonts w:ascii="Arial" w:hAnsi="Arial" w:cs="Arial"/>
          <w:sz w:val="22"/>
          <w:szCs w:val="22"/>
        </w:rPr>
        <w:t xml:space="preserve">, p.070674372095782.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://doi.org/10.1177/0706743720957824</w:t>
      </w:r>
      <w:proofErr w:type="gramEnd"/>
      <w:r w:rsidRPr="0016460E">
        <w:rPr>
          <w:rFonts w:ascii="Arial" w:hAnsi="Arial" w:cs="Arial"/>
          <w:sz w:val="22"/>
          <w:szCs w:val="22"/>
        </w:rPr>
        <w:t>.</w:t>
      </w:r>
    </w:p>
    <w:p w14:paraId="1BD84E6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Marciniak, M.A., Shanahan, L., Rohde, J., Schulz, A., Wackerhagen, C., Kobylińska, D., Tuescher, O., Binder, H., Walter, H., Kalisch, R. and Kleim, B. (2020). </w:t>
      </w:r>
      <w:r w:rsidRPr="0016460E">
        <w:rPr>
          <w:rFonts w:ascii="Arial" w:hAnsi="Arial" w:cs="Arial"/>
          <w:sz w:val="22"/>
          <w:szCs w:val="22"/>
        </w:rPr>
        <w:t xml:space="preserve">Standalone Smartphone Cognitive </w:t>
      </w:r>
      <w:proofErr w:type="spellStart"/>
      <w:r w:rsidRPr="0016460E">
        <w:rPr>
          <w:rFonts w:ascii="Arial" w:hAnsi="Arial" w:cs="Arial"/>
          <w:sz w:val="22"/>
          <w:szCs w:val="22"/>
        </w:rPr>
        <w:t>Behavioral</w:t>
      </w:r>
      <w:proofErr w:type="spellEnd"/>
      <w:r w:rsidRPr="0016460E">
        <w:rPr>
          <w:rFonts w:ascii="Arial" w:hAnsi="Arial" w:cs="Arial"/>
          <w:sz w:val="22"/>
          <w:szCs w:val="22"/>
        </w:rPr>
        <w:t xml:space="preserve"> Therapy–Based Ecological Momentary Interventions to Increase Mental Health: Narrative Review. </w:t>
      </w:r>
      <w:r w:rsidRPr="0016460E">
        <w:rPr>
          <w:rFonts w:ascii="Arial" w:hAnsi="Arial" w:cs="Arial"/>
          <w:i/>
          <w:iCs/>
          <w:sz w:val="22"/>
          <w:szCs w:val="22"/>
        </w:rPr>
        <w:t xml:space="preserve">JMIR mHealth and </w:t>
      </w:r>
      <w:proofErr w:type="spellStart"/>
      <w:r w:rsidRPr="0016460E">
        <w:rPr>
          <w:rFonts w:ascii="Arial" w:hAnsi="Arial" w:cs="Arial"/>
          <w:i/>
          <w:iCs/>
          <w:sz w:val="22"/>
          <w:szCs w:val="22"/>
        </w:rPr>
        <w:t>uHealth</w:t>
      </w:r>
      <w:proofErr w:type="spellEnd"/>
      <w:r w:rsidRPr="0016460E">
        <w:rPr>
          <w:rFonts w:ascii="Arial" w:hAnsi="Arial" w:cs="Arial"/>
          <w:sz w:val="22"/>
          <w:szCs w:val="22"/>
        </w:rPr>
        <w:t xml:space="preserve">, [online] 8(11), p.e19836.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://doi.org/10.2196/19836</w:t>
      </w:r>
      <w:proofErr w:type="gramEnd"/>
      <w:r w:rsidRPr="0016460E">
        <w:rPr>
          <w:rFonts w:ascii="Arial" w:hAnsi="Arial" w:cs="Arial"/>
          <w:sz w:val="22"/>
          <w:szCs w:val="22"/>
        </w:rPr>
        <w:t>.</w:t>
      </w:r>
    </w:p>
    <w:p w14:paraId="5445BCF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Marikyan</w:t>
      </w:r>
      <w:proofErr w:type="spellEnd"/>
      <w:r w:rsidRPr="0016460E">
        <w:rPr>
          <w:rFonts w:ascii="Arial" w:hAnsi="Arial" w:cs="Arial"/>
          <w:sz w:val="22"/>
          <w:szCs w:val="22"/>
        </w:rPr>
        <w:t xml:space="preserve">, D. and </w:t>
      </w:r>
      <w:proofErr w:type="spellStart"/>
      <w:r w:rsidRPr="0016460E">
        <w:rPr>
          <w:rFonts w:ascii="Arial" w:hAnsi="Arial" w:cs="Arial"/>
          <w:sz w:val="22"/>
          <w:szCs w:val="22"/>
        </w:rPr>
        <w:t>Papagiannidis</w:t>
      </w:r>
      <w:proofErr w:type="spellEnd"/>
      <w:r w:rsidRPr="0016460E">
        <w:rPr>
          <w:rFonts w:ascii="Arial" w:hAnsi="Arial" w:cs="Arial"/>
          <w:sz w:val="22"/>
          <w:szCs w:val="22"/>
        </w:rPr>
        <w:t xml:space="preserve">, S. (2025). </w:t>
      </w:r>
      <w:r w:rsidRPr="0016460E">
        <w:rPr>
          <w:rFonts w:ascii="Arial" w:hAnsi="Arial" w:cs="Arial"/>
          <w:i/>
          <w:iCs/>
          <w:sz w:val="22"/>
          <w:szCs w:val="22"/>
        </w:rPr>
        <w:t>Technology Acceptance Model: A Review</w:t>
      </w:r>
      <w:r w:rsidRPr="0016460E">
        <w:rPr>
          <w:rFonts w:ascii="Arial" w:hAnsi="Arial" w:cs="Arial"/>
          <w:sz w:val="22"/>
          <w:szCs w:val="22"/>
        </w:rPr>
        <w:t>. [online] open.ncl.ac.uk. Available at: https://open.ncl.ac.uk/theories/1/technology-acceptance-model/.</w:t>
      </w:r>
    </w:p>
    <w:p w14:paraId="126EEB8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McGovern, Ó., Glennon, S., Walsh, I., Gallagher, P. and McCashin, D. (2025). The use of co-design with young people for digital mental health support development: A systematic review. </w:t>
      </w:r>
      <w:r w:rsidRPr="0016460E">
        <w:rPr>
          <w:rFonts w:ascii="Arial" w:hAnsi="Arial" w:cs="Arial"/>
          <w:i/>
          <w:iCs/>
          <w:sz w:val="22"/>
          <w:szCs w:val="22"/>
        </w:rPr>
        <w:t>Internet Interventions</w:t>
      </w:r>
      <w:r w:rsidRPr="0016460E">
        <w:rPr>
          <w:rFonts w:ascii="Arial" w:hAnsi="Arial" w:cs="Arial"/>
          <w:sz w:val="22"/>
          <w:szCs w:val="22"/>
        </w:rPr>
        <w:t xml:space="preserve">, 41, p.100835.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://doi.org/10.1016/j.invent.2025.100835</w:t>
      </w:r>
      <w:proofErr w:type="gramEnd"/>
      <w:r w:rsidRPr="0016460E">
        <w:rPr>
          <w:rFonts w:ascii="Arial" w:hAnsi="Arial" w:cs="Arial"/>
          <w:sz w:val="22"/>
          <w:szCs w:val="22"/>
        </w:rPr>
        <w:t>.</w:t>
      </w:r>
    </w:p>
    <w:p w14:paraId="444E82CB"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Meng, Y., Xu, W., Liu, Z. and Yu, Z.-G. (2024). </w:t>
      </w:r>
      <w:proofErr w:type="spellStart"/>
      <w:r w:rsidRPr="0016460E">
        <w:rPr>
          <w:rFonts w:ascii="Arial" w:hAnsi="Arial" w:cs="Arial"/>
          <w:sz w:val="22"/>
          <w:szCs w:val="22"/>
        </w:rPr>
        <w:t>Scientometric</w:t>
      </w:r>
      <w:proofErr w:type="spellEnd"/>
      <w:r w:rsidRPr="0016460E">
        <w:rPr>
          <w:rFonts w:ascii="Arial" w:hAnsi="Arial" w:cs="Arial"/>
          <w:sz w:val="22"/>
          <w:szCs w:val="22"/>
        </w:rPr>
        <w:t xml:space="preserve"> analyses of digital inequity in education: problems and solutions. </w:t>
      </w:r>
      <w:r w:rsidRPr="0016460E">
        <w:rPr>
          <w:rFonts w:ascii="Arial" w:hAnsi="Arial" w:cs="Arial"/>
          <w:i/>
          <w:iCs/>
          <w:sz w:val="22"/>
          <w:szCs w:val="22"/>
        </w:rPr>
        <w:t>Humanities and Social Sciences Communications</w:t>
      </w:r>
      <w:r w:rsidRPr="0016460E">
        <w:rPr>
          <w:rFonts w:ascii="Arial" w:hAnsi="Arial" w:cs="Arial"/>
          <w:sz w:val="22"/>
          <w:szCs w:val="22"/>
        </w:rPr>
        <w:t xml:space="preserve">, [online] 11(1).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://doi.org/10.1057/s41599-024-03480-w</w:t>
      </w:r>
      <w:proofErr w:type="gramEnd"/>
      <w:r w:rsidRPr="0016460E">
        <w:rPr>
          <w:rFonts w:ascii="Arial" w:hAnsi="Arial" w:cs="Arial"/>
          <w:sz w:val="22"/>
          <w:szCs w:val="22"/>
        </w:rPr>
        <w:t>.</w:t>
      </w:r>
    </w:p>
    <w:p w14:paraId="12FC7D0A"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Mennella, C., Maniscalco, U., Pietro, G.D. and Esposito, M. (2024). Ethical and regulatory challenges of AI technologies in healthcare: A narrative review. </w:t>
      </w:r>
      <w:proofErr w:type="spellStart"/>
      <w:r w:rsidRPr="0016460E">
        <w:rPr>
          <w:rFonts w:ascii="Arial" w:hAnsi="Arial" w:cs="Arial"/>
          <w:i/>
          <w:iCs/>
          <w:sz w:val="22"/>
          <w:szCs w:val="22"/>
        </w:rPr>
        <w:t>Heliyon</w:t>
      </w:r>
      <w:proofErr w:type="spellEnd"/>
      <w:r w:rsidRPr="0016460E">
        <w:rPr>
          <w:rFonts w:ascii="Arial" w:hAnsi="Arial" w:cs="Arial"/>
          <w:sz w:val="22"/>
          <w:szCs w:val="22"/>
        </w:rPr>
        <w:t xml:space="preserve">, [online] 10(4), p.e26297.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://doi.org/10.1016/j.heliyon.2024.e26297</w:t>
      </w:r>
      <w:proofErr w:type="gramEnd"/>
      <w:r w:rsidRPr="0016460E">
        <w:rPr>
          <w:rFonts w:ascii="Arial" w:hAnsi="Arial" w:cs="Arial"/>
          <w:sz w:val="22"/>
          <w:szCs w:val="22"/>
        </w:rPr>
        <w:t>.</w:t>
      </w:r>
    </w:p>
    <w:p w14:paraId="7B55B38F"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lastRenderedPageBreak/>
        <w:t>MindSpot</w:t>
      </w:r>
      <w:proofErr w:type="spellEnd"/>
      <w:r w:rsidRPr="0016460E">
        <w:rPr>
          <w:rFonts w:ascii="Arial" w:hAnsi="Arial" w:cs="Arial"/>
          <w:sz w:val="22"/>
          <w:szCs w:val="22"/>
        </w:rPr>
        <w:t xml:space="preserve"> (2023). </w:t>
      </w:r>
      <w:proofErr w:type="spellStart"/>
      <w:r w:rsidRPr="0016460E">
        <w:rPr>
          <w:rFonts w:ascii="Arial" w:hAnsi="Arial" w:cs="Arial"/>
          <w:i/>
          <w:iCs/>
          <w:sz w:val="22"/>
          <w:szCs w:val="22"/>
        </w:rPr>
        <w:t>MindSpot</w:t>
      </w:r>
      <w:proofErr w:type="spellEnd"/>
      <w:r w:rsidRPr="0016460E">
        <w:rPr>
          <w:rFonts w:ascii="Arial" w:hAnsi="Arial" w:cs="Arial"/>
          <w:i/>
          <w:iCs/>
          <w:sz w:val="22"/>
          <w:szCs w:val="22"/>
        </w:rPr>
        <w:t xml:space="preserve"> Clinic - Free Online Mental Health Support</w:t>
      </w:r>
      <w:r w:rsidRPr="0016460E">
        <w:rPr>
          <w:rFonts w:ascii="Arial" w:hAnsi="Arial" w:cs="Arial"/>
          <w:sz w:val="22"/>
          <w:szCs w:val="22"/>
        </w:rPr>
        <w:t>. [online] www.mindspot.org.au. Available at: https://www.mindspot.org.au/.</w:t>
      </w:r>
    </w:p>
    <w:p w14:paraId="21D6675E"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lang w:val="de-DE"/>
        </w:rPr>
        <w:t xml:space="preserve">Moshe, I., Terhorst, Y., Paganini, S., Schlicker, S., Pulkki-Råback, L., Baumeister, H., Sander, L.B. and Ebert, D.D. (2022). </w:t>
      </w:r>
      <w:r w:rsidRPr="0016460E">
        <w:rPr>
          <w:rFonts w:ascii="Arial" w:hAnsi="Arial" w:cs="Arial"/>
          <w:sz w:val="22"/>
          <w:szCs w:val="22"/>
        </w:rPr>
        <w:t xml:space="preserve">Predictors of Dropout in a Digital Intervention for the Prevention and Treatment of Depression in Patients With Chronic Back Pain: Secondary Analysis of Two Randomized Controlled Trials. </w:t>
      </w:r>
      <w:r w:rsidRPr="0016460E">
        <w:rPr>
          <w:rFonts w:ascii="Arial" w:hAnsi="Arial" w:cs="Arial"/>
          <w:i/>
          <w:iCs/>
          <w:sz w:val="22"/>
          <w:szCs w:val="22"/>
        </w:rPr>
        <w:t>Journal of Medical Internet Research</w:t>
      </w:r>
      <w:r w:rsidRPr="0016460E">
        <w:rPr>
          <w:rFonts w:ascii="Arial" w:hAnsi="Arial" w:cs="Arial"/>
          <w:sz w:val="22"/>
          <w:szCs w:val="22"/>
        </w:rPr>
        <w:t xml:space="preserve">, [online] 24(8), p.e38261.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://doi.org/10.2196/38261</w:t>
      </w:r>
      <w:proofErr w:type="gramEnd"/>
      <w:r w:rsidRPr="0016460E">
        <w:rPr>
          <w:rFonts w:ascii="Arial" w:hAnsi="Arial" w:cs="Arial"/>
          <w:sz w:val="22"/>
          <w:szCs w:val="22"/>
        </w:rPr>
        <w:t>.</w:t>
      </w:r>
    </w:p>
    <w:p w14:paraId="394842B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NHS Digital (2018). </w:t>
      </w:r>
      <w:r w:rsidRPr="0016460E">
        <w:rPr>
          <w:rFonts w:ascii="Arial" w:hAnsi="Arial" w:cs="Arial"/>
          <w:i/>
          <w:iCs/>
          <w:sz w:val="22"/>
          <w:szCs w:val="22"/>
        </w:rPr>
        <w:t>Growing the NHS Apps Library</w:t>
      </w:r>
      <w:r w:rsidRPr="0016460E">
        <w:rPr>
          <w:rFonts w:ascii="Arial" w:hAnsi="Arial" w:cs="Arial"/>
          <w:sz w:val="22"/>
          <w:szCs w:val="22"/>
        </w:rPr>
        <w:t>. [online] NHS Digital. Available at: https://digital.nhs.uk/blog/transformation-blog/2018/growing-the-nhs-apps-library.</w:t>
      </w:r>
    </w:p>
    <w:p w14:paraId="2434177C"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NHS England (2021). </w:t>
      </w:r>
      <w:r w:rsidRPr="0016460E">
        <w:rPr>
          <w:rFonts w:ascii="Arial" w:hAnsi="Arial" w:cs="Arial"/>
          <w:i/>
          <w:iCs/>
          <w:sz w:val="22"/>
          <w:szCs w:val="22"/>
        </w:rPr>
        <w:t>Digital Technology Assessment Criteria (DTAC)</w:t>
      </w:r>
      <w:r w:rsidRPr="0016460E">
        <w:rPr>
          <w:rFonts w:ascii="Arial" w:hAnsi="Arial" w:cs="Arial"/>
          <w:sz w:val="22"/>
          <w:szCs w:val="22"/>
        </w:rPr>
        <w:t>. [online] NHS Transformation Directorate. Available at: https://transform.england.nhs.uk/key-tools-and-info/digital-technology-assessment-criteria-dtac/.</w:t>
      </w:r>
    </w:p>
    <w:p w14:paraId="7D75C1F1"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NHS England (2024). </w:t>
      </w:r>
      <w:r w:rsidRPr="0016460E">
        <w:rPr>
          <w:rFonts w:ascii="Arial" w:hAnsi="Arial" w:cs="Arial"/>
          <w:i/>
          <w:iCs/>
          <w:sz w:val="22"/>
          <w:szCs w:val="22"/>
        </w:rPr>
        <w:t>NHS England» Integrating mental health therapy into primary care</w:t>
      </w:r>
      <w:r w:rsidRPr="0016460E">
        <w:rPr>
          <w:rFonts w:ascii="Arial" w:hAnsi="Arial" w:cs="Arial"/>
          <w:sz w:val="22"/>
          <w:szCs w:val="22"/>
        </w:rPr>
        <w:t>. [online] www.england.nhs.uk. Available at: https://www.england.nhs.uk/mental-health/adults/nhs-talking-therapies/integrating-mental-health-therapy-into-primary-care/.</w:t>
      </w:r>
    </w:p>
    <w:p w14:paraId="299E28D9"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NHS England (2026). </w:t>
      </w:r>
      <w:r w:rsidRPr="0016460E">
        <w:rPr>
          <w:rFonts w:ascii="Arial" w:hAnsi="Arial" w:cs="Arial"/>
          <w:i/>
          <w:iCs/>
          <w:sz w:val="22"/>
          <w:szCs w:val="22"/>
        </w:rPr>
        <w:t>NHS England» NHS Mental Health Apps Library to increase access to psychological therapies and help to improve mental health outcomes</w:t>
      </w:r>
      <w:r w:rsidRPr="0016460E">
        <w:rPr>
          <w:rFonts w:ascii="Arial" w:hAnsi="Arial" w:cs="Arial"/>
          <w:sz w:val="22"/>
          <w:szCs w:val="22"/>
        </w:rPr>
        <w:t>. [online] www.england.nhs.uk. Available at: https://www.england.nhs.uk/2015/03/mh-apps-library/.</w:t>
      </w:r>
    </w:p>
    <w:p w14:paraId="3391CEB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NICE (2019). </w:t>
      </w:r>
      <w:r w:rsidRPr="0016460E">
        <w:rPr>
          <w:rFonts w:ascii="Arial" w:hAnsi="Arial" w:cs="Arial"/>
          <w:i/>
          <w:iCs/>
          <w:sz w:val="22"/>
          <w:szCs w:val="22"/>
        </w:rPr>
        <w:t>Evidence standards framework (ESF) for digital health technologies</w:t>
      </w:r>
      <w:r w:rsidRPr="0016460E">
        <w:rPr>
          <w:rFonts w:ascii="Arial" w:hAnsi="Arial" w:cs="Arial"/>
          <w:sz w:val="22"/>
          <w:szCs w:val="22"/>
        </w:rPr>
        <w:t>. [online] NICE website: The National Institute for Health and Care Excellence. Available at: https://www.nice.org.uk/what-nice-does/digital-health/evidence-standards-framework-esf-for-digital-health-technologies.</w:t>
      </w:r>
    </w:p>
    <w:p w14:paraId="7BB34F8A"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Nielssen, O., Staples, L.G., Karin, E., Kayrouz, R., Dear, B.F. and Titov, N. (2023). Effectiveness of internet delivered cognitive behaviour therapy provided as routine care for people in the depressed phase of bipolar disorder treated with Lithium. </w:t>
      </w:r>
      <w:r w:rsidRPr="0016460E">
        <w:rPr>
          <w:rFonts w:ascii="Arial" w:hAnsi="Arial" w:cs="Arial"/>
          <w:i/>
          <w:iCs/>
          <w:sz w:val="22"/>
          <w:szCs w:val="22"/>
        </w:rPr>
        <w:t>PLOS digital health</w:t>
      </w:r>
      <w:r w:rsidRPr="0016460E">
        <w:rPr>
          <w:rFonts w:ascii="Arial" w:hAnsi="Arial" w:cs="Arial"/>
          <w:sz w:val="22"/>
          <w:szCs w:val="22"/>
        </w:rPr>
        <w:t xml:space="preserve">, 2(2), </w:t>
      </w:r>
      <w:proofErr w:type="gramStart"/>
      <w:r w:rsidRPr="0016460E">
        <w:rPr>
          <w:rFonts w:ascii="Arial" w:hAnsi="Arial" w:cs="Arial"/>
          <w:sz w:val="22"/>
          <w:szCs w:val="22"/>
        </w:rPr>
        <w:t>pp.e</w:t>
      </w:r>
      <w:proofErr w:type="gramEnd"/>
      <w:r w:rsidRPr="0016460E">
        <w:rPr>
          <w:rFonts w:ascii="Arial" w:hAnsi="Arial" w:cs="Arial"/>
          <w:sz w:val="22"/>
          <w:szCs w:val="22"/>
        </w:rPr>
        <w:t xml:space="preserve">0000194–e0000194.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://doi.org/10.1371/journal.pdig.0000194</w:t>
      </w:r>
      <w:proofErr w:type="gramEnd"/>
      <w:r w:rsidRPr="0016460E">
        <w:rPr>
          <w:rFonts w:ascii="Arial" w:hAnsi="Arial" w:cs="Arial"/>
          <w:sz w:val="22"/>
          <w:szCs w:val="22"/>
        </w:rPr>
        <w:t>.</w:t>
      </w:r>
    </w:p>
    <w:p w14:paraId="28FF48E9"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Oliveira, C., Pereira, A., </w:t>
      </w:r>
      <w:proofErr w:type="spellStart"/>
      <w:r w:rsidRPr="0016460E">
        <w:rPr>
          <w:rFonts w:ascii="Arial" w:hAnsi="Arial" w:cs="Arial"/>
          <w:sz w:val="22"/>
          <w:szCs w:val="22"/>
        </w:rPr>
        <w:t>Vagos</w:t>
      </w:r>
      <w:proofErr w:type="spellEnd"/>
      <w:r w:rsidRPr="0016460E">
        <w:rPr>
          <w:rFonts w:ascii="Arial" w:hAnsi="Arial" w:cs="Arial"/>
          <w:sz w:val="22"/>
          <w:szCs w:val="22"/>
        </w:rPr>
        <w:t xml:space="preserve">, P., Nóbrega, C., Gonçalves, J. and Afonso, B. (2021). Effectiveness of Mobile App-Based Psychological Interventions for College Students: A Systematic Review of the Literature. </w:t>
      </w:r>
      <w:r w:rsidRPr="0016460E">
        <w:rPr>
          <w:rFonts w:ascii="Arial" w:hAnsi="Arial" w:cs="Arial"/>
          <w:i/>
          <w:iCs/>
          <w:sz w:val="22"/>
          <w:szCs w:val="22"/>
        </w:rPr>
        <w:t>Frontiers in Psychology</w:t>
      </w:r>
      <w:r w:rsidRPr="0016460E">
        <w:rPr>
          <w:rFonts w:ascii="Arial" w:hAnsi="Arial" w:cs="Arial"/>
          <w:sz w:val="22"/>
          <w:szCs w:val="22"/>
        </w:rPr>
        <w:t xml:space="preserve">, 12.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://doi.org/10.3389/fpsyg.2021.647606</w:t>
      </w:r>
      <w:proofErr w:type="gramEnd"/>
      <w:r w:rsidRPr="0016460E">
        <w:rPr>
          <w:rFonts w:ascii="Arial" w:hAnsi="Arial" w:cs="Arial"/>
          <w:sz w:val="22"/>
          <w:szCs w:val="22"/>
        </w:rPr>
        <w:t>.</w:t>
      </w:r>
    </w:p>
    <w:p w14:paraId="649CDC2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lastRenderedPageBreak/>
        <w:t xml:space="preserve">Philippe, T.J., Sikder, N., Jackson, A., Koblanski, M.E., Liow, E., </w:t>
      </w:r>
      <w:proofErr w:type="spellStart"/>
      <w:r w:rsidRPr="0016460E">
        <w:rPr>
          <w:rFonts w:ascii="Arial" w:hAnsi="Arial" w:cs="Arial"/>
          <w:sz w:val="22"/>
          <w:szCs w:val="22"/>
        </w:rPr>
        <w:t>Pilarinos</w:t>
      </w:r>
      <w:proofErr w:type="spellEnd"/>
      <w:r w:rsidRPr="0016460E">
        <w:rPr>
          <w:rFonts w:ascii="Arial" w:hAnsi="Arial" w:cs="Arial"/>
          <w:sz w:val="22"/>
          <w:szCs w:val="22"/>
        </w:rPr>
        <w:t xml:space="preserve">, A. and </w:t>
      </w:r>
      <w:proofErr w:type="spellStart"/>
      <w:r w:rsidRPr="0016460E">
        <w:rPr>
          <w:rFonts w:ascii="Arial" w:hAnsi="Arial" w:cs="Arial"/>
          <w:sz w:val="22"/>
          <w:szCs w:val="22"/>
        </w:rPr>
        <w:t>Vasarhelyi</w:t>
      </w:r>
      <w:proofErr w:type="spellEnd"/>
      <w:r w:rsidRPr="0016460E">
        <w:rPr>
          <w:rFonts w:ascii="Arial" w:hAnsi="Arial" w:cs="Arial"/>
          <w:sz w:val="22"/>
          <w:szCs w:val="22"/>
        </w:rPr>
        <w:t xml:space="preserve">, K. (2021). Digital Health Interventions for Delivery of Mental Health Care: Systematic and Comprehensive Meta-Review (Preprint). </w:t>
      </w:r>
      <w:r w:rsidRPr="0016460E">
        <w:rPr>
          <w:rFonts w:ascii="Arial" w:hAnsi="Arial" w:cs="Arial"/>
          <w:i/>
          <w:iCs/>
          <w:sz w:val="22"/>
          <w:szCs w:val="22"/>
        </w:rPr>
        <w:t>JMIR Mental Health</w:t>
      </w:r>
      <w:r w:rsidRPr="0016460E">
        <w:rPr>
          <w:rFonts w:ascii="Arial" w:hAnsi="Arial" w:cs="Arial"/>
          <w:sz w:val="22"/>
          <w:szCs w:val="22"/>
        </w:rPr>
        <w:t xml:space="preserve">, [online] 9(5).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://doi.org/10.2196/35159</w:t>
      </w:r>
      <w:proofErr w:type="gramEnd"/>
      <w:r w:rsidRPr="0016460E">
        <w:rPr>
          <w:rFonts w:ascii="Arial" w:hAnsi="Arial" w:cs="Arial"/>
          <w:sz w:val="22"/>
          <w:szCs w:val="22"/>
        </w:rPr>
        <w:t>.</w:t>
      </w:r>
    </w:p>
    <w:p w14:paraId="70B67EE9"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Psychiatric Times (2026). </w:t>
      </w:r>
      <w:r w:rsidRPr="0016460E">
        <w:rPr>
          <w:rFonts w:ascii="Arial" w:hAnsi="Arial" w:cs="Arial"/>
          <w:i/>
          <w:iCs/>
          <w:sz w:val="22"/>
          <w:szCs w:val="22"/>
        </w:rPr>
        <w:t>How Mental Health Apps Are Regulated-or Are They?</w:t>
      </w:r>
      <w:r w:rsidRPr="0016460E">
        <w:rPr>
          <w:rFonts w:ascii="Arial" w:hAnsi="Arial" w:cs="Arial"/>
          <w:sz w:val="22"/>
          <w:szCs w:val="22"/>
        </w:rPr>
        <w:t xml:space="preserve"> [online] Psychiatric Times. Available at: https://www.psychiatrictimes.com/view/how-mental-health-apps-are-regulatedor-are-they.</w:t>
      </w:r>
    </w:p>
    <w:p w14:paraId="242F9A1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Public Health England (2018). </w:t>
      </w:r>
      <w:r w:rsidRPr="0016460E">
        <w:rPr>
          <w:rFonts w:ascii="Arial" w:hAnsi="Arial" w:cs="Arial"/>
          <w:i/>
          <w:iCs/>
          <w:sz w:val="22"/>
          <w:szCs w:val="22"/>
        </w:rPr>
        <w:t>Health matters: reducing health inequalities in mental illness</w:t>
      </w:r>
      <w:r w:rsidRPr="0016460E">
        <w:rPr>
          <w:rFonts w:ascii="Arial" w:hAnsi="Arial" w:cs="Arial"/>
          <w:sz w:val="22"/>
          <w:szCs w:val="22"/>
        </w:rPr>
        <w:t>. [online] Public Health England. Available at: https://www.gov.uk/government/publications/health-matters-reducing-health-inequalities-in-mental-illness/health-matters-reducing-health-inequalities-in-mental-illness.</w:t>
      </w:r>
    </w:p>
    <w:p w14:paraId="51366DE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Quynh, T., Long Khanh-Dao Le, Engel, L., Le, N., Melvin, G., Ha and Mihalopoulos, C. (2024). Barriers to and facilitators of user engagement with web-based mental health interventions in young people: a systematic review. </w:t>
      </w:r>
      <w:r w:rsidRPr="0016460E">
        <w:rPr>
          <w:rFonts w:ascii="Arial" w:hAnsi="Arial" w:cs="Arial"/>
          <w:i/>
          <w:iCs/>
          <w:sz w:val="22"/>
          <w:szCs w:val="22"/>
        </w:rPr>
        <w:t>European child &amp; adolescent psychiatry</w:t>
      </w:r>
      <w:r w:rsidRPr="0016460E">
        <w:rPr>
          <w:rFonts w:ascii="Arial" w:hAnsi="Arial" w:cs="Arial"/>
          <w:sz w:val="22"/>
          <w:szCs w:val="22"/>
        </w:rPr>
        <w:t xml:space="preserve">.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://doi.org/10.1007/s00787-024-02386-x</w:t>
      </w:r>
      <w:proofErr w:type="gramEnd"/>
      <w:r w:rsidRPr="0016460E">
        <w:rPr>
          <w:rFonts w:ascii="Arial" w:hAnsi="Arial" w:cs="Arial"/>
          <w:sz w:val="22"/>
          <w:szCs w:val="22"/>
        </w:rPr>
        <w:t>.</w:t>
      </w:r>
    </w:p>
    <w:p w14:paraId="3022BD5D"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Saleem, M., Kühne, L., De Santis, K.K., Brand, T. and Busse, H. (2021). Understanding Engagement Strategies in Digital Interventions for Mental Health Promotion: A Scoping Review (Preprint). </w:t>
      </w:r>
      <w:r w:rsidRPr="0016460E">
        <w:rPr>
          <w:rFonts w:ascii="Arial" w:hAnsi="Arial" w:cs="Arial"/>
          <w:i/>
          <w:iCs/>
          <w:sz w:val="22"/>
          <w:szCs w:val="22"/>
        </w:rPr>
        <w:t>JMIR Mental Health</w:t>
      </w:r>
      <w:r w:rsidRPr="0016460E">
        <w:rPr>
          <w:rFonts w:ascii="Arial" w:hAnsi="Arial" w:cs="Arial"/>
          <w:sz w:val="22"/>
          <w:szCs w:val="22"/>
        </w:rPr>
        <w:t xml:space="preserve">, 8(12).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://doi.org/10.2196/30000</w:t>
      </w:r>
      <w:proofErr w:type="gramEnd"/>
      <w:r w:rsidRPr="0016460E">
        <w:rPr>
          <w:rFonts w:ascii="Arial" w:hAnsi="Arial" w:cs="Arial"/>
          <w:sz w:val="22"/>
          <w:szCs w:val="22"/>
        </w:rPr>
        <w:t>.</w:t>
      </w:r>
    </w:p>
    <w:p w14:paraId="3FC76417"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Shahsavar</w:t>
      </w:r>
      <w:proofErr w:type="spellEnd"/>
      <w:r w:rsidRPr="0016460E">
        <w:rPr>
          <w:rFonts w:ascii="Arial" w:hAnsi="Arial" w:cs="Arial"/>
          <w:sz w:val="22"/>
          <w:szCs w:val="22"/>
        </w:rPr>
        <w:t xml:space="preserve">, Y. and Choudhury, A. (2025). Effectiveness of evidence based mental health apps on user health outcome: A systematic literature review. </w:t>
      </w:r>
      <w:r w:rsidRPr="0016460E">
        <w:rPr>
          <w:rFonts w:ascii="Arial" w:hAnsi="Arial" w:cs="Arial"/>
          <w:i/>
          <w:iCs/>
          <w:sz w:val="22"/>
          <w:szCs w:val="22"/>
        </w:rPr>
        <w:t>PLOS ONE</w:t>
      </w:r>
      <w:r w:rsidRPr="0016460E">
        <w:rPr>
          <w:rFonts w:ascii="Arial" w:hAnsi="Arial" w:cs="Arial"/>
          <w:sz w:val="22"/>
          <w:szCs w:val="22"/>
        </w:rPr>
        <w:t xml:space="preserve">, 20(3), p.e0319983.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://doi.org/10.1371/journal.pone.0319983</w:t>
      </w:r>
      <w:proofErr w:type="gramEnd"/>
      <w:r w:rsidRPr="0016460E">
        <w:rPr>
          <w:rFonts w:ascii="Arial" w:hAnsi="Arial" w:cs="Arial"/>
          <w:sz w:val="22"/>
          <w:szCs w:val="22"/>
        </w:rPr>
        <w:t>.</w:t>
      </w:r>
    </w:p>
    <w:p w14:paraId="5F578EE2"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Smith, K.A., Ward, T., Lambe, S., </w:t>
      </w:r>
      <w:proofErr w:type="spellStart"/>
      <w:r w:rsidRPr="0016460E">
        <w:rPr>
          <w:rFonts w:ascii="Arial" w:hAnsi="Arial" w:cs="Arial"/>
          <w:sz w:val="22"/>
          <w:szCs w:val="22"/>
        </w:rPr>
        <w:t>Ostinelli</w:t>
      </w:r>
      <w:proofErr w:type="spellEnd"/>
      <w:r w:rsidRPr="0016460E">
        <w:rPr>
          <w:rFonts w:ascii="Arial" w:hAnsi="Arial" w:cs="Arial"/>
          <w:sz w:val="22"/>
          <w:szCs w:val="22"/>
        </w:rPr>
        <w:t xml:space="preserve">, E.G., Blease, C., Gant, T., Gold, S.M., Holmes, E.A., </w:t>
      </w:r>
      <w:proofErr w:type="spellStart"/>
      <w:r w:rsidRPr="0016460E">
        <w:rPr>
          <w:rFonts w:ascii="Arial" w:hAnsi="Arial" w:cs="Arial"/>
          <w:sz w:val="22"/>
          <w:szCs w:val="22"/>
        </w:rPr>
        <w:t>Paccoud</w:t>
      </w:r>
      <w:proofErr w:type="spellEnd"/>
      <w:r w:rsidRPr="0016460E">
        <w:rPr>
          <w:rFonts w:ascii="Arial" w:hAnsi="Arial" w:cs="Arial"/>
          <w:sz w:val="22"/>
          <w:szCs w:val="22"/>
        </w:rPr>
        <w:t xml:space="preserve">, I., </w:t>
      </w:r>
      <w:proofErr w:type="spellStart"/>
      <w:r w:rsidRPr="0016460E">
        <w:rPr>
          <w:rFonts w:ascii="Arial" w:hAnsi="Arial" w:cs="Arial"/>
          <w:sz w:val="22"/>
          <w:szCs w:val="22"/>
        </w:rPr>
        <w:t>Vinnikova</w:t>
      </w:r>
      <w:proofErr w:type="spellEnd"/>
      <w:r w:rsidRPr="0016460E">
        <w:rPr>
          <w:rFonts w:ascii="Arial" w:hAnsi="Arial" w:cs="Arial"/>
          <w:sz w:val="22"/>
          <w:szCs w:val="22"/>
        </w:rPr>
        <w:t xml:space="preserve">, A., Jochen Klucken, </w:t>
      </w:r>
      <w:proofErr w:type="spellStart"/>
      <w:r w:rsidRPr="0016460E">
        <w:rPr>
          <w:rFonts w:ascii="Arial" w:hAnsi="Arial" w:cs="Arial"/>
          <w:sz w:val="22"/>
          <w:szCs w:val="22"/>
        </w:rPr>
        <w:t>Uhlhaas</w:t>
      </w:r>
      <w:proofErr w:type="spellEnd"/>
      <w:r w:rsidRPr="0016460E">
        <w:rPr>
          <w:rFonts w:ascii="Arial" w:hAnsi="Arial" w:cs="Arial"/>
          <w:sz w:val="22"/>
          <w:szCs w:val="22"/>
        </w:rPr>
        <w:t xml:space="preserve">, P.J., Sanchez, C.G., Haining, K., Kerem Böge, Sofiia </w:t>
      </w:r>
      <w:proofErr w:type="spellStart"/>
      <w:r w:rsidRPr="0016460E">
        <w:rPr>
          <w:rFonts w:ascii="Arial" w:hAnsi="Arial" w:cs="Arial"/>
          <w:sz w:val="22"/>
          <w:szCs w:val="22"/>
        </w:rPr>
        <w:t>Lahutina</w:t>
      </w:r>
      <w:proofErr w:type="spellEnd"/>
      <w:r w:rsidRPr="0016460E">
        <w:rPr>
          <w:rFonts w:ascii="Arial" w:hAnsi="Arial" w:cs="Arial"/>
          <w:sz w:val="22"/>
          <w:szCs w:val="22"/>
        </w:rPr>
        <w:t xml:space="preserve">, </w:t>
      </w:r>
      <w:proofErr w:type="spellStart"/>
      <w:r w:rsidRPr="0016460E">
        <w:rPr>
          <w:rFonts w:ascii="Arial" w:hAnsi="Arial" w:cs="Arial"/>
          <w:sz w:val="22"/>
          <w:szCs w:val="22"/>
        </w:rPr>
        <w:t>Tomelleri</w:t>
      </w:r>
      <w:proofErr w:type="spellEnd"/>
      <w:r w:rsidRPr="0016460E">
        <w:rPr>
          <w:rFonts w:ascii="Arial" w:hAnsi="Arial" w:cs="Arial"/>
          <w:sz w:val="22"/>
          <w:szCs w:val="22"/>
        </w:rPr>
        <w:t xml:space="preserve">, L., Ryan, S., </w:t>
      </w:r>
      <w:proofErr w:type="spellStart"/>
      <w:r w:rsidRPr="0016460E">
        <w:rPr>
          <w:rFonts w:ascii="Arial" w:hAnsi="Arial" w:cs="Arial"/>
          <w:sz w:val="22"/>
          <w:szCs w:val="22"/>
        </w:rPr>
        <w:t>Torous</w:t>
      </w:r>
      <w:proofErr w:type="spellEnd"/>
      <w:r w:rsidRPr="0016460E">
        <w:rPr>
          <w:rFonts w:ascii="Arial" w:hAnsi="Arial" w:cs="Arial"/>
          <w:sz w:val="22"/>
          <w:szCs w:val="22"/>
        </w:rPr>
        <w:t xml:space="preserve">, J. and Cipriani, A. (2025). Engagement and attrition in digital mental health: current challenges and potential solutions. </w:t>
      </w:r>
      <w:proofErr w:type="spellStart"/>
      <w:r w:rsidRPr="0016460E">
        <w:rPr>
          <w:rFonts w:ascii="Arial" w:hAnsi="Arial" w:cs="Arial"/>
          <w:i/>
          <w:iCs/>
          <w:sz w:val="22"/>
          <w:szCs w:val="22"/>
        </w:rPr>
        <w:t>npj</w:t>
      </w:r>
      <w:proofErr w:type="spellEnd"/>
      <w:r w:rsidRPr="0016460E">
        <w:rPr>
          <w:rFonts w:ascii="Arial" w:hAnsi="Arial" w:cs="Arial"/>
          <w:i/>
          <w:iCs/>
          <w:sz w:val="22"/>
          <w:szCs w:val="22"/>
        </w:rPr>
        <w:t xml:space="preserve"> Digital Medicine</w:t>
      </w:r>
      <w:r w:rsidRPr="0016460E">
        <w:rPr>
          <w:rFonts w:ascii="Arial" w:hAnsi="Arial" w:cs="Arial"/>
          <w:sz w:val="22"/>
          <w:szCs w:val="22"/>
        </w:rPr>
        <w:t xml:space="preserve">, 8(1).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://doi.org/10.1038/s41746-025-01778-w</w:t>
      </w:r>
      <w:proofErr w:type="gramEnd"/>
      <w:r w:rsidRPr="0016460E">
        <w:rPr>
          <w:rFonts w:ascii="Arial" w:hAnsi="Arial" w:cs="Arial"/>
          <w:sz w:val="22"/>
          <w:szCs w:val="22"/>
        </w:rPr>
        <w:t>.</w:t>
      </w:r>
    </w:p>
    <w:p w14:paraId="3D116DB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Stoumpos</w:t>
      </w:r>
      <w:proofErr w:type="spellEnd"/>
      <w:r w:rsidRPr="0016460E">
        <w:rPr>
          <w:rFonts w:ascii="Arial" w:hAnsi="Arial" w:cs="Arial"/>
          <w:sz w:val="22"/>
          <w:szCs w:val="22"/>
        </w:rPr>
        <w:t xml:space="preserve">, A.I., Kitsios, F. and </w:t>
      </w:r>
      <w:proofErr w:type="spellStart"/>
      <w:r w:rsidRPr="0016460E">
        <w:rPr>
          <w:rFonts w:ascii="Arial" w:hAnsi="Arial" w:cs="Arial"/>
          <w:sz w:val="22"/>
          <w:szCs w:val="22"/>
        </w:rPr>
        <w:t>Talias</w:t>
      </w:r>
      <w:proofErr w:type="spellEnd"/>
      <w:r w:rsidRPr="0016460E">
        <w:rPr>
          <w:rFonts w:ascii="Arial" w:hAnsi="Arial" w:cs="Arial"/>
          <w:sz w:val="22"/>
          <w:szCs w:val="22"/>
        </w:rPr>
        <w:t xml:space="preserve">, M.A. (2023). Digital Transformation in healthcare: Technology Acceptance and Its Applications. </w:t>
      </w:r>
      <w:r w:rsidRPr="0016460E">
        <w:rPr>
          <w:rFonts w:ascii="Arial" w:hAnsi="Arial" w:cs="Arial"/>
          <w:i/>
          <w:iCs/>
          <w:sz w:val="22"/>
          <w:szCs w:val="22"/>
        </w:rPr>
        <w:t>International Journal of Environmental Research and Public Health</w:t>
      </w:r>
      <w:r w:rsidRPr="0016460E">
        <w:rPr>
          <w:rFonts w:ascii="Arial" w:hAnsi="Arial" w:cs="Arial"/>
          <w:sz w:val="22"/>
          <w:szCs w:val="22"/>
        </w:rPr>
        <w:t>, [online] 20(4). Available at: https://www.mdpi.com/1660-4601/20/4/3407.</w:t>
      </w:r>
    </w:p>
    <w:p w14:paraId="60AAB163"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lastRenderedPageBreak/>
        <w:t xml:space="preserve">Tangari, G., Ikram, M., Ijaz, K., </w:t>
      </w:r>
      <w:proofErr w:type="spellStart"/>
      <w:r w:rsidRPr="0016460E">
        <w:rPr>
          <w:rFonts w:ascii="Arial" w:hAnsi="Arial" w:cs="Arial"/>
          <w:sz w:val="22"/>
          <w:szCs w:val="22"/>
        </w:rPr>
        <w:t>Kaafar</w:t>
      </w:r>
      <w:proofErr w:type="spellEnd"/>
      <w:r w:rsidRPr="0016460E">
        <w:rPr>
          <w:rFonts w:ascii="Arial" w:hAnsi="Arial" w:cs="Arial"/>
          <w:sz w:val="22"/>
          <w:szCs w:val="22"/>
        </w:rPr>
        <w:t xml:space="preserve">, M.A. and Berkovsky, S. (2021). Mobile health and privacy: cross sectional study. </w:t>
      </w:r>
      <w:r w:rsidRPr="0016460E">
        <w:rPr>
          <w:rFonts w:ascii="Arial" w:hAnsi="Arial" w:cs="Arial"/>
          <w:i/>
          <w:iCs/>
          <w:sz w:val="22"/>
          <w:szCs w:val="22"/>
        </w:rPr>
        <w:t>BMJ</w:t>
      </w:r>
      <w:r w:rsidRPr="0016460E">
        <w:rPr>
          <w:rFonts w:ascii="Arial" w:hAnsi="Arial" w:cs="Arial"/>
          <w:sz w:val="22"/>
          <w:szCs w:val="22"/>
        </w:rPr>
        <w:t xml:space="preserve">, [online] 373(8296), p.n1248.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://doi.org/10.1136/bmj.n1248</w:t>
      </w:r>
      <w:proofErr w:type="gramEnd"/>
      <w:r w:rsidRPr="0016460E">
        <w:rPr>
          <w:rFonts w:ascii="Arial" w:hAnsi="Arial" w:cs="Arial"/>
          <w:sz w:val="22"/>
          <w:szCs w:val="22"/>
        </w:rPr>
        <w:t>.</w:t>
      </w:r>
    </w:p>
    <w:p w14:paraId="0F640DBE"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Teke, J., </w:t>
      </w:r>
      <w:proofErr w:type="spellStart"/>
      <w:r w:rsidRPr="0016460E">
        <w:rPr>
          <w:rFonts w:ascii="Arial" w:hAnsi="Arial" w:cs="Arial"/>
          <w:sz w:val="22"/>
          <w:szCs w:val="22"/>
        </w:rPr>
        <w:t>Olawade</w:t>
      </w:r>
      <w:proofErr w:type="spellEnd"/>
      <w:r w:rsidRPr="0016460E">
        <w:rPr>
          <w:rFonts w:ascii="Arial" w:hAnsi="Arial" w:cs="Arial"/>
          <w:sz w:val="22"/>
          <w:szCs w:val="22"/>
        </w:rPr>
        <w:t xml:space="preserve">, D.B., Leena, N., Weerasinghe, K., Mc Lernon, S. and </w:t>
      </w:r>
      <w:proofErr w:type="spellStart"/>
      <w:r w:rsidRPr="0016460E">
        <w:rPr>
          <w:rFonts w:ascii="Arial" w:hAnsi="Arial" w:cs="Arial"/>
          <w:sz w:val="22"/>
          <w:szCs w:val="22"/>
        </w:rPr>
        <w:t>Moorley</w:t>
      </w:r>
      <w:proofErr w:type="spellEnd"/>
      <w:r w:rsidRPr="0016460E">
        <w:rPr>
          <w:rFonts w:ascii="Arial" w:hAnsi="Arial" w:cs="Arial"/>
          <w:sz w:val="22"/>
          <w:szCs w:val="22"/>
        </w:rPr>
        <w:t xml:space="preserve">, C. (2025). Digital health Disparities: A review of barriers and solutions for racially diverse groups. </w:t>
      </w:r>
      <w:r w:rsidRPr="0016460E">
        <w:rPr>
          <w:rFonts w:ascii="Arial" w:hAnsi="Arial" w:cs="Arial"/>
          <w:i/>
          <w:iCs/>
          <w:sz w:val="22"/>
          <w:szCs w:val="22"/>
        </w:rPr>
        <w:t>International Journal of Medical Informatics</w:t>
      </w:r>
      <w:r w:rsidRPr="0016460E">
        <w:rPr>
          <w:rFonts w:ascii="Arial" w:hAnsi="Arial" w:cs="Arial"/>
          <w:sz w:val="22"/>
          <w:szCs w:val="22"/>
        </w:rPr>
        <w:t xml:space="preserve">, [online] p.106173.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://doi.org/10.1016/j.ijmedinf.2025.106173</w:t>
      </w:r>
      <w:proofErr w:type="gramEnd"/>
      <w:r w:rsidRPr="0016460E">
        <w:rPr>
          <w:rFonts w:ascii="Arial" w:hAnsi="Arial" w:cs="Arial"/>
          <w:sz w:val="22"/>
          <w:szCs w:val="22"/>
        </w:rPr>
        <w:t>.</w:t>
      </w:r>
    </w:p>
    <w:p w14:paraId="0C6FDF49"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The Guardian (2015). NHS-accredited health apps putting users’ privacy at risk, study finds. </w:t>
      </w:r>
      <w:r w:rsidRPr="0016460E">
        <w:rPr>
          <w:rFonts w:ascii="Arial" w:hAnsi="Arial" w:cs="Arial"/>
          <w:i/>
          <w:iCs/>
          <w:sz w:val="22"/>
          <w:szCs w:val="22"/>
        </w:rPr>
        <w:t>The Guardian</w:t>
      </w:r>
      <w:r w:rsidRPr="0016460E">
        <w:rPr>
          <w:rFonts w:ascii="Arial" w:hAnsi="Arial" w:cs="Arial"/>
          <w:sz w:val="22"/>
          <w:szCs w:val="22"/>
        </w:rPr>
        <w:t>. [online] 25 Sep. Available at: https://www.theguardian.com/society/2015/sep/25/nhs-accredited-health-apps-putting-users-privacy-at-risk-study-finds.</w:t>
      </w:r>
    </w:p>
    <w:p w14:paraId="3AD59BE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Thew, G.R., Rozental, A. and </w:t>
      </w:r>
      <w:proofErr w:type="spellStart"/>
      <w:r w:rsidRPr="0016460E">
        <w:rPr>
          <w:rFonts w:ascii="Arial" w:hAnsi="Arial" w:cs="Arial"/>
          <w:sz w:val="22"/>
          <w:szCs w:val="22"/>
        </w:rPr>
        <w:t>Hadjistavropoulos</w:t>
      </w:r>
      <w:proofErr w:type="spellEnd"/>
      <w:r w:rsidRPr="0016460E">
        <w:rPr>
          <w:rFonts w:ascii="Arial" w:hAnsi="Arial" w:cs="Arial"/>
          <w:sz w:val="22"/>
          <w:szCs w:val="22"/>
        </w:rPr>
        <w:t xml:space="preserve">, H.D. (2022). Advances in digital CBT: Where are we now, and where next? </w:t>
      </w:r>
      <w:r w:rsidRPr="0016460E">
        <w:rPr>
          <w:rFonts w:ascii="Arial" w:hAnsi="Arial" w:cs="Arial"/>
          <w:i/>
          <w:iCs/>
          <w:sz w:val="22"/>
          <w:szCs w:val="22"/>
        </w:rPr>
        <w:t>The Cognitive Behaviour Therapist</w:t>
      </w:r>
      <w:r w:rsidRPr="0016460E">
        <w:rPr>
          <w:rFonts w:ascii="Arial" w:hAnsi="Arial" w:cs="Arial"/>
          <w:sz w:val="22"/>
          <w:szCs w:val="22"/>
        </w:rPr>
        <w:t xml:space="preserve">, [online] 15(44).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://doi.org/10.1017/s1754470x22000423</w:t>
      </w:r>
      <w:proofErr w:type="gramEnd"/>
      <w:r w:rsidRPr="0016460E">
        <w:rPr>
          <w:rFonts w:ascii="Arial" w:hAnsi="Arial" w:cs="Arial"/>
          <w:sz w:val="22"/>
          <w:szCs w:val="22"/>
        </w:rPr>
        <w:t>.</w:t>
      </w:r>
    </w:p>
    <w:p w14:paraId="2FCAE973"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Think Global Health (2021). </w:t>
      </w:r>
      <w:r w:rsidRPr="0016460E">
        <w:rPr>
          <w:rFonts w:ascii="Arial" w:hAnsi="Arial" w:cs="Arial"/>
          <w:i/>
          <w:iCs/>
          <w:sz w:val="22"/>
          <w:szCs w:val="22"/>
        </w:rPr>
        <w:t xml:space="preserve">Why India Lacks Access to Its Homegrown Drugs for Mental </w:t>
      </w:r>
      <w:proofErr w:type="gramStart"/>
      <w:r w:rsidRPr="0016460E">
        <w:rPr>
          <w:rFonts w:ascii="Arial" w:hAnsi="Arial" w:cs="Arial"/>
          <w:i/>
          <w:iCs/>
          <w:sz w:val="22"/>
          <w:szCs w:val="22"/>
        </w:rPr>
        <w:t>Illness  |</w:t>
      </w:r>
      <w:proofErr w:type="gramEnd"/>
      <w:r w:rsidRPr="0016460E">
        <w:rPr>
          <w:rFonts w:ascii="Arial" w:hAnsi="Arial" w:cs="Arial"/>
          <w:i/>
          <w:iCs/>
          <w:sz w:val="22"/>
          <w:szCs w:val="22"/>
        </w:rPr>
        <w:t xml:space="preserve"> Think Global Health</w:t>
      </w:r>
      <w:r w:rsidRPr="0016460E">
        <w:rPr>
          <w:rFonts w:ascii="Arial" w:hAnsi="Arial" w:cs="Arial"/>
          <w:sz w:val="22"/>
          <w:szCs w:val="22"/>
        </w:rPr>
        <w:t>. [online] Think Global Health. Available at: https://www.thinkglobalhealth.org/article/why-india-lacks-access-to-its-homegrown-drugs-for-mental-illness.</w:t>
      </w:r>
    </w:p>
    <w:p w14:paraId="166AB64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Titov, N., Dear, B.F., Nielssen, O., Wootton, B., Kayrouz, R., Karin, E., Genest, B., Bennett-Levy, J., Purtell, C., Bezuidenhout, G., Tan, R., Minissale, C., Thadhani, P., Webb, N., Willcock, S., Andersson, G., </w:t>
      </w:r>
      <w:proofErr w:type="spellStart"/>
      <w:r w:rsidRPr="0016460E">
        <w:rPr>
          <w:rFonts w:ascii="Arial" w:hAnsi="Arial" w:cs="Arial"/>
          <w:sz w:val="22"/>
          <w:szCs w:val="22"/>
        </w:rPr>
        <w:t>Hadjistavropoulos</w:t>
      </w:r>
      <w:proofErr w:type="spellEnd"/>
      <w:r w:rsidRPr="0016460E">
        <w:rPr>
          <w:rFonts w:ascii="Arial" w:hAnsi="Arial" w:cs="Arial"/>
          <w:sz w:val="22"/>
          <w:szCs w:val="22"/>
        </w:rPr>
        <w:t xml:space="preserve">, H.D., Mohr, D.C., Kavanagh, D.J. and Cross, S. (2020). User characteristics and outcomes from a national digital mental health service: an observational study of registrants of the Australian </w:t>
      </w:r>
      <w:proofErr w:type="spellStart"/>
      <w:r w:rsidRPr="0016460E">
        <w:rPr>
          <w:rFonts w:ascii="Arial" w:hAnsi="Arial" w:cs="Arial"/>
          <w:sz w:val="22"/>
          <w:szCs w:val="22"/>
        </w:rPr>
        <w:t>MindSpot</w:t>
      </w:r>
      <w:proofErr w:type="spellEnd"/>
      <w:r w:rsidRPr="0016460E">
        <w:rPr>
          <w:rFonts w:ascii="Arial" w:hAnsi="Arial" w:cs="Arial"/>
          <w:sz w:val="22"/>
          <w:szCs w:val="22"/>
        </w:rPr>
        <w:t xml:space="preserve"> Clinic. </w:t>
      </w:r>
      <w:r w:rsidRPr="0016460E">
        <w:rPr>
          <w:rFonts w:ascii="Arial" w:hAnsi="Arial" w:cs="Arial"/>
          <w:i/>
          <w:iCs/>
          <w:sz w:val="22"/>
          <w:szCs w:val="22"/>
        </w:rPr>
        <w:t>The Lancet Digital Health</w:t>
      </w:r>
      <w:r w:rsidRPr="0016460E">
        <w:rPr>
          <w:rFonts w:ascii="Arial" w:hAnsi="Arial" w:cs="Arial"/>
          <w:sz w:val="22"/>
          <w:szCs w:val="22"/>
        </w:rPr>
        <w:t xml:space="preserve">, 2(11), </w:t>
      </w:r>
      <w:proofErr w:type="gramStart"/>
      <w:r w:rsidRPr="0016460E">
        <w:rPr>
          <w:rFonts w:ascii="Arial" w:hAnsi="Arial" w:cs="Arial"/>
          <w:sz w:val="22"/>
          <w:szCs w:val="22"/>
        </w:rPr>
        <w:t>pp.e</w:t>
      </w:r>
      <w:proofErr w:type="gramEnd"/>
      <w:r w:rsidRPr="0016460E">
        <w:rPr>
          <w:rFonts w:ascii="Arial" w:hAnsi="Arial" w:cs="Arial"/>
          <w:sz w:val="22"/>
          <w:szCs w:val="22"/>
        </w:rPr>
        <w:t xml:space="preserve">582–e593.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://doi.org/10.1016/s2589-7500(20)30224-7</w:t>
      </w:r>
      <w:proofErr w:type="gramEnd"/>
      <w:r w:rsidRPr="0016460E">
        <w:rPr>
          <w:rFonts w:ascii="Arial" w:hAnsi="Arial" w:cs="Arial"/>
          <w:sz w:val="22"/>
          <w:szCs w:val="22"/>
        </w:rPr>
        <w:t>.</w:t>
      </w:r>
    </w:p>
    <w:p w14:paraId="16DF5893"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proofErr w:type="spellStart"/>
      <w:r w:rsidRPr="0016460E">
        <w:rPr>
          <w:rFonts w:ascii="Arial" w:hAnsi="Arial" w:cs="Arial"/>
          <w:sz w:val="22"/>
          <w:szCs w:val="22"/>
        </w:rPr>
        <w:t>Torous</w:t>
      </w:r>
      <w:proofErr w:type="spellEnd"/>
      <w:r w:rsidRPr="0016460E">
        <w:rPr>
          <w:rFonts w:ascii="Arial" w:hAnsi="Arial" w:cs="Arial"/>
          <w:sz w:val="22"/>
          <w:szCs w:val="22"/>
        </w:rPr>
        <w:t>, J., Bucci, S., Bell, I.H., Kessing, L.V., Faurholt</w:t>
      </w:r>
      <w:r w:rsidRPr="0016460E">
        <w:rPr>
          <w:rFonts w:ascii="Cambria Math" w:hAnsi="Cambria Math" w:cs="Cambria Math"/>
          <w:sz w:val="22"/>
          <w:szCs w:val="22"/>
        </w:rPr>
        <w:t>‐</w:t>
      </w:r>
      <w:r w:rsidRPr="0016460E">
        <w:rPr>
          <w:rFonts w:ascii="Arial" w:hAnsi="Arial" w:cs="Arial"/>
          <w:sz w:val="22"/>
          <w:szCs w:val="22"/>
        </w:rPr>
        <w:t xml:space="preserve">Jepsen, M., Whelan, P., Carvalho, A.F., Keshavan, M., </w:t>
      </w:r>
      <w:proofErr w:type="spellStart"/>
      <w:r w:rsidRPr="0016460E">
        <w:rPr>
          <w:rFonts w:ascii="Arial" w:hAnsi="Arial" w:cs="Arial"/>
          <w:sz w:val="22"/>
          <w:szCs w:val="22"/>
        </w:rPr>
        <w:t>Linardon</w:t>
      </w:r>
      <w:proofErr w:type="spellEnd"/>
      <w:r w:rsidRPr="0016460E">
        <w:rPr>
          <w:rFonts w:ascii="Arial" w:hAnsi="Arial" w:cs="Arial"/>
          <w:sz w:val="22"/>
          <w:szCs w:val="22"/>
        </w:rPr>
        <w:t xml:space="preserve">, J. and Firth, J. (2021). The Growing Field of Digital psychiatry: Current Evidence and the Future of apps, Social media, chatbots, and Virtual Reality. </w:t>
      </w:r>
      <w:r w:rsidRPr="0016460E">
        <w:rPr>
          <w:rFonts w:ascii="Arial" w:hAnsi="Arial" w:cs="Arial"/>
          <w:i/>
          <w:iCs/>
          <w:sz w:val="22"/>
          <w:szCs w:val="22"/>
        </w:rPr>
        <w:t>World Psychiatry</w:t>
      </w:r>
      <w:r w:rsidRPr="0016460E">
        <w:rPr>
          <w:rFonts w:ascii="Arial" w:hAnsi="Arial" w:cs="Arial"/>
          <w:sz w:val="22"/>
          <w:szCs w:val="22"/>
        </w:rPr>
        <w:t xml:space="preserve">, 20(3), pp.318–335.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://doi.org/10.1002/wps.20883</w:t>
      </w:r>
      <w:proofErr w:type="gramEnd"/>
      <w:r w:rsidRPr="0016460E">
        <w:rPr>
          <w:rFonts w:ascii="Arial" w:hAnsi="Arial" w:cs="Arial"/>
          <w:sz w:val="22"/>
          <w:szCs w:val="22"/>
        </w:rPr>
        <w:t>.</w:t>
      </w:r>
    </w:p>
    <w:p w14:paraId="1155BB46"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UNSW (2025). </w:t>
      </w:r>
      <w:r w:rsidRPr="0016460E">
        <w:rPr>
          <w:rFonts w:ascii="Arial" w:hAnsi="Arial" w:cs="Arial"/>
          <w:i/>
          <w:iCs/>
          <w:sz w:val="22"/>
          <w:szCs w:val="22"/>
        </w:rPr>
        <w:t>Australia is getting a new digital mental health service. Will it help? Here’s what the evidence says</w:t>
      </w:r>
      <w:r w:rsidRPr="0016460E">
        <w:rPr>
          <w:rFonts w:ascii="Arial" w:hAnsi="Arial" w:cs="Arial"/>
          <w:sz w:val="22"/>
          <w:szCs w:val="22"/>
        </w:rPr>
        <w:t>. [online] UNSW Sites. Available at: https://www.unsw.edu.au/newsroom/news/2024/05/australia-getting-new-digital-mental-health-service-heres-what-evidence-says.</w:t>
      </w:r>
    </w:p>
    <w:p w14:paraId="20FE24EE"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lastRenderedPageBreak/>
        <w:t xml:space="preserve">Unsworth, H., Dillon, B., Collinson, L., Powell, H., Salmon, M., Oladapo, T., </w:t>
      </w:r>
      <w:proofErr w:type="spellStart"/>
      <w:r w:rsidRPr="0016460E">
        <w:rPr>
          <w:rFonts w:ascii="Arial" w:hAnsi="Arial" w:cs="Arial"/>
          <w:sz w:val="22"/>
          <w:szCs w:val="22"/>
        </w:rPr>
        <w:t>Ayiku</w:t>
      </w:r>
      <w:proofErr w:type="spellEnd"/>
      <w:r w:rsidRPr="0016460E">
        <w:rPr>
          <w:rFonts w:ascii="Arial" w:hAnsi="Arial" w:cs="Arial"/>
          <w:sz w:val="22"/>
          <w:szCs w:val="22"/>
        </w:rPr>
        <w:t xml:space="preserve">, L., Shield, G., Holden, J., Patel, N., Campbell, M., Greaves, F., Joshi, I., Powell, J. and </w:t>
      </w:r>
      <w:proofErr w:type="spellStart"/>
      <w:r w:rsidRPr="0016460E">
        <w:rPr>
          <w:rFonts w:ascii="Arial" w:hAnsi="Arial" w:cs="Arial"/>
          <w:sz w:val="22"/>
          <w:szCs w:val="22"/>
        </w:rPr>
        <w:t>Tonnel</w:t>
      </w:r>
      <w:proofErr w:type="spellEnd"/>
      <w:r w:rsidRPr="0016460E">
        <w:rPr>
          <w:rFonts w:ascii="Arial" w:hAnsi="Arial" w:cs="Arial"/>
          <w:sz w:val="22"/>
          <w:szCs w:val="22"/>
        </w:rPr>
        <w:t xml:space="preserve">, A. (2021). The NICE Evidence Standards Framework for Digital Health and Care Technologies – Developing and Maintaining an Innovative Evidence Framework with Global Impact. </w:t>
      </w:r>
      <w:r w:rsidRPr="0016460E">
        <w:rPr>
          <w:rFonts w:ascii="Arial" w:hAnsi="Arial" w:cs="Arial"/>
          <w:i/>
          <w:iCs/>
          <w:sz w:val="22"/>
          <w:szCs w:val="22"/>
        </w:rPr>
        <w:t>DIGITAL HEALTH</w:t>
      </w:r>
      <w:r w:rsidRPr="0016460E">
        <w:rPr>
          <w:rFonts w:ascii="Arial" w:hAnsi="Arial" w:cs="Arial"/>
          <w:sz w:val="22"/>
          <w:szCs w:val="22"/>
        </w:rPr>
        <w:t xml:space="preserve">, [online] 7(7), p.205520762110186.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://doi.org/10.1177/20552076211018617</w:t>
      </w:r>
      <w:proofErr w:type="gramEnd"/>
      <w:r w:rsidRPr="0016460E">
        <w:rPr>
          <w:rFonts w:ascii="Arial" w:hAnsi="Arial" w:cs="Arial"/>
          <w:sz w:val="22"/>
          <w:szCs w:val="22"/>
        </w:rPr>
        <w:t>.</w:t>
      </w:r>
    </w:p>
    <w:p w14:paraId="50DB704A"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WHO (2022). </w:t>
      </w:r>
      <w:r w:rsidRPr="0016460E">
        <w:rPr>
          <w:rFonts w:ascii="Arial" w:hAnsi="Arial" w:cs="Arial"/>
          <w:i/>
          <w:iCs/>
          <w:sz w:val="22"/>
          <w:szCs w:val="22"/>
        </w:rPr>
        <w:t>Mental health</w:t>
      </w:r>
      <w:r w:rsidRPr="0016460E">
        <w:rPr>
          <w:rFonts w:ascii="Arial" w:hAnsi="Arial" w:cs="Arial"/>
          <w:sz w:val="22"/>
          <w:szCs w:val="22"/>
        </w:rPr>
        <w:t>. [online] World Health Organization. Available at: https://www.who.int/news-room/fact-sheets/detail/mental-health-strengthening-our-response.</w:t>
      </w:r>
    </w:p>
    <w:p w14:paraId="0D6F98B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WHO (2022). </w:t>
      </w:r>
      <w:r w:rsidRPr="0016460E">
        <w:rPr>
          <w:rFonts w:ascii="Arial" w:hAnsi="Arial" w:cs="Arial"/>
          <w:i/>
          <w:iCs/>
          <w:sz w:val="22"/>
          <w:szCs w:val="22"/>
        </w:rPr>
        <w:t>Global strategy on digital health 2020-2025</w:t>
      </w:r>
      <w:r w:rsidRPr="0016460E">
        <w:rPr>
          <w:rFonts w:ascii="Arial" w:hAnsi="Arial" w:cs="Arial"/>
          <w:sz w:val="22"/>
          <w:szCs w:val="22"/>
        </w:rPr>
        <w:t>. [online] Available at: https://www.who.int/docs/default-source/documents/gs4dhdaa2a9f352b0445bafbc79ca799dce4d.pdf.</w:t>
      </w:r>
    </w:p>
    <w:p w14:paraId="0D4218B8"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World Health Organization (2021). </w:t>
      </w:r>
      <w:r w:rsidRPr="0016460E">
        <w:rPr>
          <w:rFonts w:ascii="Arial" w:hAnsi="Arial" w:cs="Arial"/>
          <w:i/>
          <w:iCs/>
          <w:sz w:val="22"/>
          <w:szCs w:val="22"/>
        </w:rPr>
        <w:t>Global strategy on digital health 2020-2025</w:t>
      </w:r>
      <w:r w:rsidRPr="0016460E">
        <w:rPr>
          <w:rFonts w:ascii="Arial" w:hAnsi="Arial" w:cs="Arial"/>
          <w:sz w:val="22"/>
          <w:szCs w:val="22"/>
        </w:rPr>
        <w:t>. [online] World Health Organization. Available at: https://www.who.int/publications/i/item/9789240020924.</w:t>
      </w:r>
    </w:p>
    <w:p w14:paraId="3BBB10D4"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World Health Organization (2025). </w:t>
      </w:r>
      <w:r w:rsidRPr="0016460E">
        <w:rPr>
          <w:rFonts w:ascii="Arial" w:hAnsi="Arial" w:cs="Arial"/>
          <w:i/>
          <w:iCs/>
          <w:sz w:val="22"/>
          <w:szCs w:val="22"/>
        </w:rPr>
        <w:t>Depressive disorder (depression)</w:t>
      </w:r>
      <w:r w:rsidRPr="0016460E">
        <w:rPr>
          <w:rFonts w:ascii="Arial" w:hAnsi="Arial" w:cs="Arial"/>
          <w:sz w:val="22"/>
          <w:szCs w:val="22"/>
        </w:rPr>
        <w:t>. [online] World Health Organization. Available at: https://www.who.int/news-room/fact-sheets/detail/depression.</w:t>
      </w:r>
    </w:p>
    <w:p w14:paraId="12816185" w14:textId="77777777" w:rsidR="007B4AAB"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Wyatt, J.C. (2018). How can clinicians, specialty societies and others evaluate and improve the quality of apps for patient use? </w:t>
      </w:r>
      <w:r w:rsidRPr="0016460E">
        <w:rPr>
          <w:rFonts w:ascii="Arial" w:hAnsi="Arial" w:cs="Arial"/>
          <w:i/>
          <w:iCs/>
          <w:sz w:val="22"/>
          <w:szCs w:val="22"/>
        </w:rPr>
        <w:t>BMC Medicine</w:t>
      </w:r>
      <w:r w:rsidRPr="0016460E">
        <w:rPr>
          <w:rFonts w:ascii="Arial" w:hAnsi="Arial" w:cs="Arial"/>
          <w:sz w:val="22"/>
          <w:szCs w:val="22"/>
        </w:rPr>
        <w:t xml:space="preserve">, 16(1).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://doi.org/10.1186/s12916-018-1211-7</w:t>
      </w:r>
      <w:proofErr w:type="gramEnd"/>
      <w:r w:rsidRPr="0016460E">
        <w:rPr>
          <w:rFonts w:ascii="Arial" w:hAnsi="Arial" w:cs="Arial"/>
          <w:sz w:val="22"/>
          <w:szCs w:val="22"/>
        </w:rPr>
        <w:t>.</w:t>
      </w:r>
    </w:p>
    <w:p w14:paraId="3C7AA80C" w14:textId="4ABBCE42" w:rsidR="00621776" w:rsidRPr="0016460E" w:rsidRDefault="007B4AAB" w:rsidP="00CF01E1">
      <w:pPr>
        <w:pStyle w:val="NormalWeb"/>
        <w:spacing w:before="240" w:beforeAutospacing="0" w:after="240" w:afterAutospacing="0" w:line="360" w:lineRule="auto"/>
        <w:rPr>
          <w:rFonts w:ascii="Arial" w:hAnsi="Arial" w:cs="Arial"/>
          <w:sz w:val="22"/>
          <w:szCs w:val="22"/>
        </w:rPr>
      </w:pPr>
      <w:r w:rsidRPr="0016460E">
        <w:rPr>
          <w:rFonts w:ascii="Arial" w:hAnsi="Arial" w:cs="Arial"/>
          <w:sz w:val="22"/>
          <w:szCs w:val="22"/>
        </w:rPr>
        <w:t xml:space="preserve">Xiong, J., Lipsitz, O., Nasri, F., Lui, L.M.W., Gill, H., Phan, L., Chen-Li, D., Iacobucci, M., Ho, R., Majeed, A. and McIntyre, R.S. (2020). Impact of COVID-19 pandemic on mental health in the general population: A systematic review. </w:t>
      </w:r>
      <w:r w:rsidRPr="0016460E">
        <w:rPr>
          <w:rFonts w:ascii="Arial" w:hAnsi="Arial" w:cs="Arial"/>
          <w:i/>
          <w:iCs/>
          <w:sz w:val="22"/>
          <w:szCs w:val="22"/>
        </w:rPr>
        <w:t>Journal of Affective Disorders</w:t>
      </w:r>
      <w:r w:rsidRPr="0016460E">
        <w:rPr>
          <w:rFonts w:ascii="Arial" w:hAnsi="Arial" w:cs="Arial"/>
          <w:sz w:val="22"/>
          <w:szCs w:val="22"/>
        </w:rPr>
        <w:t xml:space="preserve">, [online] 277, pp.55–64. </w:t>
      </w:r>
      <w:proofErr w:type="spellStart"/>
      <w:proofErr w:type="gramStart"/>
      <w:r w:rsidRPr="0016460E">
        <w:rPr>
          <w:rFonts w:ascii="Arial" w:hAnsi="Arial" w:cs="Arial"/>
          <w:sz w:val="22"/>
          <w:szCs w:val="22"/>
        </w:rPr>
        <w:t>doi:https</w:t>
      </w:r>
      <w:proofErr w:type="spellEnd"/>
      <w:r w:rsidRPr="0016460E">
        <w:rPr>
          <w:rFonts w:ascii="Arial" w:hAnsi="Arial" w:cs="Arial"/>
          <w:sz w:val="22"/>
          <w:szCs w:val="22"/>
        </w:rPr>
        <w:t>://doi.org/10.1016/j.jad.2020.08.001</w:t>
      </w:r>
      <w:proofErr w:type="gramEnd"/>
      <w:r w:rsidRPr="0016460E">
        <w:rPr>
          <w:rFonts w:ascii="Arial" w:hAnsi="Arial" w:cs="Arial"/>
          <w:sz w:val="22"/>
          <w:szCs w:val="22"/>
        </w:rPr>
        <w:t>.</w:t>
      </w:r>
    </w:p>
    <w:p w14:paraId="2F65134C" w14:textId="77777777" w:rsidR="00402077" w:rsidRPr="0016460E" w:rsidRDefault="00402077" w:rsidP="00CF01E1">
      <w:pPr>
        <w:pStyle w:val="NormalWeb"/>
        <w:spacing w:before="240" w:beforeAutospacing="0" w:after="240" w:afterAutospacing="0" w:line="360" w:lineRule="auto"/>
        <w:rPr>
          <w:rFonts w:ascii="Arial" w:hAnsi="Arial" w:cs="Arial"/>
          <w:sz w:val="22"/>
          <w:szCs w:val="22"/>
        </w:rPr>
      </w:pPr>
    </w:p>
    <w:p w14:paraId="6C2D5215" w14:textId="77777777" w:rsidR="00402077" w:rsidRPr="0016460E" w:rsidRDefault="00402077" w:rsidP="00CF01E1">
      <w:pPr>
        <w:pStyle w:val="NormalWeb"/>
        <w:spacing w:before="240" w:beforeAutospacing="0" w:after="240" w:afterAutospacing="0" w:line="360" w:lineRule="auto"/>
        <w:rPr>
          <w:rFonts w:ascii="Arial" w:hAnsi="Arial" w:cs="Arial"/>
          <w:sz w:val="22"/>
          <w:szCs w:val="22"/>
        </w:rPr>
      </w:pPr>
    </w:p>
    <w:p w14:paraId="4BA2C3F3" w14:textId="77777777" w:rsidR="00402077" w:rsidRPr="0016460E" w:rsidRDefault="00402077" w:rsidP="00CF01E1">
      <w:pPr>
        <w:pStyle w:val="NormalWeb"/>
        <w:spacing w:before="240" w:beforeAutospacing="0" w:after="240" w:afterAutospacing="0" w:line="360" w:lineRule="auto"/>
        <w:rPr>
          <w:rFonts w:ascii="Arial" w:hAnsi="Arial" w:cs="Arial"/>
          <w:sz w:val="22"/>
          <w:szCs w:val="22"/>
        </w:rPr>
      </w:pPr>
    </w:p>
    <w:p w14:paraId="0F79695E" w14:textId="77777777" w:rsidR="00402077" w:rsidRPr="0016460E" w:rsidRDefault="00402077" w:rsidP="00CF01E1">
      <w:pPr>
        <w:pStyle w:val="NormalWeb"/>
        <w:spacing w:before="240" w:beforeAutospacing="0" w:after="240" w:afterAutospacing="0" w:line="360" w:lineRule="auto"/>
        <w:rPr>
          <w:rFonts w:ascii="Arial" w:hAnsi="Arial" w:cs="Arial"/>
          <w:sz w:val="22"/>
          <w:szCs w:val="22"/>
        </w:rPr>
      </w:pPr>
    </w:p>
    <w:p w14:paraId="45808AF2" w14:textId="77777777" w:rsidR="00E94173" w:rsidRPr="0016460E" w:rsidRDefault="00E94173" w:rsidP="00CF01E1">
      <w:pPr>
        <w:pStyle w:val="NormalWeb"/>
        <w:spacing w:before="240" w:beforeAutospacing="0" w:after="240" w:afterAutospacing="0" w:line="360" w:lineRule="auto"/>
        <w:rPr>
          <w:rFonts w:ascii="Arial" w:hAnsi="Arial" w:cs="Arial"/>
          <w:sz w:val="22"/>
          <w:szCs w:val="22"/>
        </w:rPr>
      </w:pPr>
    </w:p>
    <w:p w14:paraId="587286B4" w14:textId="77777777" w:rsidR="00402077" w:rsidRPr="0016460E" w:rsidRDefault="00402077" w:rsidP="00CF01E1">
      <w:pPr>
        <w:pStyle w:val="NormalWeb"/>
        <w:spacing w:before="240" w:beforeAutospacing="0" w:after="240" w:afterAutospacing="0" w:line="360" w:lineRule="auto"/>
        <w:rPr>
          <w:rFonts w:ascii="Arial" w:hAnsi="Arial" w:cs="Arial"/>
          <w:sz w:val="22"/>
          <w:szCs w:val="22"/>
        </w:rPr>
      </w:pPr>
    </w:p>
    <w:p w14:paraId="6D7584F3" w14:textId="7ED20BE2" w:rsidR="00621776" w:rsidRPr="00C62CD8" w:rsidRDefault="00621776" w:rsidP="00CF01E1">
      <w:pPr>
        <w:pStyle w:val="Heading2"/>
        <w:numPr>
          <w:ilvl w:val="1"/>
          <w:numId w:val="153"/>
        </w:numPr>
        <w:spacing w:before="240" w:after="160"/>
        <w:jc w:val="left"/>
        <w:rPr>
          <w:rFonts w:ascii="Arial" w:hAnsi="Arial" w:cs="Arial"/>
          <w:b/>
          <w:bCs/>
          <w:color w:val="auto"/>
          <w:sz w:val="28"/>
          <w:szCs w:val="28"/>
        </w:rPr>
      </w:pPr>
      <w:bookmarkStart w:id="74" w:name="_Toc222989933"/>
      <w:bookmarkStart w:id="75" w:name="_Toc222997219"/>
      <w:r w:rsidRPr="00C62CD8">
        <w:rPr>
          <w:rFonts w:ascii="Arial" w:hAnsi="Arial" w:cs="Arial"/>
          <w:b/>
          <w:bCs/>
          <w:color w:val="auto"/>
          <w:sz w:val="28"/>
          <w:szCs w:val="28"/>
        </w:rPr>
        <w:lastRenderedPageBreak/>
        <w:t>Appendices</w:t>
      </w:r>
      <w:bookmarkEnd w:id="74"/>
      <w:bookmarkEnd w:id="75"/>
      <w:r w:rsidRPr="00C62CD8">
        <w:rPr>
          <w:rFonts w:ascii="Arial" w:hAnsi="Arial" w:cs="Arial"/>
          <w:b/>
          <w:bCs/>
          <w:color w:val="auto"/>
          <w:sz w:val="28"/>
          <w:szCs w:val="28"/>
        </w:rPr>
        <w:t xml:space="preserve"> </w:t>
      </w:r>
    </w:p>
    <w:p w14:paraId="20EBB50A" w14:textId="7AD78899" w:rsidR="00D13CCA" w:rsidRPr="0016460E" w:rsidRDefault="00D13CCA" w:rsidP="00CF01E1">
      <w:pPr>
        <w:jc w:val="left"/>
        <w:rPr>
          <w:rFonts w:ascii="Arial" w:hAnsi="Arial" w:cs="Arial"/>
          <w:b/>
          <w:bCs/>
        </w:rPr>
      </w:pPr>
      <w:r w:rsidRPr="0016460E">
        <w:rPr>
          <w:rFonts w:ascii="Arial" w:hAnsi="Arial" w:cs="Arial"/>
          <w:b/>
          <w:bCs/>
        </w:rPr>
        <w:t>Search Strategy Table</w:t>
      </w:r>
    </w:p>
    <w:tbl>
      <w:tblPr>
        <w:tblStyle w:val="PlainTable4"/>
        <w:tblW w:w="10710" w:type="dxa"/>
        <w:tblInd w:w="-630" w:type="dxa"/>
        <w:tblLook w:val="04A0" w:firstRow="1" w:lastRow="0" w:firstColumn="1" w:lastColumn="0" w:noHBand="0" w:noVBand="1"/>
      </w:tblPr>
      <w:tblGrid>
        <w:gridCol w:w="2539"/>
        <w:gridCol w:w="1703"/>
        <w:gridCol w:w="3290"/>
        <w:gridCol w:w="3178"/>
      </w:tblGrid>
      <w:tr w:rsidR="00E8758D" w:rsidRPr="0016460E" w14:paraId="4375BB30" w14:textId="77777777" w:rsidTr="005F03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9" w:type="dxa"/>
            <w:hideMark/>
          </w:tcPr>
          <w:p w14:paraId="640CDCD3" w14:textId="77777777" w:rsidR="00892564" w:rsidRPr="0016460E" w:rsidRDefault="00892564" w:rsidP="00CF01E1">
            <w:pPr>
              <w:spacing w:after="160"/>
              <w:jc w:val="left"/>
              <w:rPr>
                <w:rFonts w:ascii="Arial" w:hAnsi="Arial" w:cs="Arial"/>
              </w:rPr>
            </w:pPr>
            <w:r w:rsidRPr="0016460E">
              <w:rPr>
                <w:rFonts w:ascii="Arial" w:hAnsi="Arial" w:cs="Arial"/>
              </w:rPr>
              <w:t>Database</w:t>
            </w:r>
          </w:p>
        </w:tc>
        <w:tc>
          <w:tcPr>
            <w:tcW w:w="1741" w:type="dxa"/>
            <w:hideMark/>
          </w:tcPr>
          <w:p w14:paraId="5C8067DD" w14:textId="77777777" w:rsidR="00892564" w:rsidRPr="0016460E" w:rsidRDefault="00892564" w:rsidP="00CF01E1">
            <w:pPr>
              <w:spacing w:after="160"/>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Date of Search</w:t>
            </w:r>
          </w:p>
        </w:tc>
        <w:tc>
          <w:tcPr>
            <w:tcW w:w="3383" w:type="dxa"/>
            <w:hideMark/>
          </w:tcPr>
          <w:p w14:paraId="451D61A0" w14:textId="77777777" w:rsidR="00892564" w:rsidRPr="0016460E" w:rsidRDefault="00892564" w:rsidP="00CF01E1">
            <w:pPr>
              <w:spacing w:after="160"/>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Search Terms &amp; Boolean Operators</w:t>
            </w:r>
          </w:p>
        </w:tc>
        <w:tc>
          <w:tcPr>
            <w:tcW w:w="3277" w:type="dxa"/>
            <w:hideMark/>
          </w:tcPr>
          <w:p w14:paraId="133716E3" w14:textId="77777777" w:rsidR="00892564" w:rsidRPr="0016460E" w:rsidRDefault="00892564" w:rsidP="00CF01E1">
            <w:pPr>
              <w:spacing w:after="160"/>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Filters Applied</w:t>
            </w:r>
          </w:p>
        </w:tc>
      </w:tr>
      <w:tr w:rsidR="00E8758D" w:rsidRPr="0016460E" w14:paraId="69B6AC91" w14:textId="77777777" w:rsidTr="005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9" w:type="dxa"/>
            <w:hideMark/>
          </w:tcPr>
          <w:p w14:paraId="169AE72C" w14:textId="77777777" w:rsidR="00892564" w:rsidRPr="0016460E" w:rsidRDefault="00892564" w:rsidP="00CF01E1">
            <w:pPr>
              <w:spacing w:after="160"/>
              <w:jc w:val="left"/>
              <w:rPr>
                <w:rFonts w:ascii="Arial" w:hAnsi="Arial" w:cs="Arial"/>
                <w:b w:val="0"/>
                <w:bCs w:val="0"/>
              </w:rPr>
            </w:pPr>
            <w:r w:rsidRPr="0016460E">
              <w:rPr>
                <w:rFonts w:ascii="Arial" w:hAnsi="Arial" w:cs="Arial"/>
                <w:b w:val="0"/>
                <w:bCs w:val="0"/>
              </w:rPr>
              <w:t>PubMed</w:t>
            </w:r>
          </w:p>
        </w:tc>
        <w:tc>
          <w:tcPr>
            <w:tcW w:w="1741" w:type="dxa"/>
            <w:hideMark/>
          </w:tcPr>
          <w:p w14:paraId="4FA34871"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January 2026</w:t>
            </w:r>
          </w:p>
        </w:tc>
        <w:tc>
          <w:tcPr>
            <w:tcW w:w="3383" w:type="dxa"/>
            <w:hideMark/>
          </w:tcPr>
          <w:p w14:paraId="461EFF80"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("mobile mental health" OR "smartphone application" OR mHealth) AND (anxiety OR depression OR stress)</w:t>
            </w:r>
          </w:p>
        </w:tc>
        <w:tc>
          <w:tcPr>
            <w:tcW w:w="3277" w:type="dxa"/>
            <w:hideMark/>
          </w:tcPr>
          <w:p w14:paraId="2E3CB348"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Published within last 10 years; English language; Humans; Peer-reviewed</w:t>
            </w:r>
          </w:p>
        </w:tc>
      </w:tr>
      <w:tr w:rsidR="00E8758D" w:rsidRPr="0016460E" w14:paraId="49C1041D" w14:textId="77777777" w:rsidTr="005F0345">
        <w:tc>
          <w:tcPr>
            <w:cnfStyle w:val="001000000000" w:firstRow="0" w:lastRow="0" w:firstColumn="1" w:lastColumn="0" w:oddVBand="0" w:evenVBand="0" w:oddHBand="0" w:evenHBand="0" w:firstRowFirstColumn="0" w:firstRowLastColumn="0" w:lastRowFirstColumn="0" w:lastRowLastColumn="0"/>
            <w:tcW w:w="2309" w:type="dxa"/>
            <w:hideMark/>
          </w:tcPr>
          <w:p w14:paraId="20072798" w14:textId="77777777" w:rsidR="00892564" w:rsidRPr="0016460E" w:rsidRDefault="00892564" w:rsidP="00CF01E1">
            <w:pPr>
              <w:spacing w:after="160"/>
              <w:jc w:val="left"/>
              <w:rPr>
                <w:rFonts w:ascii="Arial" w:hAnsi="Arial" w:cs="Arial"/>
                <w:b w:val="0"/>
                <w:bCs w:val="0"/>
              </w:rPr>
            </w:pPr>
            <w:r w:rsidRPr="0016460E">
              <w:rPr>
                <w:rFonts w:ascii="Arial" w:hAnsi="Arial" w:cs="Arial"/>
                <w:b w:val="0"/>
                <w:bCs w:val="0"/>
              </w:rPr>
              <w:t>ScienceDirect</w:t>
            </w:r>
          </w:p>
        </w:tc>
        <w:tc>
          <w:tcPr>
            <w:tcW w:w="1741" w:type="dxa"/>
            <w:hideMark/>
          </w:tcPr>
          <w:p w14:paraId="4D86C1CB" w14:textId="77777777" w:rsidR="00892564" w:rsidRPr="0016460E" w:rsidRDefault="00892564" w:rsidP="00CF01E1">
            <w:pPr>
              <w:spacing w:after="160"/>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January 2026</w:t>
            </w:r>
          </w:p>
        </w:tc>
        <w:tc>
          <w:tcPr>
            <w:tcW w:w="3383" w:type="dxa"/>
            <w:hideMark/>
          </w:tcPr>
          <w:p w14:paraId="45C55ED7" w14:textId="77777777" w:rsidR="00892564" w:rsidRPr="0016460E" w:rsidRDefault="00892564" w:rsidP="00CF01E1">
            <w:pPr>
              <w:spacing w:after="160"/>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("digital mental health" AND app*) AND (engagement OR retention OR accessibility)</w:t>
            </w:r>
          </w:p>
        </w:tc>
        <w:tc>
          <w:tcPr>
            <w:tcW w:w="3277" w:type="dxa"/>
            <w:hideMark/>
          </w:tcPr>
          <w:p w14:paraId="3FD42CA1" w14:textId="77777777" w:rsidR="00892564" w:rsidRPr="0016460E" w:rsidRDefault="00892564" w:rsidP="00CF01E1">
            <w:pPr>
              <w:spacing w:after="160"/>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Research articles; Health and Psychology subject areas; English</w:t>
            </w:r>
          </w:p>
        </w:tc>
      </w:tr>
      <w:tr w:rsidR="00E8758D" w:rsidRPr="0016460E" w14:paraId="247DC78F" w14:textId="77777777" w:rsidTr="005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9" w:type="dxa"/>
            <w:hideMark/>
          </w:tcPr>
          <w:p w14:paraId="0CC7AE65" w14:textId="77777777" w:rsidR="00892564" w:rsidRPr="0016460E" w:rsidRDefault="00892564" w:rsidP="00CF01E1">
            <w:pPr>
              <w:spacing w:after="160"/>
              <w:jc w:val="left"/>
              <w:rPr>
                <w:rFonts w:ascii="Arial" w:hAnsi="Arial" w:cs="Arial"/>
                <w:b w:val="0"/>
                <w:bCs w:val="0"/>
              </w:rPr>
            </w:pPr>
            <w:r w:rsidRPr="0016460E">
              <w:rPr>
                <w:rFonts w:ascii="Arial" w:hAnsi="Arial" w:cs="Arial"/>
                <w:b w:val="0"/>
                <w:bCs w:val="0"/>
              </w:rPr>
              <w:t>Google Scholar</w:t>
            </w:r>
          </w:p>
        </w:tc>
        <w:tc>
          <w:tcPr>
            <w:tcW w:w="1741" w:type="dxa"/>
            <w:hideMark/>
          </w:tcPr>
          <w:p w14:paraId="637A14B5"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January 2026</w:t>
            </w:r>
          </w:p>
        </w:tc>
        <w:tc>
          <w:tcPr>
            <w:tcW w:w="3383" w:type="dxa"/>
            <w:hideMark/>
          </w:tcPr>
          <w:p w14:paraId="5D79508C"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("mental health app*" AND anxiety AND depression) OR ("CBT app*" AND effectiveness)</w:t>
            </w:r>
          </w:p>
        </w:tc>
        <w:tc>
          <w:tcPr>
            <w:tcW w:w="3277" w:type="dxa"/>
            <w:hideMark/>
          </w:tcPr>
          <w:p w14:paraId="1214012D"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Published within last 10 years; English; Relevance sorting</w:t>
            </w:r>
          </w:p>
        </w:tc>
      </w:tr>
      <w:tr w:rsidR="00E8758D" w:rsidRPr="0016460E" w14:paraId="41620892" w14:textId="77777777" w:rsidTr="005F0345">
        <w:tc>
          <w:tcPr>
            <w:cnfStyle w:val="001000000000" w:firstRow="0" w:lastRow="0" w:firstColumn="1" w:lastColumn="0" w:oddVBand="0" w:evenVBand="0" w:oddHBand="0" w:evenHBand="0" w:firstRowFirstColumn="0" w:firstRowLastColumn="0" w:lastRowFirstColumn="0" w:lastRowLastColumn="0"/>
            <w:tcW w:w="2309" w:type="dxa"/>
            <w:hideMark/>
          </w:tcPr>
          <w:p w14:paraId="085D72DF" w14:textId="77777777" w:rsidR="00892564" w:rsidRPr="0016460E" w:rsidRDefault="00892564" w:rsidP="00CF01E1">
            <w:pPr>
              <w:spacing w:after="160"/>
              <w:jc w:val="left"/>
              <w:rPr>
                <w:rFonts w:ascii="Arial" w:hAnsi="Arial" w:cs="Arial"/>
                <w:b w:val="0"/>
                <w:bCs w:val="0"/>
              </w:rPr>
            </w:pPr>
            <w:r w:rsidRPr="0016460E">
              <w:rPr>
                <w:rFonts w:ascii="Arial" w:hAnsi="Arial" w:cs="Arial"/>
                <w:b w:val="0"/>
                <w:bCs w:val="0"/>
              </w:rPr>
              <w:t>UWTSD Library Databases (EBSCOhost/ProQuest)</w:t>
            </w:r>
          </w:p>
        </w:tc>
        <w:tc>
          <w:tcPr>
            <w:tcW w:w="1741" w:type="dxa"/>
            <w:hideMark/>
          </w:tcPr>
          <w:p w14:paraId="040C9827" w14:textId="77777777" w:rsidR="00892564" w:rsidRPr="0016460E" w:rsidRDefault="00892564" w:rsidP="00CF01E1">
            <w:pPr>
              <w:spacing w:after="160"/>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January 2026</w:t>
            </w:r>
          </w:p>
        </w:tc>
        <w:tc>
          <w:tcPr>
            <w:tcW w:w="3383" w:type="dxa"/>
            <w:hideMark/>
          </w:tcPr>
          <w:p w14:paraId="7235BA0D" w14:textId="77777777" w:rsidR="00892564" w:rsidRPr="0016460E" w:rsidRDefault="00892564" w:rsidP="00CF01E1">
            <w:pPr>
              <w:spacing w:after="160"/>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("mobile CBT" OR "digital psychological intervention") AND (user engagement OR clinical effectiveness)</w:t>
            </w:r>
          </w:p>
        </w:tc>
        <w:tc>
          <w:tcPr>
            <w:tcW w:w="3277" w:type="dxa"/>
            <w:hideMark/>
          </w:tcPr>
          <w:p w14:paraId="122F732C" w14:textId="77777777" w:rsidR="00892564" w:rsidRPr="0016460E" w:rsidRDefault="00892564" w:rsidP="00CF01E1">
            <w:pPr>
              <w:spacing w:after="160"/>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Peer-reviewed; Full-text available; English</w:t>
            </w:r>
          </w:p>
        </w:tc>
      </w:tr>
      <w:tr w:rsidR="00E8758D" w:rsidRPr="0016460E" w14:paraId="182F3499" w14:textId="77777777" w:rsidTr="005F03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9" w:type="dxa"/>
            <w:hideMark/>
          </w:tcPr>
          <w:p w14:paraId="68EF9B9C" w14:textId="77777777" w:rsidR="00892564" w:rsidRPr="0016460E" w:rsidRDefault="00892564" w:rsidP="00CF01E1">
            <w:pPr>
              <w:spacing w:after="160"/>
              <w:jc w:val="left"/>
              <w:rPr>
                <w:rFonts w:ascii="Arial" w:hAnsi="Arial" w:cs="Arial"/>
                <w:b w:val="0"/>
                <w:bCs w:val="0"/>
              </w:rPr>
            </w:pPr>
            <w:r w:rsidRPr="0016460E">
              <w:rPr>
                <w:rFonts w:ascii="Arial" w:hAnsi="Arial" w:cs="Arial"/>
                <w:b w:val="0"/>
                <w:bCs w:val="0"/>
              </w:rPr>
              <w:t>PubMed (Ethics &amp; Governance Focus)</w:t>
            </w:r>
          </w:p>
        </w:tc>
        <w:tc>
          <w:tcPr>
            <w:tcW w:w="1741" w:type="dxa"/>
            <w:hideMark/>
          </w:tcPr>
          <w:p w14:paraId="4B318FF4"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January 2026</w:t>
            </w:r>
          </w:p>
        </w:tc>
        <w:tc>
          <w:tcPr>
            <w:tcW w:w="3383" w:type="dxa"/>
            <w:hideMark/>
          </w:tcPr>
          <w:p w14:paraId="476C6D24"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("mental health apps" AND privacy) OR ("digital health" AND regulation AND mental health)</w:t>
            </w:r>
          </w:p>
        </w:tc>
        <w:tc>
          <w:tcPr>
            <w:tcW w:w="3277" w:type="dxa"/>
            <w:hideMark/>
          </w:tcPr>
          <w:p w14:paraId="25A3CE54" w14:textId="77777777" w:rsidR="00892564" w:rsidRPr="0016460E" w:rsidRDefault="00892564" w:rsidP="00CF01E1">
            <w:pPr>
              <w:spacing w:after="160"/>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Published within last 10 years; English; Peer-reviewed</w:t>
            </w:r>
          </w:p>
        </w:tc>
      </w:tr>
    </w:tbl>
    <w:p w14:paraId="5BB0FCDE" w14:textId="17EA6243" w:rsidR="00172E06" w:rsidRPr="0016460E" w:rsidRDefault="009336BE" w:rsidP="00BF7401">
      <w:pPr>
        <w:pStyle w:val="Caption"/>
        <w:spacing w:before="240" w:line="360" w:lineRule="auto"/>
        <w:jc w:val="center"/>
        <w:rPr>
          <w:rFonts w:ascii="Arial" w:hAnsi="Arial" w:cs="Arial"/>
          <w:b/>
          <w:bCs/>
          <w:i w:val="0"/>
          <w:iCs w:val="0"/>
          <w:color w:val="auto"/>
          <w:sz w:val="22"/>
          <w:szCs w:val="22"/>
        </w:rPr>
      </w:pPr>
      <w:bookmarkStart w:id="76" w:name="_Toc222997399"/>
      <w:r w:rsidRPr="0016460E">
        <w:rPr>
          <w:rFonts w:ascii="Arial" w:hAnsi="Arial" w:cs="Arial"/>
          <w:b/>
          <w:bCs/>
          <w:i w:val="0"/>
          <w:iCs w:val="0"/>
          <w:color w:val="auto"/>
          <w:sz w:val="22"/>
          <w:szCs w:val="22"/>
        </w:rPr>
        <w:t xml:space="preserve">Table </w:t>
      </w:r>
      <w:r w:rsidRPr="0016460E">
        <w:rPr>
          <w:rFonts w:ascii="Arial" w:hAnsi="Arial" w:cs="Arial"/>
          <w:b/>
          <w:bCs/>
          <w:i w:val="0"/>
          <w:iCs w:val="0"/>
          <w:color w:val="auto"/>
          <w:sz w:val="22"/>
          <w:szCs w:val="22"/>
        </w:rPr>
        <w:fldChar w:fldCharType="begin"/>
      </w:r>
      <w:r w:rsidRPr="0016460E">
        <w:rPr>
          <w:rFonts w:ascii="Arial" w:hAnsi="Arial" w:cs="Arial"/>
          <w:b/>
          <w:bCs/>
          <w:i w:val="0"/>
          <w:iCs w:val="0"/>
          <w:color w:val="auto"/>
          <w:sz w:val="22"/>
          <w:szCs w:val="22"/>
        </w:rPr>
        <w:instrText xml:space="preserve"> SEQ Table \* ARABIC </w:instrText>
      </w:r>
      <w:r w:rsidRPr="0016460E">
        <w:rPr>
          <w:rFonts w:ascii="Arial" w:hAnsi="Arial" w:cs="Arial"/>
          <w:b/>
          <w:bCs/>
          <w:i w:val="0"/>
          <w:iCs w:val="0"/>
          <w:color w:val="auto"/>
          <w:sz w:val="22"/>
          <w:szCs w:val="22"/>
        </w:rPr>
        <w:fldChar w:fldCharType="separate"/>
      </w:r>
      <w:r w:rsidR="00CF2215" w:rsidRPr="0016460E">
        <w:rPr>
          <w:rFonts w:ascii="Arial" w:hAnsi="Arial" w:cs="Arial"/>
          <w:b/>
          <w:bCs/>
          <w:i w:val="0"/>
          <w:iCs w:val="0"/>
          <w:noProof/>
          <w:color w:val="auto"/>
          <w:sz w:val="22"/>
          <w:szCs w:val="22"/>
        </w:rPr>
        <w:t>1</w:t>
      </w:r>
      <w:r w:rsidRPr="0016460E">
        <w:rPr>
          <w:rFonts w:ascii="Arial" w:hAnsi="Arial" w:cs="Arial"/>
          <w:b/>
          <w:bCs/>
          <w:i w:val="0"/>
          <w:iCs w:val="0"/>
          <w:color w:val="auto"/>
          <w:sz w:val="22"/>
          <w:szCs w:val="22"/>
        </w:rPr>
        <w:fldChar w:fldCharType="end"/>
      </w:r>
      <w:r w:rsidRPr="0016460E">
        <w:rPr>
          <w:rFonts w:ascii="Arial" w:hAnsi="Arial" w:cs="Arial"/>
          <w:b/>
          <w:bCs/>
          <w:i w:val="0"/>
          <w:iCs w:val="0"/>
          <w:color w:val="auto"/>
          <w:sz w:val="22"/>
          <w:szCs w:val="22"/>
        </w:rPr>
        <w:t xml:space="preserve"> Search Strategy Table</w:t>
      </w:r>
      <w:bookmarkEnd w:id="76"/>
    </w:p>
    <w:p w14:paraId="0B7B7B3B" w14:textId="56F6F8BB" w:rsidR="00D13CCA" w:rsidRPr="0016460E" w:rsidRDefault="009336BE" w:rsidP="00BF7401">
      <w:pPr>
        <w:pStyle w:val="Caption"/>
        <w:spacing w:before="240" w:line="360" w:lineRule="auto"/>
        <w:jc w:val="center"/>
        <w:rPr>
          <w:rFonts w:ascii="Arial" w:hAnsi="Arial" w:cs="Arial"/>
          <w:b/>
          <w:bCs/>
          <w:i w:val="0"/>
          <w:iCs w:val="0"/>
          <w:color w:val="auto"/>
          <w:sz w:val="22"/>
          <w:szCs w:val="22"/>
        </w:rPr>
      </w:pPr>
      <w:r w:rsidRPr="0016460E">
        <w:rPr>
          <w:rFonts w:ascii="Arial" w:hAnsi="Arial" w:cs="Arial"/>
          <w:b/>
          <w:bCs/>
          <w:i w:val="0"/>
          <w:iCs w:val="0"/>
          <w:color w:val="auto"/>
          <w:sz w:val="22"/>
          <w:szCs w:val="22"/>
        </w:rPr>
        <w:t>Source: A</w:t>
      </w:r>
      <w:r w:rsidR="00172E06" w:rsidRPr="0016460E">
        <w:rPr>
          <w:rFonts w:ascii="Arial" w:hAnsi="Arial" w:cs="Arial"/>
          <w:b/>
          <w:bCs/>
          <w:i w:val="0"/>
          <w:iCs w:val="0"/>
          <w:color w:val="auto"/>
          <w:sz w:val="22"/>
          <w:szCs w:val="22"/>
        </w:rPr>
        <w:t>u</w:t>
      </w:r>
      <w:r w:rsidRPr="0016460E">
        <w:rPr>
          <w:rFonts w:ascii="Arial" w:hAnsi="Arial" w:cs="Arial"/>
          <w:b/>
          <w:bCs/>
          <w:i w:val="0"/>
          <w:iCs w:val="0"/>
          <w:color w:val="auto"/>
          <w:sz w:val="22"/>
          <w:szCs w:val="22"/>
        </w:rPr>
        <w:t>thor</w:t>
      </w:r>
    </w:p>
    <w:p w14:paraId="052B4FE8" w14:textId="77777777" w:rsidR="00221110" w:rsidRPr="0016460E" w:rsidRDefault="00221110" w:rsidP="00CF01E1">
      <w:pPr>
        <w:jc w:val="left"/>
        <w:rPr>
          <w:rFonts w:ascii="Arial" w:hAnsi="Arial" w:cs="Arial"/>
        </w:rPr>
      </w:pPr>
    </w:p>
    <w:p w14:paraId="62B3CB60" w14:textId="77777777" w:rsidR="00F831DA" w:rsidRPr="0016460E" w:rsidRDefault="00F831DA" w:rsidP="00CF01E1">
      <w:pPr>
        <w:jc w:val="left"/>
        <w:rPr>
          <w:rFonts w:ascii="Arial" w:hAnsi="Arial" w:cs="Arial"/>
        </w:rPr>
      </w:pPr>
    </w:p>
    <w:p w14:paraId="360763CE" w14:textId="77777777" w:rsidR="00F831DA" w:rsidRPr="0016460E" w:rsidRDefault="00F831DA" w:rsidP="00CF01E1">
      <w:pPr>
        <w:jc w:val="left"/>
        <w:rPr>
          <w:rFonts w:ascii="Arial" w:hAnsi="Arial" w:cs="Arial"/>
        </w:rPr>
      </w:pPr>
    </w:p>
    <w:p w14:paraId="33DA95EB" w14:textId="77777777" w:rsidR="00F831DA" w:rsidRPr="0016460E" w:rsidRDefault="00F831DA" w:rsidP="00CF01E1">
      <w:pPr>
        <w:jc w:val="left"/>
        <w:rPr>
          <w:rFonts w:ascii="Arial" w:hAnsi="Arial" w:cs="Arial"/>
        </w:rPr>
      </w:pPr>
    </w:p>
    <w:p w14:paraId="7DDF633E" w14:textId="77777777" w:rsidR="00221110" w:rsidRPr="0016460E" w:rsidRDefault="00221110" w:rsidP="00CF01E1">
      <w:pPr>
        <w:jc w:val="left"/>
        <w:rPr>
          <w:rFonts w:ascii="Arial" w:hAnsi="Arial" w:cs="Arial"/>
        </w:rPr>
      </w:pPr>
    </w:p>
    <w:p w14:paraId="5157156B" w14:textId="4325EC6C" w:rsidR="002C3B13" w:rsidRPr="0016460E" w:rsidRDefault="002C3B13" w:rsidP="00CF01E1">
      <w:pPr>
        <w:jc w:val="left"/>
        <w:rPr>
          <w:rFonts w:ascii="Arial" w:hAnsi="Arial" w:cs="Arial"/>
          <w:b/>
          <w:bCs/>
        </w:rPr>
      </w:pPr>
      <w:r w:rsidRPr="0016460E">
        <w:rPr>
          <w:rFonts w:ascii="Arial" w:hAnsi="Arial" w:cs="Arial"/>
          <w:b/>
          <w:bCs/>
        </w:rPr>
        <w:t xml:space="preserve">Inclusion and </w:t>
      </w:r>
      <w:r w:rsidR="0008418B" w:rsidRPr="0016460E">
        <w:rPr>
          <w:rFonts w:ascii="Arial" w:hAnsi="Arial" w:cs="Arial"/>
          <w:b/>
          <w:bCs/>
        </w:rPr>
        <w:t>Exclusion</w:t>
      </w:r>
      <w:r w:rsidRPr="0016460E">
        <w:rPr>
          <w:rFonts w:ascii="Arial" w:hAnsi="Arial" w:cs="Arial"/>
          <w:b/>
          <w:bCs/>
        </w:rPr>
        <w:t xml:space="preserve"> Tab</w:t>
      </w:r>
      <w:r w:rsidR="00C848A9" w:rsidRPr="0016460E">
        <w:rPr>
          <w:rFonts w:ascii="Arial" w:hAnsi="Arial" w:cs="Arial"/>
          <w:b/>
          <w:bCs/>
        </w:rPr>
        <w:t>le</w:t>
      </w:r>
    </w:p>
    <w:tbl>
      <w:tblPr>
        <w:tblStyle w:val="PlainTable2"/>
        <w:tblW w:w="10620" w:type="dxa"/>
        <w:jc w:val="center"/>
        <w:tblLook w:val="04A0" w:firstRow="1" w:lastRow="0" w:firstColumn="1" w:lastColumn="0" w:noHBand="0" w:noVBand="1"/>
      </w:tblPr>
      <w:tblGrid>
        <w:gridCol w:w="2561"/>
        <w:gridCol w:w="4176"/>
        <w:gridCol w:w="3883"/>
      </w:tblGrid>
      <w:tr w:rsidR="00E8758D" w:rsidRPr="0016460E" w14:paraId="2878B151" w14:textId="77777777" w:rsidTr="004D0A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04C63434" w14:textId="77777777" w:rsidR="00FA700A" w:rsidRPr="0016460E" w:rsidRDefault="00FA700A" w:rsidP="00CF01E1">
            <w:pPr>
              <w:jc w:val="left"/>
              <w:rPr>
                <w:rFonts w:ascii="Arial" w:hAnsi="Arial" w:cs="Arial"/>
              </w:rPr>
            </w:pPr>
            <w:r w:rsidRPr="0016460E">
              <w:rPr>
                <w:rFonts w:ascii="Arial" w:hAnsi="Arial" w:cs="Arial"/>
              </w:rPr>
              <w:t>Criteria</w:t>
            </w:r>
          </w:p>
        </w:tc>
        <w:tc>
          <w:tcPr>
            <w:tcW w:w="0" w:type="auto"/>
            <w:hideMark/>
          </w:tcPr>
          <w:p w14:paraId="42CD5448" w14:textId="77777777" w:rsidR="00FA700A" w:rsidRPr="0016460E" w:rsidRDefault="00FA700A" w:rsidP="00CF01E1">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Inclusion</w:t>
            </w:r>
          </w:p>
        </w:tc>
        <w:tc>
          <w:tcPr>
            <w:tcW w:w="3883" w:type="dxa"/>
            <w:hideMark/>
          </w:tcPr>
          <w:p w14:paraId="5A271A22" w14:textId="77777777" w:rsidR="00FA700A" w:rsidRPr="0016460E" w:rsidRDefault="00FA700A" w:rsidP="00CF01E1">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Exclusion</w:t>
            </w:r>
          </w:p>
        </w:tc>
      </w:tr>
      <w:tr w:rsidR="00E8758D" w:rsidRPr="0016460E" w14:paraId="6CAA2F8C" w14:textId="77777777" w:rsidTr="004D0A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39374612" w14:textId="77777777" w:rsidR="00FA700A" w:rsidRPr="0016460E" w:rsidRDefault="00FA700A" w:rsidP="00CF01E1">
            <w:pPr>
              <w:jc w:val="left"/>
              <w:rPr>
                <w:rFonts w:ascii="Arial" w:hAnsi="Arial" w:cs="Arial"/>
              </w:rPr>
            </w:pPr>
            <w:r w:rsidRPr="0016460E">
              <w:rPr>
                <w:rFonts w:ascii="Arial" w:hAnsi="Arial" w:cs="Arial"/>
              </w:rPr>
              <w:t>Publication type</w:t>
            </w:r>
          </w:p>
        </w:tc>
        <w:tc>
          <w:tcPr>
            <w:tcW w:w="0" w:type="auto"/>
            <w:hideMark/>
          </w:tcPr>
          <w:p w14:paraId="1887EB9F" w14:textId="77777777" w:rsidR="00FA700A" w:rsidRPr="0016460E" w:rsidRDefault="00FA700A"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Peer-reviewed journal articles, systematic reviews, RCTs, service evaluations</w:t>
            </w:r>
          </w:p>
        </w:tc>
        <w:tc>
          <w:tcPr>
            <w:tcW w:w="3883" w:type="dxa"/>
            <w:hideMark/>
          </w:tcPr>
          <w:p w14:paraId="3166E663" w14:textId="77777777" w:rsidR="00FA700A" w:rsidRPr="0016460E" w:rsidRDefault="00FA700A"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Blogs, opinion pieces, non-academic sources</w:t>
            </w:r>
          </w:p>
        </w:tc>
      </w:tr>
      <w:tr w:rsidR="00E8758D" w:rsidRPr="0016460E" w14:paraId="28A5DDAA" w14:textId="77777777" w:rsidTr="004D0AA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57EF0332" w14:textId="77777777" w:rsidR="00FA700A" w:rsidRPr="0016460E" w:rsidRDefault="00FA700A" w:rsidP="00CF01E1">
            <w:pPr>
              <w:jc w:val="left"/>
              <w:rPr>
                <w:rFonts w:ascii="Arial" w:hAnsi="Arial" w:cs="Arial"/>
              </w:rPr>
            </w:pPr>
            <w:r w:rsidRPr="0016460E">
              <w:rPr>
                <w:rFonts w:ascii="Arial" w:hAnsi="Arial" w:cs="Arial"/>
              </w:rPr>
              <w:t>Date range</w:t>
            </w:r>
          </w:p>
        </w:tc>
        <w:tc>
          <w:tcPr>
            <w:tcW w:w="0" w:type="auto"/>
            <w:hideMark/>
          </w:tcPr>
          <w:p w14:paraId="075A8064" w14:textId="77777777" w:rsidR="00FA700A" w:rsidRPr="0016460E" w:rsidRDefault="00FA700A"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2015–2025 (recent studies)</w:t>
            </w:r>
          </w:p>
        </w:tc>
        <w:tc>
          <w:tcPr>
            <w:tcW w:w="3883" w:type="dxa"/>
            <w:hideMark/>
          </w:tcPr>
          <w:p w14:paraId="35FC2D08" w14:textId="77777777" w:rsidR="00FA700A" w:rsidRPr="0016460E" w:rsidRDefault="00FA700A"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Studies before 2015 (unless essential)</w:t>
            </w:r>
          </w:p>
        </w:tc>
      </w:tr>
      <w:tr w:rsidR="00E8758D" w:rsidRPr="0016460E" w14:paraId="02A980EF" w14:textId="77777777" w:rsidTr="004D0A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7E35831E" w14:textId="77777777" w:rsidR="00FA700A" w:rsidRPr="0016460E" w:rsidRDefault="00FA700A" w:rsidP="00CF01E1">
            <w:pPr>
              <w:jc w:val="left"/>
              <w:rPr>
                <w:rFonts w:ascii="Arial" w:hAnsi="Arial" w:cs="Arial"/>
              </w:rPr>
            </w:pPr>
            <w:r w:rsidRPr="0016460E">
              <w:rPr>
                <w:rFonts w:ascii="Arial" w:hAnsi="Arial" w:cs="Arial"/>
              </w:rPr>
              <w:t>Language</w:t>
            </w:r>
          </w:p>
        </w:tc>
        <w:tc>
          <w:tcPr>
            <w:tcW w:w="0" w:type="auto"/>
            <w:hideMark/>
          </w:tcPr>
          <w:p w14:paraId="65F41739" w14:textId="77777777" w:rsidR="00FA700A" w:rsidRPr="0016460E" w:rsidRDefault="00FA700A"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English</w:t>
            </w:r>
          </w:p>
        </w:tc>
        <w:tc>
          <w:tcPr>
            <w:tcW w:w="3883" w:type="dxa"/>
            <w:hideMark/>
          </w:tcPr>
          <w:p w14:paraId="602BD353" w14:textId="77777777" w:rsidR="00FA700A" w:rsidRPr="0016460E" w:rsidRDefault="00FA700A"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Non-English</w:t>
            </w:r>
          </w:p>
        </w:tc>
      </w:tr>
      <w:tr w:rsidR="00E8758D" w:rsidRPr="0016460E" w14:paraId="164147F9" w14:textId="77777777" w:rsidTr="004D0AA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3BC40EDE" w14:textId="77777777" w:rsidR="00FA700A" w:rsidRPr="0016460E" w:rsidRDefault="00FA700A" w:rsidP="00CF01E1">
            <w:pPr>
              <w:jc w:val="left"/>
              <w:rPr>
                <w:rFonts w:ascii="Arial" w:hAnsi="Arial" w:cs="Arial"/>
              </w:rPr>
            </w:pPr>
            <w:r w:rsidRPr="0016460E">
              <w:rPr>
                <w:rFonts w:ascii="Arial" w:hAnsi="Arial" w:cs="Arial"/>
              </w:rPr>
              <w:t>Focus</w:t>
            </w:r>
          </w:p>
        </w:tc>
        <w:tc>
          <w:tcPr>
            <w:tcW w:w="0" w:type="auto"/>
            <w:hideMark/>
          </w:tcPr>
          <w:p w14:paraId="6B7B1D69" w14:textId="77777777" w:rsidR="00FA700A" w:rsidRPr="0016460E" w:rsidRDefault="00FA700A"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Mobile mental health apps addressing anxiety, depression, stress</w:t>
            </w:r>
          </w:p>
        </w:tc>
        <w:tc>
          <w:tcPr>
            <w:tcW w:w="3883" w:type="dxa"/>
            <w:hideMark/>
          </w:tcPr>
          <w:p w14:paraId="6D242FEA" w14:textId="77777777" w:rsidR="00FA700A" w:rsidRPr="0016460E" w:rsidRDefault="00FA700A"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General digital health studies without mental health focus</w:t>
            </w:r>
          </w:p>
        </w:tc>
      </w:tr>
      <w:tr w:rsidR="00E8758D" w:rsidRPr="0016460E" w14:paraId="54C827D5" w14:textId="77777777" w:rsidTr="004D0A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6172CE1B" w14:textId="77777777" w:rsidR="00FA700A" w:rsidRPr="0016460E" w:rsidRDefault="00FA700A" w:rsidP="00CF01E1">
            <w:pPr>
              <w:jc w:val="left"/>
              <w:rPr>
                <w:rFonts w:ascii="Arial" w:hAnsi="Arial" w:cs="Arial"/>
              </w:rPr>
            </w:pPr>
            <w:r w:rsidRPr="0016460E">
              <w:rPr>
                <w:rFonts w:ascii="Arial" w:hAnsi="Arial" w:cs="Arial"/>
              </w:rPr>
              <w:t>Outcomes</w:t>
            </w:r>
          </w:p>
        </w:tc>
        <w:tc>
          <w:tcPr>
            <w:tcW w:w="0" w:type="auto"/>
            <w:hideMark/>
          </w:tcPr>
          <w:p w14:paraId="0C59D9EC" w14:textId="77777777" w:rsidR="00FA700A" w:rsidRPr="0016460E" w:rsidRDefault="00FA700A"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Studies measuring symptom change, engagement, accessibility, ethics</w:t>
            </w:r>
          </w:p>
        </w:tc>
        <w:tc>
          <w:tcPr>
            <w:tcW w:w="3883" w:type="dxa"/>
            <w:hideMark/>
          </w:tcPr>
          <w:p w14:paraId="6E09ECBA" w14:textId="77777777" w:rsidR="00FA700A" w:rsidRPr="0016460E" w:rsidRDefault="00FA700A"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Studies without measurable outcomes</w:t>
            </w:r>
          </w:p>
        </w:tc>
      </w:tr>
      <w:tr w:rsidR="00E8758D" w:rsidRPr="0016460E" w14:paraId="7A84C10C" w14:textId="77777777" w:rsidTr="004D0AA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1DAD0C2B" w14:textId="77777777" w:rsidR="00FA700A" w:rsidRPr="0016460E" w:rsidRDefault="00FA700A" w:rsidP="00CF01E1">
            <w:pPr>
              <w:jc w:val="left"/>
              <w:rPr>
                <w:rFonts w:ascii="Arial" w:hAnsi="Arial" w:cs="Arial"/>
              </w:rPr>
            </w:pPr>
            <w:r w:rsidRPr="0016460E">
              <w:rPr>
                <w:rFonts w:ascii="Arial" w:hAnsi="Arial" w:cs="Arial"/>
              </w:rPr>
              <w:t>Population</w:t>
            </w:r>
          </w:p>
        </w:tc>
        <w:tc>
          <w:tcPr>
            <w:tcW w:w="0" w:type="auto"/>
            <w:hideMark/>
          </w:tcPr>
          <w:p w14:paraId="12B895C8" w14:textId="77777777" w:rsidR="00FA700A" w:rsidRPr="0016460E" w:rsidRDefault="00FA700A"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Community users, young adults, professionals, underserved groups</w:t>
            </w:r>
          </w:p>
        </w:tc>
        <w:tc>
          <w:tcPr>
            <w:tcW w:w="3883" w:type="dxa"/>
            <w:hideMark/>
          </w:tcPr>
          <w:p w14:paraId="4E56CA0F" w14:textId="77777777" w:rsidR="00FA700A" w:rsidRPr="0016460E" w:rsidRDefault="00FA700A"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Inpatient-only or unrelated clinical populations</w:t>
            </w:r>
          </w:p>
        </w:tc>
      </w:tr>
    </w:tbl>
    <w:p w14:paraId="11D49B70" w14:textId="3C7FB727" w:rsidR="00722705" w:rsidRPr="0016460E" w:rsidRDefault="004C3CB9" w:rsidP="00BF7401">
      <w:pPr>
        <w:pStyle w:val="Caption"/>
        <w:spacing w:before="240" w:line="360" w:lineRule="auto"/>
        <w:jc w:val="center"/>
        <w:rPr>
          <w:rFonts w:ascii="Arial" w:hAnsi="Arial" w:cs="Arial"/>
          <w:b/>
          <w:bCs/>
          <w:i w:val="0"/>
          <w:iCs w:val="0"/>
          <w:color w:val="auto"/>
          <w:sz w:val="22"/>
          <w:szCs w:val="22"/>
        </w:rPr>
      </w:pPr>
      <w:bookmarkStart w:id="77" w:name="_Toc222997400"/>
      <w:r w:rsidRPr="0016460E">
        <w:rPr>
          <w:rFonts w:ascii="Arial" w:hAnsi="Arial" w:cs="Arial"/>
          <w:b/>
          <w:bCs/>
          <w:i w:val="0"/>
          <w:iCs w:val="0"/>
          <w:color w:val="auto"/>
          <w:sz w:val="22"/>
          <w:szCs w:val="22"/>
        </w:rPr>
        <w:t xml:space="preserve">Table </w:t>
      </w:r>
      <w:r w:rsidRPr="0016460E">
        <w:rPr>
          <w:rFonts w:ascii="Arial" w:hAnsi="Arial" w:cs="Arial"/>
          <w:b/>
          <w:bCs/>
          <w:i w:val="0"/>
          <w:iCs w:val="0"/>
          <w:color w:val="auto"/>
          <w:sz w:val="22"/>
          <w:szCs w:val="22"/>
        </w:rPr>
        <w:fldChar w:fldCharType="begin"/>
      </w:r>
      <w:r w:rsidRPr="0016460E">
        <w:rPr>
          <w:rFonts w:ascii="Arial" w:hAnsi="Arial" w:cs="Arial"/>
          <w:b/>
          <w:bCs/>
          <w:i w:val="0"/>
          <w:iCs w:val="0"/>
          <w:color w:val="auto"/>
          <w:sz w:val="22"/>
          <w:szCs w:val="22"/>
        </w:rPr>
        <w:instrText xml:space="preserve"> SEQ Table \* ARABIC </w:instrText>
      </w:r>
      <w:r w:rsidRPr="0016460E">
        <w:rPr>
          <w:rFonts w:ascii="Arial" w:hAnsi="Arial" w:cs="Arial"/>
          <w:b/>
          <w:bCs/>
          <w:i w:val="0"/>
          <w:iCs w:val="0"/>
          <w:color w:val="auto"/>
          <w:sz w:val="22"/>
          <w:szCs w:val="22"/>
        </w:rPr>
        <w:fldChar w:fldCharType="separate"/>
      </w:r>
      <w:r w:rsidR="00CF2215" w:rsidRPr="0016460E">
        <w:rPr>
          <w:rFonts w:ascii="Arial" w:hAnsi="Arial" w:cs="Arial"/>
          <w:b/>
          <w:bCs/>
          <w:i w:val="0"/>
          <w:iCs w:val="0"/>
          <w:noProof/>
          <w:color w:val="auto"/>
          <w:sz w:val="22"/>
          <w:szCs w:val="22"/>
        </w:rPr>
        <w:t>2</w:t>
      </w:r>
      <w:r w:rsidRPr="0016460E">
        <w:rPr>
          <w:rFonts w:ascii="Arial" w:hAnsi="Arial" w:cs="Arial"/>
          <w:b/>
          <w:bCs/>
          <w:i w:val="0"/>
          <w:iCs w:val="0"/>
          <w:color w:val="auto"/>
          <w:sz w:val="22"/>
          <w:szCs w:val="22"/>
        </w:rPr>
        <w:fldChar w:fldCharType="end"/>
      </w:r>
      <w:r w:rsidRPr="0016460E">
        <w:rPr>
          <w:rFonts w:ascii="Arial" w:hAnsi="Arial" w:cs="Arial"/>
          <w:b/>
          <w:bCs/>
          <w:i w:val="0"/>
          <w:iCs w:val="0"/>
          <w:color w:val="auto"/>
          <w:sz w:val="22"/>
          <w:szCs w:val="22"/>
        </w:rPr>
        <w:t xml:space="preserve"> Inclusion and Exclusion Table</w:t>
      </w:r>
      <w:bookmarkEnd w:id="77"/>
    </w:p>
    <w:p w14:paraId="47337773" w14:textId="37ECC880" w:rsidR="0008418B" w:rsidRPr="0016460E" w:rsidRDefault="002D687F" w:rsidP="00BF7401">
      <w:pPr>
        <w:pStyle w:val="Caption"/>
        <w:spacing w:before="240" w:line="360" w:lineRule="auto"/>
        <w:jc w:val="center"/>
        <w:rPr>
          <w:rFonts w:ascii="Arial" w:hAnsi="Arial" w:cs="Arial"/>
          <w:b/>
          <w:bCs/>
          <w:i w:val="0"/>
          <w:iCs w:val="0"/>
          <w:color w:val="auto"/>
          <w:sz w:val="22"/>
          <w:szCs w:val="22"/>
        </w:rPr>
      </w:pPr>
      <w:r w:rsidRPr="0016460E">
        <w:rPr>
          <w:rFonts w:ascii="Arial" w:hAnsi="Arial" w:cs="Arial"/>
          <w:b/>
          <w:bCs/>
          <w:i w:val="0"/>
          <w:iCs w:val="0"/>
          <w:color w:val="auto"/>
          <w:sz w:val="22"/>
          <w:szCs w:val="22"/>
        </w:rPr>
        <w:t>Source: Author</w:t>
      </w:r>
    </w:p>
    <w:p w14:paraId="18B842A9" w14:textId="77777777" w:rsidR="00470421" w:rsidRPr="0016460E" w:rsidRDefault="00470421" w:rsidP="00CF01E1">
      <w:pPr>
        <w:jc w:val="left"/>
        <w:rPr>
          <w:rFonts w:ascii="Arial" w:hAnsi="Arial" w:cs="Arial"/>
        </w:rPr>
      </w:pPr>
    </w:p>
    <w:p w14:paraId="4B2309E0" w14:textId="77777777" w:rsidR="00470421" w:rsidRPr="0016460E" w:rsidRDefault="00470421" w:rsidP="00CF01E1">
      <w:pPr>
        <w:jc w:val="left"/>
        <w:rPr>
          <w:rFonts w:ascii="Arial" w:hAnsi="Arial" w:cs="Arial"/>
        </w:rPr>
      </w:pPr>
    </w:p>
    <w:p w14:paraId="71AA8345" w14:textId="77777777" w:rsidR="00470421" w:rsidRPr="0016460E" w:rsidRDefault="00470421" w:rsidP="00CF01E1">
      <w:pPr>
        <w:jc w:val="left"/>
        <w:rPr>
          <w:rFonts w:ascii="Arial" w:hAnsi="Arial" w:cs="Arial"/>
        </w:rPr>
      </w:pPr>
    </w:p>
    <w:p w14:paraId="480DDF12" w14:textId="77777777" w:rsidR="00470421" w:rsidRPr="0016460E" w:rsidRDefault="00470421" w:rsidP="00CF01E1">
      <w:pPr>
        <w:jc w:val="left"/>
        <w:rPr>
          <w:rFonts w:ascii="Arial" w:hAnsi="Arial" w:cs="Arial"/>
        </w:rPr>
      </w:pPr>
    </w:p>
    <w:p w14:paraId="7246946E" w14:textId="77777777" w:rsidR="00470421" w:rsidRPr="0016460E" w:rsidRDefault="00470421" w:rsidP="00CF01E1">
      <w:pPr>
        <w:jc w:val="left"/>
        <w:rPr>
          <w:rFonts w:ascii="Arial" w:hAnsi="Arial" w:cs="Arial"/>
        </w:rPr>
      </w:pPr>
    </w:p>
    <w:p w14:paraId="636DEB7F" w14:textId="77777777" w:rsidR="00476B40" w:rsidRPr="0016460E" w:rsidRDefault="00476B40" w:rsidP="00CF01E1">
      <w:pPr>
        <w:jc w:val="left"/>
        <w:rPr>
          <w:rFonts w:ascii="Arial" w:hAnsi="Arial" w:cs="Arial"/>
        </w:rPr>
      </w:pPr>
    </w:p>
    <w:p w14:paraId="3FB71472" w14:textId="77777777" w:rsidR="00476B40" w:rsidRPr="0016460E" w:rsidRDefault="00476B40" w:rsidP="00CF01E1">
      <w:pPr>
        <w:jc w:val="left"/>
        <w:rPr>
          <w:rFonts w:ascii="Arial" w:hAnsi="Arial" w:cs="Arial"/>
        </w:rPr>
      </w:pPr>
    </w:p>
    <w:p w14:paraId="04E45FEA" w14:textId="77777777" w:rsidR="00476B40" w:rsidRPr="0016460E" w:rsidRDefault="00476B40" w:rsidP="00CF01E1">
      <w:pPr>
        <w:jc w:val="left"/>
        <w:rPr>
          <w:rFonts w:ascii="Arial" w:hAnsi="Arial" w:cs="Arial"/>
        </w:rPr>
      </w:pPr>
    </w:p>
    <w:p w14:paraId="675916D1" w14:textId="77777777" w:rsidR="00476B40" w:rsidRPr="0016460E" w:rsidRDefault="00476B40" w:rsidP="00CF01E1">
      <w:pPr>
        <w:jc w:val="left"/>
        <w:rPr>
          <w:rFonts w:ascii="Arial" w:hAnsi="Arial" w:cs="Arial"/>
        </w:rPr>
      </w:pPr>
    </w:p>
    <w:p w14:paraId="607CAB32" w14:textId="77777777" w:rsidR="00476B40" w:rsidRPr="0016460E" w:rsidRDefault="00476B40" w:rsidP="00CF01E1">
      <w:pPr>
        <w:jc w:val="left"/>
        <w:rPr>
          <w:rFonts w:ascii="Arial" w:hAnsi="Arial" w:cs="Arial"/>
        </w:rPr>
      </w:pPr>
    </w:p>
    <w:p w14:paraId="14DF8898" w14:textId="77777777" w:rsidR="00470421" w:rsidRPr="0016460E" w:rsidRDefault="00470421" w:rsidP="00CF01E1">
      <w:pPr>
        <w:jc w:val="left"/>
        <w:rPr>
          <w:rFonts w:ascii="Arial" w:hAnsi="Arial" w:cs="Arial"/>
        </w:rPr>
      </w:pPr>
    </w:p>
    <w:p w14:paraId="1D8F3E28" w14:textId="77777777" w:rsidR="00470421" w:rsidRPr="0016460E" w:rsidRDefault="00470421" w:rsidP="00CF01E1">
      <w:pPr>
        <w:jc w:val="left"/>
        <w:rPr>
          <w:rFonts w:ascii="Arial" w:hAnsi="Arial" w:cs="Arial"/>
        </w:rPr>
      </w:pPr>
    </w:p>
    <w:p w14:paraId="02CF6E81" w14:textId="77777777" w:rsidR="00234B2A" w:rsidRPr="0016460E" w:rsidRDefault="00234B2A" w:rsidP="00CF01E1">
      <w:pPr>
        <w:jc w:val="left"/>
        <w:rPr>
          <w:rFonts w:ascii="Arial" w:hAnsi="Arial" w:cs="Arial"/>
        </w:rPr>
      </w:pPr>
    </w:p>
    <w:p w14:paraId="1FB89B89" w14:textId="08339962" w:rsidR="00234B2A" w:rsidRPr="0016460E" w:rsidRDefault="00234B2A" w:rsidP="00CF01E1">
      <w:pPr>
        <w:jc w:val="left"/>
        <w:rPr>
          <w:rFonts w:ascii="Arial" w:hAnsi="Arial" w:cs="Arial"/>
        </w:rPr>
      </w:pPr>
      <w:r w:rsidRPr="0016460E">
        <w:rPr>
          <w:rFonts w:ascii="Arial" w:hAnsi="Arial" w:cs="Arial"/>
          <w:b/>
          <w:bCs/>
        </w:rPr>
        <w:t>Summary of Included Studies</w:t>
      </w:r>
    </w:p>
    <w:tbl>
      <w:tblPr>
        <w:tblStyle w:val="TableGrid"/>
        <w:tblW w:w="10530" w:type="dxa"/>
        <w:tblInd w:w="-545" w:type="dxa"/>
        <w:tblLook w:val="04A0" w:firstRow="1" w:lastRow="0" w:firstColumn="1" w:lastColumn="0" w:noHBand="0" w:noVBand="1"/>
      </w:tblPr>
      <w:tblGrid>
        <w:gridCol w:w="1293"/>
        <w:gridCol w:w="1429"/>
        <w:gridCol w:w="1292"/>
        <w:gridCol w:w="1464"/>
        <w:gridCol w:w="1708"/>
        <w:gridCol w:w="1819"/>
        <w:gridCol w:w="1525"/>
      </w:tblGrid>
      <w:tr w:rsidR="00E8758D" w:rsidRPr="0016460E" w14:paraId="2640FD40" w14:textId="77777777" w:rsidTr="00737F3E">
        <w:tc>
          <w:tcPr>
            <w:tcW w:w="1275" w:type="dxa"/>
            <w:hideMark/>
          </w:tcPr>
          <w:p w14:paraId="59925EBA" w14:textId="77777777" w:rsidR="00FC2CBF" w:rsidRPr="0016460E" w:rsidRDefault="00FC2CBF" w:rsidP="00CF01E1">
            <w:pPr>
              <w:spacing w:after="160"/>
              <w:jc w:val="left"/>
              <w:rPr>
                <w:rFonts w:ascii="Arial" w:hAnsi="Arial" w:cs="Arial"/>
                <w:b/>
                <w:bCs/>
              </w:rPr>
            </w:pPr>
            <w:r w:rsidRPr="0016460E">
              <w:rPr>
                <w:rFonts w:ascii="Arial" w:hAnsi="Arial" w:cs="Arial"/>
                <w:b/>
                <w:bCs/>
              </w:rPr>
              <w:t>Author(s) &amp; Year</w:t>
            </w:r>
          </w:p>
        </w:tc>
        <w:tc>
          <w:tcPr>
            <w:tcW w:w="1434" w:type="dxa"/>
            <w:hideMark/>
          </w:tcPr>
          <w:p w14:paraId="5F48F3B7" w14:textId="77777777" w:rsidR="00FC2CBF" w:rsidRPr="0016460E" w:rsidRDefault="00FC2CBF" w:rsidP="00CF01E1">
            <w:pPr>
              <w:spacing w:after="160"/>
              <w:jc w:val="left"/>
              <w:rPr>
                <w:rFonts w:ascii="Arial" w:hAnsi="Arial" w:cs="Arial"/>
                <w:b/>
                <w:bCs/>
              </w:rPr>
            </w:pPr>
            <w:r w:rsidRPr="0016460E">
              <w:rPr>
                <w:rFonts w:ascii="Arial" w:hAnsi="Arial" w:cs="Arial"/>
                <w:b/>
                <w:bCs/>
              </w:rPr>
              <w:t>Country</w:t>
            </w:r>
          </w:p>
        </w:tc>
        <w:tc>
          <w:tcPr>
            <w:tcW w:w="1278" w:type="dxa"/>
            <w:hideMark/>
          </w:tcPr>
          <w:p w14:paraId="0CBA8DC6" w14:textId="77777777" w:rsidR="00FC2CBF" w:rsidRPr="0016460E" w:rsidRDefault="00FC2CBF" w:rsidP="00CF01E1">
            <w:pPr>
              <w:spacing w:after="160"/>
              <w:jc w:val="left"/>
              <w:rPr>
                <w:rFonts w:ascii="Arial" w:hAnsi="Arial" w:cs="Arial"/>
                <w:b/>
                <w:bCs/>
              </w:rPr>
            </w:pPr>
            <w:r w:rsidRPr="0016460E">
              <w:rPr>
                <w:rFonts w:ascii="Arial" w:hAnsi="Arial" w:cs="Arial"/>
                <w:b/>
                <w:bCs/>
              </w:rPr>
              <w:t>Study Design</w:t>
            </w:r>
          </w:p>
        </w:tc>
        <w:tc>
          <w:tcPr>
            <w:tcW w:w="1434" w:type="dxa"/>
            <w:hideMark/>
          </w:tcPr>
          <w:p w14:paraId="6BDD93AF" w14:textId="77777777" w:rsidR="00FC2CBF" w:rsidRPr="0016460E" w:rsidRDefault="00FC2CBF" w:rsidP="00CF01E1">
            <w:pPr>
              <w:spacing w:after="160"/>
              <w:jc w:val="left"/>
              <w:rPr>
                <w:rFonts w:ascii="Arial" w:hAnsi="Arial" w:cs="Arial"/>
                <w:b/>
                <w:bCs/>
              </w:rPr>
            </w:pPr>
            <w:r w:rsidRPr="0016460E">
              <w:rPr>
                <w:rFonts w:ascii="Arial" w:hAnsi="Arial" w:cs="Arial"/>
                <w:b/>
                <w:bCs/>
              </w:rPr>
              <w:t>Population</w:t>
            </w:r>
          </w:p>
        </w:tc>
        <w:tc>
          <w:tcPr>
            <w:tcW w:w="1059" w:type="dxa"/>
            <w:hideMark/>
          </w:tcPr>
          <w:p w14:paraId="2E77879A" w14:textId="77777777" w:rsidR="00FC2CBF" w:rsidRPr="0016460E" w:rsidRDefault="00FC2CBF" w:rsidP="00CF01E1">
            <w:pPr>
              <w:spacing w:after="160"/>
              <w:jc w:val="left"/>
              <w:rPr>
                <w:rFonts w:ascii="Arial" w:hAnsi="Arial" w:cs="Arial"/>
                <w:b/>
                <w:bCs/>
              </w:rPr>
            </w:pPr>
            <w:r w:rsidRPr="0016460E">
              <w:rPr>
                <w:rFonts w:ascii="Arial" w:hAnsi="Arial" w:cs="Arial"/>
                <w:b/>
                <w:bCs/>
              </w:rPr>
              <w:t>Outcomes</w:t>
            </w:r>
          </w:p>
        </w:tc>
        <w:tc>
          <w:tcPr>
            <w:tcW w:w="2557" w:type="dxa"/>
            <w:hideMark/>
          </w:tcPr>
          <w:p w14:paraId="3A99EF7E" w14:textId="77777777" w:rsidR="00FC2CBF" w:rsidRPr="0016460E" w:rsidRDefault="00FC2CBF" w:rsidP="00CF01E1">
            <w:pPr>
              <w:spacing w:after="160"/>
              <w:jc w:val="left"/>
              <w:rPr>
                <w:rFonts w:ascii="Arial" w:hAnsi="Arial" w:cs="Arial"/>
                <w:b/>
                <w:bCs/>
              </w:rPr>
            </w:pPr>
            <w:r w:rsidRPr="0016460E">
              <w:rPr>
                <w:rFonts w:ascii="Arial" w:hAnsi="Arial" w:cs="Arial"/>
                <w:b/>
                <w:bCs/>
              </w:rPr>
              <w:t>Key Finding</w:t>
            </w:r>
          </w:p>
        </w:tc>
        <w:tc>
          <w:tcPr>
            <w:tcW w:w="1493" w:type="dxa"/>
            <w:hideMark/>
          </w:tcPr>
          <w:p w14:paraId="3E8598BA" w14:textId="77777777" w:rsidR="00FC2CBF" w:rsidRPr="0016460E" w:rsidRDefault="00FC2CBF" w:rsidP="00CF01E1">
            <w:pPr>
              <w:spacing w:after="160"/>
              <w:jc w:val="left"/>
              <w:rPr>
                <w:rFonts w:ascii="Arial" w:hAnsi="Arial" w:cs="Arial"/>
                <w:b/>
                <w:bCs/>
              </w:rPr>
            </w:pPr>
            <w:r w:rsidRPr="0016460E">
              <w:rPr>
                <w:rFonts w:ascii="Arial" w:hAnsi="Arial" w:cs="Arial"/>
                <w:b/>
                <w:bCs/>
              </w:rPr>
              <w:t>Theme Link</w:t>
            </w:r>
          </w:p>
        </w:tc>
      </w:tr>
      <w:tr w:rsidR="00E8758D" w:rsidRPr="0016460E" w14:paraId="766A0383" w14:textId="77777777" w:rsidTr="00737F3E">
        <w:tc>
          <w:tcPr>
            <w:tcW w:w="1275" w:type="dxa"/>
            <w:hideMark/>
          </w:tcPr>
          <w:p w14:paraId="26404663" w14:textId="77777777" w:rsidR="00FC2CBF" w:rsidRPr="0016460E" w:rsidRDefault="00FC2CBF" w:rsidP="00CF01E1">
            <w:pPr>
              <w:spacing w:after="160"/>
              <w:jc w:val="left"/>
              <w:rPr>
                <w:rFonts w:ascii="Arial" w:hAnsi="Arial" w:cs="Arial"/>
              </w:rPr>
            </w:pPr>
            <w:r w:rsidRPr="0016460E">
              <w:rPr>
                <w:rFonts w:ascii="Arial" w:hAnsi="Arial" w:cs="Arial"/>
              </w:rPr>
              <w:t>Bress et al. (2024)</w:t>
            </w:r>
          </w:p>
        </w:tc>
        <w:tc>
          <w:tcPr>
            <w:tcW w:w="1434" w:type="dxa"/>
            <w:hideMark/>
          </w:tcPr>
          <w:p w14:paraId="0AD8F80B" w14:textId="77777777" w:rsidR="00FC2CBF" w:rsidRPr="0016460E" w:rsidRDefault="00FC2CBF" w:rsidP="00CF01E1">
            <w:pPr>
              <w:spacing w:after="160"/>
              <w:jc w:val="left"/>
              <w:rPr>
                <w:rFonts w:ascii="Arial" w:hAnsi="Arial" w:cs="Arial"/>
              </w:rPr>
            </w:pPr>
            <w:r w:rsidRPr="0016460E">
              <w:rPr>
                <w:rFonts w:ascii="Arial" w:hAnsi="Arial" w:cs="Arial"/>
              </w:rPr>
              <w:t>USA</w:t>
            </w:r>
          </w:p>
        </w:tc>
        <w:tc>
          <w:tcPr>
            <w:tcW w:w="1278" w:type="dxa"/>
            <w:hideMark/>
          </w:tcPr>
          <w:p w14:paraId="40B07AB0" w14:textId="77777777" w:rsidR="00FC2CBF" w:rsidRPr="0016460E" w:rsidRDefault="00FC2CBF" w:rsidP="00CF01E1">
            <w:pPr>
              <w:spacing w:after="160"/>
              <w:jc w:val="left"/>
              <w:rPr>
                <w:rFonts w:ascii="Arial" w:hAnsi="Arial" w:cs="Arial"/>
              </w:rPr>
            </w:pPr>
            <w:r w:rsidRPr="0016460E">
              <w:rPr>
                <w:rFonts w:ascii="Arial" w:hAnsi="Arial" w:cs="Arial"/>
              </w:rPr>
              <w:t>RCT</w:t>
            </w:r>
          </w:p>
        </w:tc>
        <w:tc>
          <w:tcPr>
            <w:tcW w:w="1434" w:type="dxa"/>
            <w:hideMark/>
          </w:tcPr>
          <w:p w14:paraId="4D5F90B9" w14:textId="77777777" w:rsidR="00FC2CBF" w:rsidRPr="0016460E" w:rsidRDefault="00FC2CBF" w:rsidP="00CF01E1">
            <w:pPr>
              <w:spacing w:after="160"/>
              <w:jc w:val="left"/>
              <w:rPr>
                <w:rFonts w:ascii="Arial" w:hAnsi="Arial" w:cs="Arial"/>
              </w:rPr>
            </w:pPr>
            <w:r w:rsidRPr="0016460E">
              <w:rPr>
                <w:rFonts w:ascii="Arial" w:hAnsi="Arial" w:cs="Arial"/>
              </w:rPr>
              <w:t>Young adults with anxiety</w:t>
            </w:r>
          </w:p>
        </w:tc>
        <w:tc>
          <w:tcPr>
            <w:tcW w:w="1059" w:type="dxa"/>
            <w:hideMark/>
          </w:tcPr>
          <w:p w14:paraId="663FDA6D" w14:textId="77777777" w:rsidR="00FC2CBF" w:rsidRPr="0016460E" w:rsidRDefault="00FC2CBF" w:rsidP="00CF01E1">
            <w:pPr>
              <w:spacing w:after="160"/>
              <w:jc w:val="left"/>
              <w:rPr>
                <w:rFonts w:ascii="Arial" w:hAnsi="Arial" w:cs="Arial"/>
              </w:rPr>
            </w:pPr>
            <w:r w:rsidRPr="0016460E">
              <w:rPr>
                <w:rFonts w:ascii="Arial" w:hAnsi="Arial" w:cs="Arial"/>
              </w:rPr>
              <w:t>Anxiety symptoms</w:t>
            </w:r>
          </w:p>
        </w:tc>
        <w:tc>
          <w:tcPr>
            <w:tcW w:w="2557" w:type="dxa"/>
            <w:hideMark/>
          </w:tcPr>
          <w:p w14:paraId="3AAB83E8" w14:textId="77777777" w:rsidR="00FC2CBF" w:rsidRPr="0016460E" w:rsidRDefault="00FC2CBF" w:rsidP="00CF01E1">
            <w:pPr>
              <w:spacing w:after="160"/>
              <w:jc w:val="left"/>
              <w:rPr>
                <w:rFonts w:ascii="Arial" w:hAnsi="Arial" w:cs="Arial"/>
              </w:rPr>
            </w:pPr>
            <w:r w:rsidRPr="0016460E">
              <w:rPr>
                <w:rFonts w:ascii="Arial" w:hAnsi="Arial" w:cs="Arial"/>
              </w:rPr>
              <w:t>Moderate reductions in anxiety vs control (8 weeks).</w:t>
            </w:r>
          </w:p>
        </w:tc>
        <w:tc>
          <w:tcPr>
            <w:tcW w:w="1493" w:type="dxa"/>
            <w:hideMark/>
          </w:tcPr>
          <w:p w14:paraId="60F01BDE" w14:textId="77777777" w:rsidR="00FC2CBF" w:rsidRPr="0016460E" w:rsidRDefault="00FC2CBF" w:rsidP="00CF01E1">
            <w:pPr>
              <w:spacing w:after="160"/>
              <w:jc w:val="left"/>
              <w:rPr>
                <w:rFonts w:ascii="Arial" w:hAnsi="Arial" w:cs="Arial"/>
              </w:rPr>
            </w:pPr>
            <w:r w:rsidRPr="0016460E">
              <w:rPr>
                <w:rFonts w:ascii="Arial" w:hAnsi="Arial" w:cs="Arial"/>
              </w:rPr>
              <w:t>Theme 1 – Clinical effectiveness</w:t>
            </w:r>
          </w:p>
        </w:tc>
      </w:tr>
      <w:tr w:rsidR="00E8758D" w:rsidRPr="0016460E" w14:paraId="752F8099" w14:textId="77777777" w:rsidTr="00737F3E">
        <w:tc>
          <w:tcPr>
            <w:tcW w:w="1275" w:type="dxa"/>
            <w:hideMark/>
          </w:tcPr>
          <w:p w14:paraId="5C15C00F" w14:textId="77777777" w:rsidR="00FC2CBF" w:rsidRPr="0016460E" w:rsidRDefault="00FC2CBF" w:rsidP="00CF01E1">
            <w:pPr>
              <w:spacing w:after="160"/>
              <w:jc w:val="left"/>
              <w:rPr>
                <w:rFonts w:ascii="Arial" w:hAnsi="Arial" w:cs="Arial"/>
              </w:rPr>
            </w:pPr>
            <w:proofErr w:type="spellStart"/>
            <w:r w:rsidRPr="0016460E">
              <w:rPr>
                <w:rFonts w:ascii="Arial" w:hAnsi="Arial" w:cs="Arial"/>
              </w:rPr>
              <w:t>Shahsavar</w:t>
            </w:r>
            <w:proofErr w:type="spellEnd"/>
            <w:r w:rsidRPr="0016460E">
              <w:rPr>
                <w:rFonts w:ascii="Arial" w:hAnsi="Arial" w:cs="Arial"/>
              </w:rPr>
              <w:t xml:space="preserve"> &amp; Choudhury (2025)</w:t>
            </w:r>
          </w:p>
        </w:tc>
        <w:tc>
          <w:tcPr>
            <w:tcW w:w="1434" w:type="dxa"/>
            <w:hideMark/>
          </w:tcPr>
          <w:p w14:paraId="4975E8E0"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4B73A2A8" w14:textId="77777777" w:rsidR="00FC2CBF" w:rsidRPr="0016460E" w:rsidRDefault="00FC2CBF" w:rsidP="00CF01E1">
            <w:pPr>
              <w:spacing w:after="160"/>
              <w:jc w:val="left"/>
              <w:rPr>
                <w:rFonts w:ascii="Arial" w:hAnsi="Arial" w:cs="Arial"/>
              </w:rPr>
            </w:pPr>
            <w:r w:rsidRPr="0016460E">
              <w:rPr>
                <w:rFonts w:ascii="Arial" w:hAnsi="Arial" w:cs="Arial"/>
              </w:rPr>
              <w:t>Systematic review</w:t>
            </w:r>
          </w:p>
        </w:tc>
        <w:tc>
          <w:tcPr>
            <w:tcW w:w="1434" w:type="dxa"/>
            <w:hideMark/>
          </w:tcPr>
          <w:p w14:paraId="2E33D33C" w14:textId="77777777" w:rsidR="00FC2CBF" w:rsidRPr="0016460E" w:rsidRDefault="00FC2CBF" w:rsidP="00CF01E1">
            <w:pPr>
              <w:spacing w:after="160"/>
              <w:jc w:val="left"/>
              <w:rPr>
                <w:rFonts w:ascii="Arial" w:hAnsi="Arial" w:cs="Arial"/>
              </w:rPr>
            </w:pPr>
            <w:r w:rsidRPr="0016460E">
              <w:rPr>
                <w:rFonts w:ascii="Arial" w:hAnsi="Arial" w:cs="Arial"/>
              </w:rPr>
              <w:t>App users</w:t>
            </w:r>
          </w:p>
        </w:tc>
        <w:tc>
          <w:tcPr>
            <w:tcW w:w="1059" w:type="dxa"/>
            <w:hideMark/>
          </w:tcPr>
          <w:p w14:paraId="153B7439" w14:textId="77777777" w:rsidR="00FC2CBF" w:rsidRPr="0016460E" w:rsidRDefault="00FC2CBF" w:rsidP="00CF01E1">
            <w:pPr>
              <w:spacing w:after="160"/>
              <w:jc w:val="left"/>
              <w:rPr>
                <w:rFonts w:ascii="Arial" w:hAnsi="Arial" w:cs="Arial"/>
              </w:rPr>
            </w:pPr>
            <w:r w:rsidRPr="0016460E">
              <w:rPr>
                <w:rFonts w:ascii="Arial" w:hAnsi="Arial" w:cs="Arial"/>
              </w:rPr>
              <w:t>Anxiety, depression, stress</w:t>
            </w:r>
          </w:p>
        </w:tc>
        <w:tc>
          <w:tcPr>
            <w:tcW w:w="2557" w:type="dxa"/>
            <w:hideMark/>
          </w:tcPr>
          <w:p w14:paraId="24E676DD" w14:textId="77777777" w:rsidR="00FC2CBF" w:rsidRPr="0016460E" w:rsidRDefault="00FC2CBF" w:rsidP="00CF01E1">
            <w:pPr>
              <w:spacing w:after="160"/>
              <w:jc w:val="left"/>
              <w:rPr>
                <w:rFonts w:ascii="Arial" w:hAnsi="Arial" w:cs="Arial"/>
              </w:rPr>
            </w:pPr>
            <w:r w:rsidRPr="0016460E">
              <w:rPr>
                <w:rFonts w:ascii="Arial" w:hAnsi="Arial" w:cs="Arial"/>
              </w:rPr>
              <w:t>Small–moderate symptom reductions; limited long-term data.</w:t>
            </w:r>
          </w:p>
        </w:tc>
        <w:tc>
          <w:tcPr>
            <w:tcW w:w="1493" w:type="dxa"/>
            <w:hideMark/>
          </w:tcPr>
          <w:p w14:paraId="386AD30E" w14:textId="77777777" w:rsidR="00FC2CBF" w:rsidRPr="0016460E" w:rsidRDefault="00FC2CBF" w:rsidP="00CF01E1">
            <w:pPr>
              <w:spacing w:after="160"/>
              <w:jc w:val="left"/>
              <w:rPr>
                <w:rFonts w:ascii="Arial" w:hAnsi="Arial" w:cs="Arial"/>
              </w:rPr>
            </w:pPr>
            <w:r w:rsidRPr="0016460E">
              <w:rPr>
                <w:rFonts w:ascii="Arial" w:hAnsi="Arial" w:cs="Arial"/>
              </w:rPr>
              <w:t>Theme 1 – Effectiveness</w:t>
            </w:r>
          </w:p>
        </w:tc>
      </w:tr>
      <w:tr w:rsidR="00E8758D" w:rsidRPr="0016460E" w14:paraId="59E47303" w14:textId="77777777" w:rsidTr="00737F3E">
        <w:tc>
          <w:tcPr>
            <w:tcW w:w="1275" w:type="dxa"/>
            <w:hideMark/>
          </w:tcPr>
          <w:p w14:paraId="3A65567B" w14:textId="77777777" w:rsidR="00FC2CBF" w:rsidRPr="0016460E" w:rsidRDefault="00FC2CBF" w:rsidP="00CF01E1">
            <w:pPr>
              <w:spacing w:after="160"/>
              <w:jc w:val="left"/>
              <w:rPr>
                <w:rFonts w:ascii="Arial" w:hAnsi="Arial" w:cs="Arial"/>
              </w:rPr>
            </w:pPr>
            <w:proofErr w:type="spellStart"/>
            <w:r w:rsidRPr="0016460E">
              <w:rPr>
                <w:rFonts w:ascii="Arial" w:hAnsi="Arial" w:cs="Arial"/>
              </w:rPr>
              <w:t>Almuqrin</w:t>
            </w:r>
            <w:proofErr w:type="spellEnd"/>
            <w:r w:rsidRPr="0016460E">
              <w:rPr>
                <w:rFonts w:ascii="Arial" w:hAnsi="Arial" w:cs="Arial"/>
              </w:rPr>
              <w:t xml:space="preserve"> et al. (2025)</w:t>
            </w:r>
          </w:p>
        </w:tc>
        <w:tc>
          <w:tcPr>
            <w:tcW w:w="1434" w:type="dxa"/>
            <w:hideMark/>
          </w:tcPr>
          <w:p w14:paraId="5CB391E9"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6FF180B1" w14:textId="77777777" w:rsidR="00FC2CBF" w:rsidRPr="0016460E" w:rsidRDefault="00FC2CBF" w:rsidP="00CF01E1">
            <w:pPr>
              <w:spacing w:after="160"/>
              <w:jc w:val="left"/>
              <w:rPr>
                <w:rFonts w:ascii="Arial" w:hAnsi="Arial" w:cs="Arial"/>
              </w:rPr>
            </w:pPr>
            <w:r w:rsidRPr="0016460E">
              <w:rPr>
                <w:rFonts w:ascii="Arial" w:hAnsi="Arial" w:cs="Arial"/>
              </w:rPr>
              <w:t>Systematic review</w:t>
            </w:r>
          </w:p>
        </w:tc>
        <w:tc>
          <w:tcPr>
            <w:tcW w:w="1434" w:type="dxa"/>
            <w:hideMark/>
          </w:tcPr>
          <w:p w14:paraId="1EE2F978" w14:textId="77777777" w:rsidR="00FC2CBF" w:rsidRPr="0016460E" w:rsidRDefault="00FC2CBF" w:rsidP="00CF01E1">
            <w:pPr>
              <w:spacing w:after="160"/>
              <w:jc w:val="left"/>
              <w:rPr>
                <w:rFonts w:ascii="Arial" w:hAnsi="Arial" w:cs="Arial"/>
              </w:rPr>
            </w:pPr>
            <w:r w:rsidRPr="0016460E">
              <w:rPr>
                <w:rFonts w:ascii="Arial" w:hAnsi="Arial" w:cs="Arial"/>
              </w:rPr>
              <w:t>Users &amp; clinicians</w:t>
            </w:r>
          </w:p>
        </w:tc>
        <w:tc>
          <w:tcPr>
            <w:tcW w:w="1059" w:type="dxa"/>
            <w:hideMark/>
          </w:tcPr>
          <w:p w14:paraId="04892B1E" w14:textId="77777777" w:rsidR="00FC2CBF" w:rsidRPr="0016460E" w:rsidRDefault="00FC2CBF" w:rsidP="00CF01E1">
            <w:pPr>
              <w:spacing w:after="160"/>
              <w:jc w:val="left"/>
              <w:rPr>
                <w:rFonts w:ascii="Arial" w:hAnsi="Arial" w:cs="Arial"/>
              </w:rPr>
            </w:pPr>
            <w:r w:rsidRPr="0016460E">
              <w:rPr>
                <w:rFonts w:ascii="Arial" w:hAnsi="Arial" w:cs="Arial"/>
              </w:rPr>
              <w:t>Clinical outcomes, implementation</w:t>
            </w:r>
          </w:p>
        </w:tc>
        <w:tc>
          <w:tcPr>
            <w:tcW w:w="2557" w:type="dxa"/>
            <w:hideMark/>
          </w:tcPr>
          <w:p w14:paraId="1D47CC0F" w14:textId="77777777" w:rsidR="00FC2CBF" w:rsidRPr="0016460E" w:rsidRDefault="00FC2CBF" w:rsidP="00CF01E1">
            <w:pPr>
              <w:spacing w:after="160"/>
              <w:jc w:val="left"/>
              <w:rPr>
                <w:rFonts w:ascii="Arial" w:hAnsi="Arial" w:cs="Arial"/>
              </w:rPr>
            </w:pPr>
            <w:r w:rsidRPr="0016460E">
              <w:rPr>
                <w:rFonts w:ascii="Arial" w:hAnsi="Arial" w:cs="Arial"/>
              </w:rPr>
              <w:t>Limited robust evidence; need for clinical governance.</w:t>
            </w:r>
          </w:p>
        </w:tc>
        <w:tc>
          <w:tcPr>
            <w:tcW w:w="1493" w:type="dxa"/>
            <w:hideMark/>
          </w:tcPr>
          <w:p w14:paraId="666C0ABA" w14:textId="77777777" w:rsidR="00FC2CBF" w:rsidRPr="0016460E" w:rsidRDefault="00FC2CBF" w:rsidP="00CF01E1">
            <w:pPr>
              <w:spacing w:after="160"/>
              <w:jc w:val="left"/>
              <w:rPr>
                <w:rFonts w:ascii="Arial" w:hAnsi="Arial" w:cs="Arial"/>
              </w:rPr>
            </w:pPr>
            <w:r w:rsidRPr="0016460E">
              <w:rPr>
                <w:rFonts w:ascii="Arial" w:hAnsi="Arial" w:cs="Arial"/>
              </w:rPr>
              <w:t>Theme 3 – Regulation &amp; integration</w:t>
            </w:r>
          </w:p>
        </w:tc>
      </w:tr>
      <w:tr w:rsidR="00E8758D" w:rsidRPr="0016460E" w14:paraId="23397326" w14:textId="77777777" w:rsidTr="00737F3E">
        <w:trPr>
          <w:trHeight w:val="1475"/>
        </w:trPr>
        <w:tc>
          <w:tcPr>
            <w:tcW w:w="1275" w:type="dxa"/>
            <w:hideMark/>
          </w:tcPr>
          <w:p w14:paraId="2C1D1415" w14:textId="77777777" w:rsidR="00FC2CBF" w:rsidRPr="0016460E" w:rsidRDefault="00FC2CBF" w:rsidP="00CF01E1">
            <w:pPr>
              <w:spacing w:after="160"/>
              <w:jc w:val="left"/>
              <w:rPr>
                <w:rFonts w:ascii="Arial" w:hAnsi="Arial" w:cs="Arial"/>
              </w:rPr>
            </w:pPr>
            <w:r w:rsidRPr="0016460E">
              <w:rPr>
                <w:rFonts w:ascii="Arial" w:hAnsi="Arial" w:cs="Arial"/>
              </w:rPr>
              <w:t>Bear et al. (2024)</w:t>
            </w:r>
          </w:p>
        </w:tc>
        <w:tc>
          <w:tcPr>
            <w:tcW w:w="1434" w:type="dxa"/>
            <w:hideMark/>
          </w:tcPr>
          <w:p w14:paraId="729822DF"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517EBC86" w14:textId="77777777" w:rsidR="00FC2CBF" w:rsidRPr="0016460E" w:rsidRDefault="00FC2CBF" w:rsidP="00CF01E1">
            <w:pPr>
              <w:spacing w:after="160"/>
              <w:jc w:val="left"/>
              <w:rPr>
                <w:rFonts w:ascii="Arial" w:hAnsi="Arial" w:cs="Arial"/>
              </w:rPr>
            </w:pPr>
            <w:r w:rsidRPr="0016460E">
              <w:rPr>
                <w:rFonts w:ascii="Arial" w:hAnsi="Arial" w:cs="Arial"/>
              </w:rPr>
              <w:t>Systematic + qualitative</w:t>
            </w:r>
          </w:p>
        </w:tc>
        <w:tc>
          <w:tcPr>
            <w:tcW w:w="1434" w:type="dxa"/>
            <w:hideMark/>
          </w:tcPr>
          <w:p w14:paraId="06132FBC" w14:textId="77777777" w:rsidR="00FC2CBF" w:rsidRPr="0016460E" w:rsidRDefault="00FC2CBF" w:rsidP="00CF01E1">
            <w:pPr>
              <w:spacing w:after="160"/>
              <w:jc w:val="left"/>
              <w:rPr>
                <w:rFonts w:ascii="Arial" w:hAnsi="Arial" w:cs="Arial"/>
              </w:rPr>
            </w:pPr>
            <w:r w:rsidRPr="0016460E">
              <w:rPr>
                <w:rFonts w:ascii="Arial" w:hAnsi="Arial" w:cs="Arial"/>
              </w:rPr>
              <w:t>Marginalised youth</w:t>
            </w:r>
          </w:p>
        </w:tc>
        <w:tc>
          <w:tcPr>
            <w:tcW w:w="1059" w:type="dxa"/>
            <w:hideMark/>
          </w:tcPr>
          <w:p w14:paraId="291AE49D" w14:textId="77777777" w:rsidR="00FC2CBF" w:rsidRPr="0016460E" w:rsidRDefault="00FC2CBF" w:rsidP="00CF01E1">
            <w:pPr>
              <w:spacing w:after="160"/>
              <w:jc w:val="left"/>
              <w:rPr>
                <w:rFonts w:ascii="Arial" w:hAnsi="Arial" w:cs="Arial"/>
              </w:rPr>
            </w:pPr>
            <w:r w:rsidRPr="0016460E">
              <w:rPr>
                <w:rFonts w:ascii="Arial" w:hAnsi="Arial" w:cs="Arial"/>
              </w:rPr>
              <w:t>Engagement, acceptability</w:t>
            </w:r>
          </w:p>
        </w:tc>
        <w:tc>
          <w:tcPr>
            <w:tcW w:w="2557" w:type="dxa"/>
            <w:hideMark/>
          </w:tcPr>
          <w:p w14:paraId="07C1200C" w14:textId="77777777" w:rsidR="00FC2CBF" w:rsidRPr="0016460E" w:rsidRDefault="00FC2CBF" w:rsidP="00CF01E1">
            <w:pPr>
              <w:spacing w:after="160"/>
              <w:jc w:val="left"/>
              <w:rPr>
                <w:rFonts w:ascii="Arial" w:hAnsi="Arial" w:cs="Arial"/>
              </w:rPr>
            </w:pPr>
            <w:r w:rsidRPr="0016460E">
              <w:rPr>
                <w:rFonts w:ascii="Arial" w:hAnsi="Arial" w:cs="Arial"/>
              </w:rPr>
              <w:t>Barriers include privacy, access, cultural relevance.</w:t>
            </w:r>
          </w:p>
        </w:tc>
        <w:tc>
          <w:tcPr>
            <w:tcW w:w="1493" w:type="dxa"/>
            <w:hideMark/>
          </w:tcPr>
          <w:p w14:paraId="16F72B01" w14:textId="77777777" w:rsidR="00FC2CBF" w:rsidRPr="0016460E" w:rsidRDefault="00FC2CBF" w:rsidP="00CF01E1">
            <w:pPr>
              <w:spacing w:after="160"/>
              <w:jc w:val="left"/>
              <w:rPr>
                <w:rFonts w:ascii="Arial" w:hAnsi="Arial" w:cs="Arial"/>
              </w:rPr>
            </w:pPr>
            <w:r w:rsidRPr="0016460E">
              <w:rPr>
                <w:rFonts w:ascii="Arial" w:hAnsi="Arial" w:cs="Arial"/>
              </w:rPr>
              <w:t>Theme 2 – Accessibility &amp; engagement</w:t>
            </w:r>
          </w:p>
        </w:tc>
      </w:tr>
      <w:tr w:rsidR="00E8758D" w:rsidRPr="0016460E" w14:paraId="2BB635EA" w14:textId="77777777" w:rsidTr="00737F3E">
        <w:tc>
          <w:tcPr>
            <w:tcW w:w="1275" w:type="dxa"/>
            <w:hideMark/>
          </w:tcPr>
          <w:p w14:paraId="6E032B9B" w14:textId="77777777" w:rsidR="00FC2CBF" w:rsidRPr="0016460E" w:rsidRDefault="00FC2CBF" w:rsidP="00CF01E1">
            <w:pPr>
              <w:spacing w:after="160"/>
              <w:jc w:val="left"/>
              <w:rPr>
                <w:rFonts w:ascii="Arial" w:hAnsi="Arial" w:cs="Arial"/>
              </w:rPr>
            </w:pPr>
            <w:r w:rsidRPr="0016460E">
              <w:rPr>
                <w:rFonts w:ascii="Arial" w:hAnsi="Arial" w:cs="Arial"/>
              </w:rPr>
              <w:t xml:space="preserve">Boucher &amp; </w:t>
            </w:r>
            <w:proofErr w:type="spellStart"/>
            <w:r w:rsidRPr="0016460E">
              <w:rPr>
                <w:rFonts w:ascii="Arial" w:hAnsi="Arial" w:cs="Arial"/>
              </w:rPr>
              <w:t>Raiker</w:t>
            </w:r>
            <w:proofErr w:type="spellEnd"/>
            <w:r w:rsidRPr="0016460E">
              <w:rPr>
                <w:rFonts w:ascii="Arial" w:hAnsi="Arial" w:cs="Arial"/>
              </w:rPr>
              <w:t xml:space="preserve"> (2024)</w:t>
            </w:r>
          </w:p>
        </w:tc>
        <w:tc>
          <w:tcPr>
            <w:tcW w:w="1434" w:type="dxa"/>
            <w:hideMark/>
          </w:tcPr>
          <w:p w14:paraId="0AACB8FF"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1F41C077" w14:textId="77777777" w:rsidR="00FC2CBF" w:rsidRPr="0016460E" w:rsidRDefault="00FC2CBF" w:rsidP="00CF01E1">
            <w:pPr>
              <w:spacing w:after="160"/>
              <w:jc w:val="left"/>
              <w:rPr>
                <w:rFonts w:ascii="Arial" w:hAnsi="Arial" w:cs="Arial"/>
              </w:rPr>
            </w:pPr>
            <w:r w:rsidRPr="0016460E">
              <w:rPr>
                <w:rFonts w:ascii="Arial" w:hAnsi="Arial" w:cs="Arial"/>
              </w:rPr>
              <w:t>Narrative review</w:t>
            </w:r>
          </w:p>
        </w:tc>
        <w:tc>
          <w:tcPr>
            <w:tcW w:w="1434" w:type="dxa"/>
            <w:hideMark/>
          </w:tcPr>
          <w:p w14:paraId="3881670E" w14:textId="77777777" w:rsidR="00FC2CBF" w:rsidRPr="0016460E" w:rsidRDefault="00FC2CBF" w:rsidP="00CF01E1">
            <w:pPr>
              <w:spacing w:after="160"/>
              <w:jc w:val="left"/>
              <w:rPr>
                <w:rFonts w:ascii="Arial" w:hAnsi="Arial" w:cs="Arial"/>
              </w:rPr>
            </w:pPr>
            <w:r w:rsidRPr="0016460E">
              <w:rPr>
                <w:rFonts w:ascii="Arial" w:hAnsi="Arial" w:cs="Arial"/>
              </w:rPr>
              <w:t>Digital health users</w:t>
            </w:r>
          </w:p>
        </w:tc>
        <w:tc>
          <w:tcPr>
            <w:tcW w:w="1059" w:type="dxa"/>
            <w:hideMark/>
          </w:tcPr>
          <w:p w14:paraId="575B450C" w14:textId="77777777" w:rsidR="00FC2CBF" w:rsidRPr="0016460E" w:rsidRDefault="00FC2CBF" w:rsidP="00CF01E1">
            <w:pPr>
              <w:spacing w:after="160"/>
              <w:jc w:val="left"/>
              <w:rPr>
                <w:rFonts w:ascii="Arial" w:hAnsi="Arial" w:cs="Arial"/>
              </w:rPr>
            </w:pPr>
            <w:r w:rsidRPr="0016460E">
              <w:rPr>
                <w:rFonts w:ascii="Arial" w:hAnsi="Arial" w:cs="Arial"/>
              </w:rPr>
              <w:t>Retention, adherence</w:t>
            </w:r>
          </w:p>
        </w:tc>
        <w:tc>
          <w:tcPr>
            <w:tcW w:w="2557" w:type="dxa"/>
            <w:hideMark/>
          </w:tcPr>
          <w:p w14:paraId="6374C9B4" w14:textId="77777777" w:rsidR="00FC2CBF" w:rsidRPr="0016460E" w:rsidRDefault="00FC2CBF" w:rsidP="00CF01E1">
            <w:pPr>
              <w:spacing w:after="160"/>
              <w:jc w:val="left"/>
              <w:rPr>
                <w:rFonts w:ascii="Arial" w:hAnsi="Arial" w:cs="Arial"/>
              </w:rPr>
            </w:pPr>
            <w:r w:rsidRPr="0016460E">
              <w:rPr>
                <w:rFonts w:ascii="Arial" w:hAnsi="Arial" w:cs="Arial"/>
              </w:rPr>
              <w:t>High dropout and inconsistent engagement.</w:t>
            </w:r>
          </w:p>
        </w:tc>
        <w:tc>
          <w:tcPr>
            <w:tcW w:w="1493" w:type="dxa"/>
            <w:hideMark/>
          </w:tcPr>
          <w:p w14:paraId="126AF142" w14:textId="77777777" w:rsidR="00FC2CBF" w:rsidRPr="0016460E" w:rsidRDefault="00FC2CBF" w:rsidP="00CF01E1">
            <w:pPr>
              <w:spacing w:after="160"/>
              <w:jc w:val="left"/>
              <w:rPr>
                <w:rFonts w:ascii="Arial" w:hAnsi="Arial" w:cs="Arial"/>
              </w:rPr>
            </w:pPr>
            <w:r w:rsidRPr="0016460E">
              <w:rPr>
                <w:rFonts w:ascii="Arial" w:hAnsi="Arial" w:cs="Arial"/>
              </w:rPr>
              <w:t>Theme 2 – Retention</w:t>
            </w:r>
          </w:p>
        </w:tc>
      </w:tr>
      <w:tr w:rsidR="00E8758D" w:rsidRPr="0016460E" w14:paraId="0927DFD9" w14:textId="77777777" w:rsidTr="00737F3E">
        <w:tc>
          <w:tcPr>
            <w:tcW w:w="1275" w:type="dxa"/>
            <w:hideMark/>
          </w:tcPr>
          <w:p w14:paraId="083F09AF" w14:textId="77777777" w:rsidR="00FC2CBF" w:rsidRPr="0016460E" w:rsidRDefault="00FC2CBF" w:rsidP="00CF01E1">
            <w:pPr>
              <w:spacing w:after="160"/>
              <w:jc w:val="left"/>
              <w:rPr>
                <w:rFonts w:ascii="Arial" w:hAnsi="Arial" w:cs="Arial"/>
              </w:rPr>
            </w:pPr>
            <w:r w:rsidRPr="0016460E">
              <w:rPr>
                <w:rFonts w:ascii="Arial" w:hAnsi="Arial" w:cs="Arial"/>
              </w:rPr>
              <w:t>Baumel et al. (2019)</w:t>
            </w:r>
          </w:p>
        </w:tc>
        <w:tc>
          <w:tcPr>
            <w:tcW w:w="1434" w:type="dxa"/>
            <w:hideMark/>
          </w:tcPr>
          <w:p w14:paraId="75633079"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7947911B" w14:textId="77777777" w:rsidR="00FC2CBF" w:rsidRPr="0016460E" w:rsidRDefault="00FC2CBF" w:rsidP="00CF01E1">
            <w:pPr>
              <w:spacing w:after="160"/>
              <w:jc w:val="left"/>
              <w:rPr>
                <w:rFonts w:ascii="Arial" w:hAnsi="Arial" w:cs="Arial"/>
              </w:rPr>
            </w:pPr>
            <w:r w:rsidRPr="0016460E">
              <w:rPr>
                <w:rFonts w:ascii="Arial" w:hAnsi="Arial" w:cs="Arial"/>
              </w:rPr>
              <w:t>Usage analysis</w:t>
            </w:r>
          </w:p>
        </w:tc>
        <w:tc>
          <w:tcPr>
            <w:tcW w:w="1434" w:type="dxa"/>
            <w:hideMark/>
          </w:tcPr>
          <w:p w14:paraId="4996C274" w14:textId="77777777" w:rsidR="00FC2CBF" w:rsidRPr="0016460E" w:rsidRDefault="00FC2CBF" w:rsidP="00CF01E1">
            <w:pPr>
              <w:spacing w:after="160"/>
              <w:jc w:val="left"/>
              <w:rPr>
                <w:rFonts w:ascii="Arial" w:hAnsi="Arial" w:cs="Arial"/>
              </w:rPr>
            </w:pPr>
            <w:r w:rsidRPr="0016460E">
              <w:rPr>
                <w:rFonts w:ascii="Arial" w:hAnsi="Arial" w:cs="Arial"/>
              </w:rPr>
              <w:t>General app users</w:t>
            </w:r>
          </w:p>
        </w:tc>
        <w:tc>
          <w:tcPr>
            <w:tcW w:w="1059" w:type="dxa"/>
            <w:hideMark/>
          </w:tcPr>
          <w:p w14:paraId="37AEA98B" w14:textId="77777777" w:rsidR="00FC2CBF" w:rsidRPr="0016460E" w:rsidRDefault="00FC2CBF" w:rsidP="00CF01E1">
            <w:pPr>
              <w:spacing w:after="160"/>
              <w:jc w:val="left"/>
              <w:rPr>
                <w:rFonts w:ascii="Arial" w:hAnsi="Arial" w:cs="Arial"/>
              </w:rPr>
            </w:pPr>
            <w:r w:rsidRPr="0016460E">
              <w:rPr>
                <w:rFonts w:ascii="Arial" w:hAnsi="Arial" w:cs="Arial"/>
              </w:rPr>
              <w:t>Real-world engagement</w:t>
            </w:r>
          </w:p>
        </w:tc>
        <w:tc>
          <w:tcPr>
            <w:tcW w:w="2557" w:type="dxa"/>
            <w:hideMark/>
          </w:tcPr>
          <w:p w14:paraId="42AB0553" w14:textId="77777777" w:rsidR="00FC2CBF" w:rsidRPr="0016460E" w:rsidRDefault="00FC2CBF" w:rsidP="00CF01E1">
            <w:pPr>
              <w:spacing w:after="160"/>
              <w:jc w:val="left"/>
              <w:rPr>
                <w:rFonts w:ascii="Arial" w:hAnsi="Arial" w:cs="Arial"/>
              </w:rPr>
            </w:pPr>
            <w:r w:rsidRPr="0016460E">
              <w:rPr>
                <w:rFonts w:ascii="Arial" w:hAnsi="Arial" w:cs="Arial"/>
              </w:rPr>
              <w:t>Very short median app use in real-world settings.</w:t>
            </w:r>
          </w:p>
        </w:tc>
        <w:tc>
          <w:tcPr>
            <w:tcW w:w="1493" w:type="dxa"/>
            <w:hideMark/>
          </w:tcPr>
          <w:p w14:paraId="35F81419" w14:textId="77777777" w:rsidR="00FC2CBF" w:rsidRPr="0016460E" w:rsidRDefault="00FC2CBF" w:rsidP="00CF01E1">
            <w:pPr>
              <w:spacing w:after="160"/>
              <w:jc w:val="left"/>
              <w:rPr>
                <w:rFonts w:ascii="Arial" w:hAnsi="Arial" w:cs="Arial"/>
              </w:rPr>
            </w:pPr>
            <w:r w:rsidRPr="0016460E">
              <w:rPr>
                <w:rFonts w:ascii="Arial" w:hAnsi="Arial" w:cs="Arial"/>
              </w:rPr>
              <w:t>Theme 2 – Real-world use gap</w:t>
            </w:r>
          </w:p>
        </w:tc>
      </w:tr>
      <w:tr w:rsidR="00E8758D" w:rsidRPr="0016460E" w14:paraId="6AB6D6F6" w14:textId="77777777" w:rsidTr="00737F3E">
        <w:tc>
          <w:tcPr>
            <w:tcW w:w="1275" w:type="dxa"/>
            <w:hideMark/>
          </w:tcPr>
          <w:p w14:paraId="59C3365C" w14:textId="77777777" w:rsidR="00FC2CBF" w:rsidRPr="0016460E" w:rsidRDefault="00FC2CBF" w:rsidP="00CF01E1">
            <w:pPr>
              <w:spacing w:after="160"/>
              <w:jc w:val="left"/>
              <w:rPr>
                <w:rFonts w:ascii="Arial" w:hAnsi="Arial" w:cs="Arial"/>
              </w:rPr>
            </w:pPr>
            <w:proofErr w:type="spellStart"/>
            <w:r w:rsidRPr="0016460E">
              <w:rPr>
                <w:rFonts w:ascii="Arial" w:hAnsi="Arial" w:cs="Arial"/>
              </w:rPr>
              <w:t>Huckvale</w:t>
            </w:r>
            <w:proofErr w:type="spellEnd"/>
            <w:r w:rsidRPr="0016460E">
              <w:rPr>
                <w:rFonts w:ascii="Arial" w:hAnsi="Arial" w:cs="Arial"/>
              </w:rPr>
              <w:t xml:space="preserve"> et al. (2019)</w:t>
            </w:r>
          </w:p>
        </w:tc>
        <w:tc>
          <w:tcPr>
            <w:tcW w:w="1434" w:type="dxa"/>
            <w:hideMark/>
          </w:tcPr>
          <w:p w14:paraId="31095FE8"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4FB1241E" w14:textId="77777777" w:rsidR="00FC2CBF" w:rsidRPr="0016460E" w:rsidRDefault="00FC2CBF" w:rsidP="00CF01E1">
            <w:pPr>
              <w:spacing w:after="160"/>
              <w:jc w:val="left"/>
              <w:rPr>
                <w:rFonts w:ascii="Arial" w:hAnsi="Arial" w:cs="Arial"/>
              </w:rPr>
            </w:pPr>
            <w:r w:rsidRPr="0016460E">
              <w:rPr>
                <w:rFonts w:ascii="Arial" w:hAnsi="Arial" w:cs="Arial"/>
              </w:rPr>
              <w:t>Cross-sectional analysis</w:t>
            </w:r>
          </w:p>
        </w:tc>
        <w:tc>
          <w:tcPr>
            <w:tcW w:w="1434" w:type="dxa"/>
            <w:hideMark/>
          </w:tcPr>
          <w:p w14:paraId="59C36EC2" w14:textId="77777777" w:rsidR="00FC2CBF" w:rsidRPr="0016460E" w:rsidRDefault="00FC2CBF" w:rsidP="00CF01E1">
            <w:pPr>
              <w:spacing w:after="160"/>
              <w:jc w:val="left"/>
              <w:rPr>
                <w:rFonts w:ascii="Arial" w:hAnsi="Arial" w:cs="Arial"/>
              </w:rPr>
            </w:pPr>
            <w:r w:rsidRPr="0016460E">
              <w:rPr>
                <w:rFonts w:ascii="Arial" w:hAnsi="Arial" w:cs="Arial"/>
              </w:rPr>
              <w:t>Commercial apps</w:t>
            </w:r>
          </w:p>
        </w:tc>
        <w:tc>
          <w:tcPr>
            <w:tcW w:w="1059" w:type="dxa"/>
            <w:hideMark/>
          </w:tcPr>
          <w:p w14:paraId="397CFCD7" w14:textId="77777777" w:rsidR="00FC2CBF" w:rsidRPr="0016460E" w:rsidRDefault="00FC2CBF" w:rsidP="00CF01E1">
            <w:pPr>
              <w:spacing w:after="160"/>
              <w:jc w:val="left"/>
              <w:rPr>
                <w:rFonts w:ascii="Arial" w:hAnsi="Arial" w:cs="Arial"/>
              </w:rPr>
            </w:pPr>
            <w:r w:rsidRPr="0016460E">
              <w:rPr>
                <w:rFonts w:ascii="Arial" w:hAnsi="Arial" w:cs="Arial"/>
              </w:rPr>
              <w:t>Data privacy</w:t>
            </w:r>
          </w:p>
        </w:tc>
        <w:tc>
          <w:tcPr>
            <w:tcW w:w="2557" w:type="dxa"/>
            <w:hideMark/>
          </w:tcPr>
          <w:p w14:paraId="0AFCA152" w14:textId="77777777" w:rsidR="00FC2CBF" w:rsidRPr="0016460E" w:rsidRDefault="00FC2CBF" w:rsidP="00CF01E1">
            <w:pPr>
              <w:spacing w:after="160"/>
              <w:jc w:val="left"/>
              <w:rPr>
                <w:rFonts w:ascii="Arial" w:hAnsi="Arial" w:cs="Arial"/>
              </w:rPr>
            </w:pPr>
            <w:r w:rsidRPr="0016460E">
              <w:rPr>
                <w:rFonts w:ascii="Arial" w:hAnsi="Arial" w:cs="Arial"/>
              </w:rPr>
              <w:t xml:space="preserve">Frequent third-party data </w:t>
            </w:r>
            <w:r w:rsidRPr="0016460E">
              <w:rPr>
                <w:rFonts w:ascii="Arial" w:hAnsi="Arial" w:cs="Arial"/>
              </w:rPr>
              <w:lastRenderedPageBreak/>
              <w:t>sharing; poor transparency.</w:t>
            </w:r>
          </w:p>
        </w:tc>
        <w:tc>
          <w:tcPr>
            <w:tcW w:w="1493" w:type="dxa"/>
            <w:hideMark/>
          </w:tcPr>
          <w:p w14:paraId="18C578C5" w14:textId="77777777" w:rsidR="00FC2CBF" w:rsidRPr="0016460E" w:rsidRDefault="00FC2CBF" w:rsidP="00CF01E1">
            <w:pPr>
              <w:spacing w:after="160"/>
              <w:jc w:val="left"/>
              <w:rPr>
                <w:rFonts w:ascii="Arial" w:hAnsi="Arial" w:cs="Arial"/>
              </w:rPr>
            </w:pPr>
            <w:r w:rsidRPr="0016460E">
              <w:rPr>
                <w:rFonts w:ascii="Arial" w:hAnsi="Arial" w:cs="Arial"/>
              </w:rPr>
              <w:lastRenderedPageBreak/>
              <w:t>Theme 3 – Ethics</w:t>
            </w:r>
          </w:p>
        </w:tc>
      </w:tr>
      <w:tr w:rsidR="00E8758D" w:rsidRPr="0016460E" w14:paraId="51E36E72" w14:textId="77777777" w:rsidTr="00737F3E">
        <w:tc>
          <w:tcPr>
            <w:tcW w:w="1275" w:type="dxa"/>
            <w:hideMark/>
          </w:tcPr>
          <w:p w14:paraId="03617A75" w14:textId="77777777" w:rsidR="00FC2CBF" w:rsidRPr="0016460E" w:rsidRDefault="00FC2CBF" w:rsidP="00CF01E1">
            <w:pPr>
              <w:spacing w:after="160"/>
              <w:jc w:val="left"/>
              <w:rPr>
                <w:rFonts w:ascii="Arial" w:hAnsi="Arial" w:cs="Arial"/>
              </w:rPr>
            </w:pPr>
            <w:r w:rsidRPr="0016460E">
              <w:rPr>
                <w:rFonts w:ascii="Arial" w:hAnsi="Arial" w:cs="Arial"/>
              </w:rPr>
              <w:t>Tangari et al. (2021)</w:t>
            </w:r>
          </w:p>
        </w:tc>
        <w:tc>
          <w:tcPr>
            <w:tcW w:w="1434" w:type="dxa"/>
            <w:hideMark/>
          </w:tcPr>
          <w:p w14:paraId="4DA37ADF"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13ADA8D6" w14:textId="77777777" w:rsidR="00FC2CBF" w:rsidRPr="0016460E" w:rsidRDefault="00FC2CBF" w:rsidP="00CF01E1">
            <w:pPr>
              <w:spacing w:after="160"/>
              <w:jc w:val="left"/>
              <w:rPr>
                <w:rFonts w:ascii="Arial" w:hAnsi="Arial" w:cs="Arial"/>
              </w:rPr>
            </w:pPr>
            <w:r w:rsidRPr="0016460E">
              <w:rPr>
                <w:rFonts w:ascii="Arial" w:hAnsi="Arial" w:cs="Arial"/>
              </w:rPr>
              <w:t>Cross-sectional study</w:t>
            </w:r>
          </w:p>
        </w:tc>
        <w:tc>
          <w:tcPr>
            <w:tcW w:w="1434" w:type="dxa"/>
            <w:hideMark/>
          </w:tcPr>
          <w:p w14:paraId="0832DBD5" w14:textId="77777777" w:rsidR="00FC2CBF" w:rsidRPr="0016460E" w:rsidRDefault="00FC2CBF" w:rsidP="00CF01E1">
            <w:pPr>
              <w:spacing w:after="160"/>
              <w:jc w:val="left"/>
              <w:rPr>
                <w:rFonts w:ascii="Arial" w:hAnsi="Arial" w:cs="Arial"/>
              </w:rPr>
            </w:pPr>
            <w:r w:rsidRPr="0016460E">
              <w:rPr>
                <w:rFonts w:ascii="Arial" w:hAnsi="Arial" w:cs="Arial"/>
              </w:rPr>
              <w:t>mHealth apps</w:t>
            </w:r>
          </w:p>
        </w:tc>
        <w:tc>
          <w:tcPr>
            <w:tcW w:w="1059" w:type="dxa"/>
            <w:hideMark/>
          </w:tcPr>
          <w:p w14:paraId="222835CD" w14:textId="77777777" w:rsidR="00FC2CBF" w:rsidRPr="0016460E" w:rsidRDefault="00FC2CBF" w:rsidP="00CF01E1">
            <w:pPr>
              <w:spacing w:after="160"/>
              <w:jc w:val="left"/>
              <w:rPr>
                <w:rFonts w:ascii="Arial" w:hAnsi="Arial" w:cs="Arial"/>
              </w:rPr>
            </w:pPr>
            <w:r w:rsidRPr="0016460E">
              <w:rPr>
                <w:rFonts w:ascii="Arial" w:hAnsi="Arial" w:cs="Arial"/>
              </w:rPr>
              <w:t>Data practices</w:t>
            </w:r>
          </w:p>
        </w:tc>
        <w:tc>
          <w:tcPr>
            <w:tcW w:w="2557" w:type="dxa"/>
            <w:hideMark/>
          </w:tcPr>
          <w:p w14:paraId="7BA4AE85" w14:textId="77777777" w:rsidR="00FC2CBF" w:rsidRPr="0016460E" w:rsidRDefault="00FC2CBF" w:rsidP="00CF01E1">
            <w:pPr>
              <w:spacing w:after="160"/>
              <w:jc w:val="left"/>
              <w:rPr>
                <w:rFonts w:ascii="Arial" w:hAnsi="Arial" w:cs="Arial"/>
              </w:rPr>
            </w:pPr>
            <w:r w:rsidRPr="0016460E">
              <w:rPr>
                <w:rFonts w:ascii="Arial" w:hAnsi="Arial" w:cs="Arial"/>
              </w:rPr>
              <w:t>Widespread data-sharing practices.</w:t>
            </w:r>
          </w:p>
        </w:tc>
        <w:tc>
          <w:tcPr>
            <w:tcW w:w="1493" w:type="dxa"/>
            <w:hideMark/>
          </w:tcPr>
          <w:p w14:paraId="77C8153B" w14:textId="77777777" w:rsidR="00FC2CBF" w:rsidRPr="0016460E" w:rsidRDefault="00FC2CBF" w:rsidP="00CF01E1">
            <w:pPr>
              <w:spacing w:after="160"/>
              <w:jc w:val="left"/>
              <w:rPr>
                <w:rFonts w:ascii="Arial" w:hAnsi="Arial" w:cs="Arial"/>
              </w:rPr>
            </w:pPr>
            <w:r w:rsidRPr="0016460E">
              <w:rPr>
                <w:rFonts w:ascii="Arial" w:hAnsi="Arial" w:cs="Arial"/>
              </w:rPr>
              <w:t>Theme 3 – Governance</w:t>
            </w:r>
          </w:p>
        </w:tc>
      </w:tr>
      <w:tr w:rsidR="00E8758D" w:rsidRPr="0016460E" w14:paraId="6343C36D" w14:textId="77777777" w:rsidTr="00737F3E">
        <w:tc>
          <w:tcPr>
            <w:tcW w:w="1275" w:type="dxa"/>
            <w:hideMark/>
          </w:tcPr>
          <w:p w14:paraId="1D10E88D" w14:textId="77777777" w:rsidR="00FC2CBF" w:rsidRPr="0016460E" w:rsidRDefault="00FC2CBF" w:rsidP="00CF01E1">
            <w:pPr>
              <w:spacing w:after="160"/>
              <w:jc w:val="left"/>
              <w:rPr>
                <w:rFonts w:ascii="Arial" w:hAnsi="Arial" w:cs="Arial"/>
              </w:rPr>
            </w:pPr>
            <w:r w:rsidRPr="0016460E">
              <w:rPr>
                <w:rFonts w:ascii="Arial" w:hAnsi="Arial" w:cs="Arial"/>
              </w:rPr>
              <w:t>Lipschitz et al. (2023)</w:t>
            </w:r>
          </w:p>
        </w:tc>
        <w:tc>
          <w:tcPr>
            <w:tcW w:w="1434" w:type="dxa"/>
            <w:hideMark/>
          </w:tcPr>
          <w:p w14:paraId="2CB63A99" w14:textId="77777777" w:rsidR="00FC2CBF" w:rsidRPr="0016460E" w:rsidRDefault="00FC2CBF" w:rsidP="00CF01E1">
            <w:pPr>
              <w:spacing w:after="160"/>
              <w:jc w:val="left"/>
              <w:rPr>
                <w:rFonts w:ascii="Arial" w:hAnsi="Arial" w:cs="Arial"/>
              </w:rPr>
            </w:pPr>
            <w:r w:rsidRPr="0016460E">
              <w:rPr>
                <w:rFonts w:ascii="Arial" w:hAnsi="Arial" w:cs="Arial"/>
              </w:rPr>
              <w:t>International</w:t>
            </w:r>
          </w:p>
        </w:tc>
        <w:tc>
          <w:tcPr>
            <w:tcW w:w="1278" w:type="dxa"/>
            <w:hideMark/>
          </w:tcPr>
          <w:p w14:paraId="65F2BD19" w14:textId="77777777" w:rsidR="00FC2CBF" w:rsidRPr="0016460E" w:rsidRDefault="00FC2CBF" w:rsidP="00CF01E1">
            <w:pPr>
              <w:spacing w:after="160"/>
              <w:jc w:val="left"/>
              <w:rPr>
                <w:rFonts w:ascii="Arial" w:hAnsi="Arial" w:cs="Arial"/>
              </w:rPr>
            </w:pPr>
            <w:r w:rsidRPr="0016460E">
              <w:rPr>
                <w:rFonts w:ascii="Arial" w:hAnsi="Arial" w:cs="Arial"/>
              </w:rPr>
              <w:t>Narrative review</w:t>
            </w:r>
          </w:p>
        </w:tc>
        <w:tc>
          <w:tcPr>
            <w:tcW w:w="1434" w:type="dxa"/>
            <w:hideMark/>
          </w:tcPr>
          <w:p w14:paraId="2C4D46CB" w14:textId="77777777" w:rsidR="00FC2CBF" w:rsidRPr="0016460E" w:rsidRDefault="00FC2CBF" w:rsidP="00CF01E1">
            <w:pPr>
              <w:spacing w:after="160"/>
              <w:jc w:val="left"/>
              <w:rPr>
                <w:rFonts w:ascii="Arial" w:hAnsi="Arial" w:cs="Arial"/>
              </w:rPr>
            </w:pPr>
            <w:r w:rsidRPr="0016460E">
              <w:rPr>
                <w:rFonts w:ascii="Arial" w:hAnsi="Arial" w:cs="Arial"/>
              </w:rPr>
              <w:t>Digital tool users</w:t>
            </w:r>
          </w:p>
        </w:tc>
        <w:tc>
          <w:tcPr>
            <w:tcW w:w="1059" w:type="dxa"/>
            <w:hideMark/>
          </w:tcPr>
          <w:p w14:paraId="2BA1A400" w14:textId="77777777" w:rsidR="00FC2CBF" w:rsidRPr="0016460E" w:rsidRDefault="00FC2CBF" w:rsidP="00CF01E1">
            <w:pPr>
              <w:spacing w:after="160"/>
              <w:jc w:val="left"/>
              <w:rPr>
                <w:rFonts w:ascii="Arial" w:hAnsi="Arial" w:cs="Arial"/>
              </w:rPr>
            </w:pPr>
            <w:r w:rsidRPr="0016460E">
              <w:rPr>
                <w:rFonts w:ascii="Arial" w:hAnsi="Arial" w:cs="Arial"/>
              </w:rPr>
              <w:t>Engagement factors</w:t>
            </w:r>
          </w:p>
        </w:tc>
        <w:tc>
          <w:tcPr>
            <w:tcW w:w="2557" w:type="dxa"/>
            <w:hideMark/>
          </w:tcPr>
          <w:p w14:paraId="731D6E10" w14:textId="77777777" w:rsidR="00FC2CBF" w:rsidRPr="0016460E" w:rsidRDefault="00FC2CBF" w:rsidP="00CF01E1">
            <w:pPr>
              <w:spacing w:after="160"/>
              <w:jc w:val="left"/>
              <w:rPr>
                <w:rFonts w:ascii="Arial" w:hAnsi="Arial" w:cs="Arial"/>
              </w:rPr>
            </w:pPr>
            <w:r w:rsidRPr="0016460E">
              <w:rPr>
                <w:rFonts w:ascii="Arial" w:hAnsi="Arial" w:cs="Arial"/>
              </w:rPr>
              <w:t>Identified multi-level engagement determinants.</w:t>
            </w:r>
          </w:p>
        </w:tc>
        <w:tc>
          <w:tcPr>
            <w:tcW w:w="1493" w:type="dxa"/>
            <w:hideMark/>
          </w:tcPr>
          <w:p w14:paraId="4B144264" w14:textId="77777777" w:rsidR="00FC2CBF" w:rsidRPr="0016460E" w:rsidRDefault="00FC2CBF" w:rsidP="00CF01E1">
            <w:pPr>
              <w:spacing w:after="160"/>
              <w:jc w:val="left"/>
              <w:rPr>
                <w:rFonts w:ascii="Arial" w:hAnsi="Arial" w:cs="Arial"/>
              </w:rPr>
            </w:pPr>
            <w:r w:rsidRPr="0016460E">
              <w:rPr>
                <w:rFonts w:ascii="Arial" w:hAnsi="Arial" w:cs="Arial"/>
              </w:rPr>
              <w:t>Theme 2 – Engagement theory</w:t>
            </w:r>
          </w:p>
        </w:tc>
      </w:tr>
    </w:tbl>
    <w:p w14:paraId="0090F6A1" w14:textId="458809D2" w:rsidR="007B04F5" w:rsidRPr="0016460E" w:rsidRDefault="00924E89" w:rsidP="00BF7401">
      <w:pPr>
        <w:pStyle w:val="Caption"/>
        <w:spacing w:before="240" w:line="360" w:lineRule="auto"/>
        <w:jc w:val="center"/>
        <w:rPr>
          <w:rFonts w:ascii="Arial" w:hAnsi="Arial" w:cs="Arial"/>
          <w:b/>
          <w:bCs/>
          <w:i w:val="0"/>
          <w:iCs w:val="0"/>
          <w:color w:val="auto"/>
          <w:sz w:val="22"/>
          <w:szCs w:val="22"/>
        </w:rPr>
      </w:pPr>
      <w:bookmarkStart w:id="78" w:name="_Toc222997401"/>
      <w:r w:rsidRPr="0016460E">
        <w:rPr>
          <w:rFonts w:ascii="Arial" w:hAnsi="Arial" w:cs="Arial"/>
          <w:b/>
          <w:bCs/>
          <w:i w:val="0"/>
          <w:iCs w:val="0"/>
          <w:color w:val="auto"/>
          <w:sz w:val="22"/>
          <w:szCs w:val="22"/>
        </w:rPr>
        <w:t xml:space="preserve">Table </w:t>
      </w:r>
      <w:r w:rsidRPr="0016460E">
        <w:rPr>
          <w:rFonts w:ascii="Arial" w:hAnsi="Arial" w:cs="Arial"/>
          <w:b/>
          <w:bCs/>
          <w:i w:val="0"/>
          <w:iCs w:val="0"/>
          <w:color w:val="auto"/>
          <w:sz w:val="22"/>
          <w:szCs w:val="22"/>
        </w:rPr>
        <w:fldChar w:fldCharType="begin"/>
      </w:r>
      <w:r w:rsidRPr="0016460E">
        <w:rPr>
          <w:rFonts w:ascii="Arial" w:hAnsi="Arial" w:cs="Arial"/>
          <w:b/>
          <w:bCs/>
          <w:i w:val="0"/>
          <w:iCs w:val="0"/>
          <w:color w:val="auto"/>
          <w:sz w:val="22"/>
          <w:szCs w:val="22"/>
        </w:rPr>
        <w:instrText xml:space="preserve"> SEQ Table \* ARABIC </w:instrText>
      </w:r>
      <w:r w:rsidRPr="0016460E">
        <w:rPr>
          <w:rFonts w:ascii="Arial" w:hAnsi="Arial" w:cs="Arial"/>
          <w:b/>
          <w:bCs/>
          <w:i w:val="0"/>
          <w:iCs w:val="0"/>
          <w:color w:val="auto"/>
          <w:sz w:val="22"/>
          <w:szCs w:val="22"/>
        </w:rPr>
        <w:fldChar w:fldCharType="separate"/>
      </w:r>
      <w:r w:rsidR="00CF2215" w:rsidRPr="0016460E">
        <w:rPr>
          <w:rFonts w:ascii="Arial" w:hAnsi="Arial" w:cs="Arial"/>
          <w:b/>
          <w:bCs/>
          <w:i w:val="0"/>
          <w:iCs w:val="0"/>
          <w:noProof/>
          <w:color w:val="auto"/>
          <w:sz w:val="22"/>
          <w:szCs w:val="22"/>
        </w:rPr>
        <w:t>3</w:t>
      </w:r>
      <w:r w:rsidRPr="0016460E">
        <w:rPr>
          <w:rFonts w:ascii="Arial" w:hAnsi="Arial" w:cs="Arial"/>
          <w:b/>
          <w:bCs/>
          <w:i w:val="0"/>
          <w:iCs w:val="0"/>
          <w:color w:val="auto"/>
          <w:sz w:val="22"/>
          <w:szCs w:val="22"/>
        </w:rPr>
        <w:fldChar w:fldCharType="end"/>
      </w:r>
      <w:r w:rsidRPr="0016460E">
        <w:rPr>
          <w:rFonts w:ascii="Arial" w:hAnsi="Arial" w:cs="Arial"/>
          <w:b/>
          <w:bCs/>
          <w:i w:val="0"/>
          <w:iCs w:val="0"/>
          <w:color w:val="auto"/>
          <w:sz w:val="22"/>
          <w:szCs w:val="22"/>
        </w:rPr>
        <w:t xml:space="preserve"> Summary of Included Studies</w:t>
      </w:r>
      <w:bookmarkEnd w:id="78"/>
    </w:p>
    <w:p w14:paraId="61687D7A" w14:textId="0F4EC662" w:rsidR="00732FEA" w:rsidRPr="0016460E" w:rsidRDefault="006D5B3E" w:rsidP="00BF7401">
      <w:pPr>
        <w:pStyle w:val="Caption"/>
        <w:spacing w:before="240" w:line="360" w:lineRule="auto"/>
        <w:jc w:val="center"/>
        <w:rPr>
          <w:rFonts w:ascii="Arial" w:hAnsi="Arial" w:cs="Arial"/>
          <w:b/>
          <w:bCs/>
          <w:i w:val="0"/>
          <w:iCs w:val="0"/>
          <w:color w:val="auto"/>
          <w:sz w:val="22"/>
          <w:szCs w:val="22"/>
        </w:rPr>
      </w:pPr>
      <w:r w:rsidRPr="0016460E">
        <w:rPr>
          <w:rFonts w:ascii="Arial" w:hAnsi="Arial" w:cs="Arial"/>
          <w:b/>
          <w:bCs/>
          <w:i w:val="0"/>
          <w:iCs w:val="0"/>
          <w:color w:val="auto"/>
          <w:sz w:val="22"/>
          <w:szCs w:val="22"/>
        </w:rPr>
        <w:t>Source: Author</w:t>
      </w:r>
    </w:p>
    <w:p w14:paraId="2A262B2F" w14:textId="77777777" w:rsidR="003A786F" w:rsidRPr="0016460E" w:rsidRDefault="003A786F" w:rsidP="00CF01E1">
      <w:pPr>
        <w:jc w:val="left"/>
        <w:rPr>
          <w:rFonts w:ascii="Arial" w:hAnsi="Arial" w:cs="Arial"/>
        </w:rPr>
      </w:pPr>
    </w:p>
    <w:p w14:paraId="3ED8ABE9" w14:textId="77777777" w:rsidR="00865485" w:rsidRPr="0016460E" w:rsidRDefault="00865485" w:rsidP="00CF01E1">
      <w:pPr>
        <w:jc w:val="left"/>
        <w:rPr>
          <w:rFonts w:ascii="Arial" w:hAnsi="Arial" w:cs="Arial"/>
        </w:rPr>
      </w:pPr>
    </w:p>
    <w:p w14:paraId="772B0F7D" w14:textId="77777777" w:rsidR="00865485" w:rsidRPr="0016460E" w:rsidRDefault="00865485" w:rsidP="00CF01E1">
      <w:pPr>
        <w:jc w:val="left"/>
        <w:rPr>
          <w:rFonts w:ascii="Arial" w:hAnsi="Arial" w:cs="Arial"/>
        </w:rPr>
      </w:pPr>
    </w:p>
    <w:p w14:paraId="384C0367" w14:textId="77777777" w:rsidR="00865485" w:rsidRPr="0016460E" w:rsidRDefault="00865485" w:rsidP="00CF01E1">
      <w:pPr>
        <w:jc w:val="left"/>
        <w:rPr>
          <w:rFonts w:ascii="Arial" w:hAnsi="Arial" w:cs="Arial"/>
        </w:rPr>
      </w:pPr>
    </w:p>
    <w:p w14:paraId="3477C867" w14:textId="77777777" w:rsidR="00865485" w:rsidRPr="0016460E" w:rsidRDefault="00865485" w:rsidP="00CF01E1">
      <w:pPr>
        <w:jc w:val="left"/>
        <w:rPr>
          <w:rFonts w:ascii="Arial" w:hAnsi="Arial" w:cs="Arial"/>
        </w:rPr>
      </w:pPr>
    </w:p>
    <w:p w14:paraId="7D663F7C" w14:textId="77777777" w:rsidR="00865485" w:rsidRPr="0016460E" w:rsidRDefault="00865485" w:rsidP="00CF01E1">
      <w:pPr>
        <w:jc w:val="left"/>
        <w:rPr>
          <w:rFonts w:ascii="Arial" w:hAnsi="Arial" w:cs="Arial"/>
        </w:rPr>
      </w:pPr>
    </w:p>
    <w:p w14:paraId="1827849F" w14:textId="77777777" w:rsidR="00865485" w:rsidRPr="0016460E" w:rsidRDefault="00865485" w:rsidP="00CF01E1">
      <w:pPr>
        <w:jc w:val="left"/>
        <w:rPr>
          <w:rFonts w:ascii="Arial" w:hAnsi="Arial" w:cs="Arial"/>
        </w:rPr>
      </w:pPr>
    </w:p>
    <w:p w14:paraId="03E53911" w14:textId="77777777" w:rsidR="00865485" w:rsidRPr="0016460E" w:rsidRDefault="00865485" w:rsidP="00CF01E1">
      <w:pPr>
        <w:jc w:val="left"/>
        <w:rPr>
          <w:rFonts w:ascii="Arial" w:hAnsi="Arial" w:cs="Arial"/>
        </w:rPr>
      </w:pPr>
    </w:p>
    <w:p w14:paraId="0551CE3F" w14:textId="77777777" w:rsidR="00865485" w:rsidRPr="0016460E" w:rsidRDefault="00865485" w:rsidP="00CF01E1">
      <w:pPr>
        <w:jc w:val="left"/>
        <w:rPr>
          <w:rFonts w:ascii="Arial" w:hAnsi="Arial" w:cs="Arial"/>
        </w:rPr>
      </w:pPr>
    </w:p>
    <w:p w14:paraId="0169A0F8" w14:textId="77777777" w:rsidR="00865485" w:rsidRPr="0016460E" w:rsidRDefault="00865485" w:rsidP="00CF01E1">
      <w:pPr>
        <w:jc w:val="left"/>
        <w:rPr>
          <w:rFonts w:ascii="Arial" w:hAnsi="Arial" w:cs="Arial"/>
        </w:rPr>
      </w:pPr>
    </w:p>
    <w:p w14:paraId="57F7946A" w14:textId="77777777" w:rsidR="00865485" w:rsidRPr="0016460E" w:rsidRDefault="00865485" w:rsidP="00CF01E1">
      <w:pPr>
        <w:jc w:val="left"/>
        <w:rPr>
          <w:rFonts w:ascii="Arial" w:hAnsi="Arial" w:cs="Arial"/>
        </w:rPr>
      </w:pPr>
    </w:p>
    <w:p w14:paraId="7CFA34EF" w14:textId="77777777" w:rsidR="00865485" w:rsidRPr="0016460E" w:rsidRDefault="00865485" w:rsidP="00CF01E1">
      <w:pPr>
        <w:jc w:val="left"/>
        <w:rPr>
          <w:rFonts w:ascii="Arial" w:hAnsi="Arial" w:cs="Arial"/>
        </w:rPr>
      </w:pPr>
    </w:p>
    <w:p w14:paraId="5E19F123" w14:textId="77777777" w:rsidR="00865485" w:rsidRPr="0016460E" w:rsidRDefault="00865485" w:rsidP="00CF01E1">
      <w:pPr>
        <w:jc w:val="left"/>
        <w:rPr>
          <w:rFonts w:ascii="Arial" w:hAnsi="Arial" w:cs="Arial"/>
        </w:rPr>
      </w:pPr>
    </w:p>
    <w:p w14:paraId="78876AA5" w14:textId="77777777" w:rsidR="00865485" w:rsidRPr="0016460E" w:rsidRDefault="00865485" w:rsidP="00CF01E1">
      <w:pPr>
        <w:jc w:val="left"/>
        <w:rPr>
          <w:rFonts w:ascii="Arial" w:hAnsi="Arial" w:cs="Arial"/>
        </w:rPr>
      </w:pPr>
    </w:p>
    <w:p w14:paraId="3F0076EA" w14:textId="77777777" w:rsidR="00865485" w:rsidRPr="0016460E" w:rsidRDefault="00865485" w:rsidP="00CF01E1">
      <w:pPr>
        <w:jc w:val="left"/>
        <w:rPr>
          <w:rFonts w:ascii="Arial" w:hAnsi="Arial" w:cs="Arial"/>
        </w:rPr>
      </w:pPr>
    </w:p>
    <w:p w14:paraId="4CCC42B1" w14:textId="77777777" w:rsidR="00865485" w:rsidRPr="0016460E" w:rsidRDefault="00865485" w:rsidP="00CF01E1">
      <w:pPr>
        <w:jc w:val="left"/>
        <w:rPr>
          <w:rFonts w:ascii="Arial" w:hAnsi="Arial" w:cs="Arial"/>
        </w:rPr>
      </w:pPr>
    </w:p>
    <w:p w14:paraId="3DC2862E" w14:textId="77777777" w:rsidR="004276E3" w:rsidRPr="0016460E" w:rsidRDefault="004276E3" w:rsidP="00CF01E1">
      <w:pPr>
        <w:jc w:val="left"/>
        <w:rPr>
          <w:rFonts w:ascii="Arial" w:hAnsi="Arial" w:cs="Arial"/>
        </w:rPr>
      </w:pPr>
    </w:p>
    <w:p w14:paraId="74C947C7" w14:textId="77777777" w:rsidR="004276E3" w:rsidRPr="0016460E" w:rsidRDefault="004276E3" w:rsidP="00CF01E1">
      <w:pPr>
        <w:jc w:val="left"/>
        <w:rPr>
          <w:rFonts w:ascii="Arial" w:hAnsi="Arial" w:cs="Arial"/>
        </w:rPr>
      </w:pPr>
    </w:p>
    <w:p w14:paraId="0DE8A0DA" w14:textId="5F340373" w:rsidR="00DD64DA" w:rsidRPr="0016460E" w:rsidRDefault="00363B41" w:rsidP="00CF01E1">
      <w:pPr>
        <w:jc w:val="left"/>
        <w:rPr>
          <w:rFonts w:ascii="Arial" w:hAnsi="Arial" w:cs="Arial"/>
          <w:b/>
          <w:bCs/>
        </w:rPr>
      </w:pPr>
      <w:r w:rsidRPr="0016460E">
        <w:rPr>
          <w:rFonts w:ascii="Arial" w:hAnsi="Arial" w:cs="Arial"/>
          <w:b/>
          <w:bCs/>
        </w:rPr>
        <w:t>Academic Methods Poster</w:t>
      </w:r>
    </w:p>
    <w:tbl>
      <w:tblPr>
        <w:tblStyle w:val="TableGrid"/>
        <w:tblW w:w="0" w:type="auto"/>
        <w:jc w:val="center"/>
        <w:tblLook w:val="04A0" w:firstRow="1" w:lastRow="0" w:firstColumn="1" w:lastColumn="0" w:noHBand="0" w:noVBand="1"/>
      </w:tblPr>
      <w:tblGrid>
        <w:gridCol w:w="3660"/>
        <w:gridCol w:w="5356"/>
      </w:tblGrid>
      <w:tr w:rsidR="00E8758D" w:rsidRPr="0016460E" w14:paraId="4105E44C" w14:textId="77777777" w:rsidTr="00954758">
        <w:trPr>
          <w:trHeight w:val="597"/>
          <w:jc w:val="center"/>
        </w:trPr>
        <w:tc>
          <w:tcPr>
            <w:tcW w:w="9016" w:type="dxa"/>
            <w:gridSpan w:val="2"/>
            <w:vAlign w:val="center"/>
          </w:tcPr>
          <w:p w14:paraId="54A7B635" w14:textId="77777777" w:rsidR="00C11B6F" w:rsidRPr="0016460E" w:rsidRDefault="00C11B6F" w:rsidP="00CF01E1">
            <w:pPr>
              <w:spacing w:before="240"/>
              <w:jc w:val="left"/>
              <w:rPr>
                <w:rFonts w:ascii="Arial" w:hAnsi="Arial" w:cs="Arial"/>
                <w:b/>
                <w:bCs/>
              </w:rPr>
            </w:pPr>
            <w:r w:rsidRPr="0016460E">
              <w:rPr>
                <w:rFonts w:ascii="Arial" w:hAnsi="Arial" w:cs="Arial"/>
                <w:b/>
                <w:bCs/>
              </w:rPr>
              <w:t>Mental Health Support via Mobile Applications</w:t>
            </w:r>
          </w:p>
        </w:tc>
      </w:tr>
      <w:tr w:rsidR="00E8758D" w:rsidRPr="0016460E" w14:paraId="298D2975" w14:textId="77777777" w:rsidTr="00954758">
        <w:trPr>
          <w:trHeight w:val="1856"/>
          <w:jc w:val="center"/>
        </w:trPr>
        <w:tc>
          <w:tcPr>
            <w:tcW w:w="4405" w:type="dxa"/>
          </w:tcPr>
          <w:p w14:paraId="1A1417AC" w14:textId="1792122A" w:rsidR="00C11B6F" w:rsidRPr="0016460E" w:rsidRDefault="002B44E4" w:rsidP="00CF01E1">
            <w:pPr>
              <w:jc w:val="left"/>
              <w:rPr>
                <w:rFonts w:ascii="Arial" w:hAnsi="Arial" w:cs="Arial"/>
                <w:b/>
                <w:bCs/>
              </w:rPr>
            </w:pPr>
            <w:r w:rsidRPr="0016460E">
              <w:rPr>
                <w:rFonts w:ascii="Arial" w:hAnsi="Arial" w:cs="Arial"/>
                <w:b/>
                <w:bCs/>
              </w:rPr>
              <w:t>01</w:t>
            </w:r>
            <w:r w:rsidRPr="0016460E">
              <w:rPr>
                <w:rFonts w:ascii="Arial" w:hAnsi="Arial" w:cs="Arial"/>
              </w:rPr>
              <w:t xml:space="preserve"> </w:t>
            </w:r>
            <w:r w:rsidRPr="002B44E4">
              <w:rPr>
                <w:rFonts w:ascii="Arial" w:hAnsi="Arial" w:cs="Arial"/>
                <w:b/>
                <w:bCs/>
              </w:rPr>
              <w:t>Introduction</w:t>
            </w:r>
            <w:r w:rsidR="00C11B6F" w:rsidRPr="002B44E4">
              <w:rPr>
                <w:rFonts w:ascii="Arial" w:hAnsi="Arial" w:cs="Arial"/>
                <w:b/>
                <w:bCs/>
              </w:rPr>
              <w:t xml:space="preserve"> and Research Aim</w:t>
            </w:r>
            <w:r w:rsidR="00C11B6F" w:rsidRPr="0016460E">
              <w:rPr>
                <w:rFonts w:ascii="Arial" w:hAnsi="Arial" w:cs="Arial"/>
                <w:b/>
                <w:bCs/>
              </w:rPr>
              <w:t xml:space="preserve"> </w:t>
            </w:r>
          </w:p>
          <w:p w14:paraId="0FDCCFB8" w14:textId="77777777" w:rsidR="00C11B6F" w:rsidRPr="0016460E" w:rsidRDefault="00C11B6F" w:rsidP="00CF01E1">
            <w:pPr>
              <w:jc w:val="left"/>
              <w:rPr>
                <w:rFonts w:ascii="Arial" w:hAnsi="Arial" w:cs="Arial"/>
              </w:rPr>
            </w:pPr>
            <w:r w:rsidRPr="0016460E">
              <w:rPr>
                <w:rFonts w:ascii="Arial" w:hAnsi="Arial" w:cs="Arial"/>
              </w:rPr>
              <w:t>The methods chapter is used to give details of how a research study was planned, how the data were collected and how the research findings were analysed in a way that allows giving the research transparency and academic rigour (Chris, 2021). This poster summarises the approach to methodology that has been employed in a secondary research study regarding the use of mobile apps to assist with mental health. It provides the search strategy, information retrieval, method of validation and analysis, inclusion and exclusion criteria, and ethical problems that guided the dissertation.</w:t>
            </w:r>
          </w:p>
          <w:p w14:paraId="25197C18" w14:textId="77777777" w:rsidR="00C11B6F" w:rsidRPr="0016460E" w:rsidRDefault="00C11B6F" w:rsidP="00CF01E1">
            <w:pPr>
              <w:jc w:val="left"/>
              <w:rPr>
                <w:rFonts w:ascii="Arial" w:hAnsi="Arial" w:cs="Arial"/>
                <w:b/>
                <w:bCs/>
              </w:rPr>
            </w:pPr>
            <w:r w:rsidRPr="0016460E">
              <w:rPr>
                <w:rFonts w:ascii="Arial" w:hAnsi="Arial" w:cs="Arial"/>
                <w:b/>
                <w:bCs/>
              </w:rPr>
              <w:t>Research Aim</w:t>
            </w:r>
          </w:p>
          <w:p w14:paraId="5DBA6BAD" w14:textId="77777777" w:rsidR="00C11B6F" w:rsidRPr="0016460E" w:rsidRDefault="00C11B6F" w:rsidP="00CF01E1">
            <w:pPr>
              <w:jc w:val="left"/>
              <w:rPr>
                <w:rFonts w:ascii="Arial" w:hAnsi="Arial" w:cs="Arial"/>
              </w:rPr>
            </w:pPr>
            <w:r w:rsidRPr="0016460E">
              <w:rPr>
                <w:rFonts w:ascii="Arial" w:hAnsi="Arial" w:cs="Arial"/>
              </w:rPr>
              <w:t>This study will critically analyse the importance of mobile mental health applications in enhancing mental health outcomes by minimising the symptoms of anxiety, depression, and stress and determine how effective, accessible, and engaging they are with various populations.</w:t>
            </w:r>
          </w:p>
        </w:tc>
        <w:tc>
          <w:tcPr>
            <w:tcW w:w="4611" w:type="dxa"/>
          </w:tcPr>
          <w:p w14:paraId="53C1A636" w14:textId="77777777" w:rsidR="00C11B6F" w:rsidRPr="0016460E" w:rsidRDefault="00C11B6F" w:rsidP="00CF01E1">
            <w:pPr>
              <w:jc w:val="left"/>
              <w:rPr>
                <w:rFonts w:ascii="Arial" w:hAnsi="Arial" w:cs="Arial"/>
              </w:rPr>
            </w:pPr>
            <w:r w:rsidRPr="0016460E">
              <w:rPr>
                <w:rFonts w:ascii="Arial" w:hAnsi="Arial" w:cs="Arial"/>
                <w:b/>
                <w:bCs/>
              </w:rPr>
              <w:t>02 Search Strategy</w:t>
            </w:r>
            <w:r w:rsidRPr="0016460E">
              <w:rPr>
                <w:rFonts w:ascii="Arial" w:hAnsi="Arial" w:cs="Arial"/>
              </w:rPr>
              <w:t xml:space="preserve"> </w:t>
            </w:r>
          </w:p>
          <w:p w14:paraId="471241B4" w14:textId="77777777" w:rsidR="00C11B6F" w:rsidRPr="0016460E" w:rsidRDefault="00C11B6F" w:rsidP="00CF01E1">
            <w:pPr>
              <w:jc w:val="left"/>
              <w:rPr>
                <w:rFonts w:ascii="Arial" w:hAnsi="Arial" w:cs="Arial"/>
              </w:rPr>
            </w:pPr>
            <w:r w:rsidRPr="0016460E">
              <w:rPr>
                <w:rFonts w:ascii="Arial" w:hAnsi="Arial" w:cs="Arial"/>
              </w:rPr>
              <w:br/>
              <w:t>Search strategy in secondary research refers to a systematic and logical pattern by which the literature that is relevant in the scholarly domain can be located, retrieved and selected in a clear and repeatable manner (Chigbu, Atiku and Du Plessis, 2023). A predetermined search strategy would have been applied in this research to offer uniformity, reduce bias and a high level of evidence related to mobile mental health applications.</w:t>
            </w:r>
          </w:p>
          <w:p w14:paraId="226F794C" w14:textId="77777777" w:rsidR="00C11B6F" w:rsidRPr="0016460E" w:rsidRDefault="00C11B6F" w:rsidP="00CF01E1">
            <w:pPr>
              <w:jc w:val="left"/>
              <w:rPr>
                <w:rFonts w:ascii="Arial" w:hAnsi="Arial" w:cs="Arial"/>
              </w:rPr>
            </w:pPr>
            <w:r w:rsidRPr="0016460E">
              <w:rPr>
                <w:rFonts w:ascii="Arial" w:hAnsi="Arial" w:cs="Arial"/>
              </w:rPr>
              <w:t xml:space="preserve">The keywords were primarily the combination of </w:t>
            </w:r>
            <w:r w:rsidRPr="0016460E">
              <w:rPr>
                <w:rFonts w:ascii="Arial" w:hAnsi="Arial" w:cs="Arial"/>
                <w:i/>
                <w:iCs/>
              </w:rPr>
              <w:t xml:space="preserve">mobile mental health applications, digital mental health, anxiety applications, depression applications, user engagement and accessibility. </w:t>
            </w:r>
            <w:r w:rsidRPr="0016460E">
              <w:rPr>
                <w:rFonts w:ascii="Arial" w:hAnsi="Arial" w:cs="Arial"/>
              </w:rPr>
              <w:t xml:space="preserve">Refinement of results was done with the help of Boolean (AND/ OR) operators to conform to the research purpose. </w:t>
            </w:r>
          </w:p>
        </w:tc>
      </w:tr>
      <w:tr w:rsidR="00E8758D" w:rsidRPr="0016460E" w14:paraId="4A3DBF11" w14:textId="77777777" w:rsidTr="00954758">
        <w:trPr>
          <w:trHeight w:val="1856"/>
          <w:jc w:val="center"/>
        </w:trPr>
        <w:tc>
          <w:tcPr>
            <w:tcW w:w="4405" w:type="dxa"/>
          </w:tcPr>
          <w:p w14:paraId="277C46F8" w14:textId="77777777" w:rsidR="00C11B6F" w:rsidRPr="0016460E" w:rsidRDefault="00C11B6F" w:rsidP="00CF01E1">
            <w:pPr>
              <w:jc w:val="left"/>
              <w:rPr>
                <w:rFonts w:ascii="Arial" w:hAnsi="Arial" w:cs="Arial"/>
              </w:rPr>
            </w:pPr>
            <w:r w:rsidRPr="0016460E">
              <w:rPr>
                <w:rFonts w:ascii="Arial" w:hAnsi="Arial" w:cs="Arial"/>
                <w:b/>
                <w:bCs/>
              </w:rPr>
              <w:lastRenderedPageBreak/>
              <w:t>03</w:t>
            </w:r>
            <w:r w:rsidRPr="0016460E">
              <w:rPr>
                <w:rFonts w:ascii="Arial" w:hAnsi="Arial" w:cs="Arial"/>
              </w:rPr>
              <w:t xml:space="preserve"> </w:t>
            </w:r>
            <w:r w:rsidRPr="0016460E">
              <w:rPr>
                <w:rFonts w:ascii="Arial" w:hAnsi="Arial" w:cs="Arial"/>
                <w:b/>
                <w:bCs/>
              </w:rPr>
              <w:t>Searching for Information</w:t>
            </w:r>
            <w:r w:rsidRPr="0016460E">
              <w:rPr>
                <w:rFonts w:ascii="Arial" w:hAnsi="Arial" w:cs="Arial"/>
              </w:rPr>
              <w:t xml:space="preserve"> </w:t>
            </w:r>
          </w:p>
          <w:p w14:paraId="65BB6D49" w14:textId="77777777" w:rsidR="00C11B6F" w:rsidRPr="0016460E" w:rsidRDefault="00C11B6F" w:rsidP="00CF01E1">
            <w:pPr>
              <w:jc w:val="left"/>
              <w:rPr>
                <w:rFonts w:ascii="Arial" w:hAnsi="Arial" w:cs="Arial"/>
              </w:rPr>
            </w:pPr>
            <w:r w:rsidRPr="0016460E">
              <w:rPr>
                <w:rFonts w:ascii="Arial" w:hAnsi="Arial" w:cs="Arial"/>
              </w:rPr>
              <w:t>The academic databases were used to collect information such as Google Scholar, PubMed, Science Direct and university library databases. The search was done in a stepwise manner. First, wide searches of keywords were performed to define the amount of research that has been done in the field. Second, the filters that were used were publication date, peer-reviewed status, and relevance to mental health outcomes. Third, abstracts were checked based on their suitability, and then all the studies were screened using their full texts.</w:t>
            </w:r>
          </w:p>
          <w:p w14:paraId="625C7783" w14:textId="77777777" w:rsidR="00C11B6F" w:rsidRPr="0016460E" w:rsidRDefault="00C11B6F" w:rsidP="00CF01E1">
            <w:pPr>
              <w:jc w:val="left"/>
              <w:rPr>
                <w:rFonts w:ascii="Arial" w:hAnsi="Arial" w:cs="Arial"/>
              </w:rPr>
            </w:pPr>
            <w:r w:rsidRPr="0016460E">
              <w:rPr>
                <w:rFonts w:ascii="Arial" w:hAnsi="Arial" w:cs="Arial"/>
              </w:rPr>
              <w:t xml:space="preserve">This methodology was used to guarantee that only the high-quality literature directly related to mobile mental health applications was used to conduct the research (Koh, </w:t>
            </w:r>
            <w:proofErr w:type="spellStart"/>
            <w:r w:rsidRPr="0016460E">
              <w:rPr>
                <w:rFonts w:ascii="Arial" w:hAnsi="Arial" w:cs="Arial"/>
              </w:rPr>
              <w:t>Tng</w:t>
            </w:r>
            <w:proofErr w:type="spellEnd"/>
            <w:r w:rsidRPr="0016460E">
              <w:rPr>
                <w:rFonts w:ascii="Arial" w:hAnsi="Arial" w:cs="Arial"/>
              </w:rPr>
              <w:t xml:space="preserve"> and Hartanto, 2022).</w:t>
            </w:r>
          </w:p>
        </w:tc>
        <w:tc>
          <w:tcPr>
            <w:tcW w:w="4611" w:type="dxa"/>
          </w:tcPr>
          <w:p w14:paraId="1061CF4F" w14:textId="77777777" w:rsidR="00C11B6F" w:rsidRPr="0016460E" w:rsidRDefault="00C11B6F" w:rsidP="00CF01E1">
            <w:pPr>
              <w:jc w:val="left"/>
              <w:rPr>
                <w:rFonts w:ascii="Arial" w:hAnsi="Arial" w:cs="Arial"/>
                <w:b/>
                <w:bCs/>
              </w:rPr>
            </w:pPr>
            <w:r w:rsidRPr="0016460E">
              <w:rPr>
                <w:rFonts w:ascii="Arial" w:hAnsi="Arial" w:cs="Arial"/>
                <w:b/>
                <w:bCs/>
              </w:rPr>
              <w:t>04</w:t>
            </w:r>
            <w:r w:rsidRPr="0016460E">
              <w:rPr>
                <w:rFonts w:ascii="Arial" w:hAnsi="Arial" w:cs="Arial"/>
              </w:rPr>
              <w:t xml:space="preserve"> </w:t>
            </w:r>
            <w:r w:rsidRPr="0016460E">
              <w:rPr>
                <w:rFonts w:ascii="Arial" w:hAnsi="Arial" w:cs="Arial"/>
                <w:b/>
                <w:bCs/>
              </w:rPr>
              <w:t xml:space="preserve">Picture </w:t>
            </w:r>
          </w:p>
          <w:p w14:paraId="135AC0B3" w14:textId="77777777" w:rsidR="00C11B6F" w:rsidRPr="0016460E" w:rsidRDefault="00C11B6F" w:rsidP="00CF01E1">
            <w:pPr>
              <w:jc w:val="left"/>
              <w:rPr>
                <w:rFonts w:ascii="Arial" w:hAnsi="Arial" w:cs="Arial"/>
                <w:noProof/>
              </w:rPr>
            </w:pPr>
            <w:r w:rsidRPr="0016460E">
              <w:rPr>
                <w:rFonts w:ascii="Arial" w:hAnsi="Arial" w:cs="Arial"/>
                <w:noProof/>
              </w:rPr>
              <w:drawing>
                <wp:inline distT="0" distB="0" distL="0" distR="0" wp14:anchorId="50457843" wp14:editId="14237104">
                  <wp:extent cx="3264310" cy="2617076"/>
                  <wp:effectExtent l="0" t="0" r="0" b="0"/>
                  <wp:docPr id="59840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01786" name=""/>
                          <pic:cNvPicPr/>
                        </pic:nvPicPr>
                        <pic:blipFill>
                          <a:blip r:embed="rId11"/>
                          <a:stretch>
                            <a:fillRect/>
                          </a:stretch>
                        </pic:blipFill>
                        <pic:spPr>
                          <a:xfrm>
                            <a:off x="0" y="0"/>
                            <a:ext cx="3278416" cy="2628385"/>
                          </a:xfrm>
                          <a:prstGeom prst="rect">
                            <a:avLst/>
                          </a:prstGeom>
                        </pic:spPr>
                      </pic:pic>
                    </a:graphicData>
                  </a:graphic>
                </wp:inline>
              </w:drawing>
            </w:r>
            <w:r w:rsidRPr="0016460E">
              <w:rPr>
                <w:rFonts w:ascii="Arial" w:hAnsi="Arial" w:cs="Arial"/>
                <w:noProof/>
              </w:rPr>
              <mc:AlternateContent>
                <mc:Choice Requires="wps">
                  <w:drawing>
                    <wp:inline distT="0" distB="0" distL="0" distR="0" wp14:anchorId="2EB375A7" wp14:editId="35B56148">
                      <wp:extent cx="308610" cy="308610"/>
                      <wp:effectExtent l="0" t="0" r="0" b="0"/>
                      <wp:docPr id="412625825" name="Rectangle 2" descr="Person holding a smartphone displaying a meditation app interfa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D41F79" id="Rectangle 2" o:spid="_x0000_s1026" alt="Person holding a smartphone displaying a meditation app interfac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1B9F52F2" w14:textId="77777777" w:rsidR="00C11B6F" w:rsidRPr="0016460E" w:rsidRDefault="00C11B6F" w:rsidP="00CF01E1">
            <w:pPr>
              <w:jc w:val="left"/>
              <w:rPr>
                <w:rFonts w:ascii="Arial" w:hAnsi="Arial" w:cs="Arial"/>
                <w:b/>
                <w:bCs/>
              </w:rPr>
            </w:pPr>
            <w:r w:rsidRPr="0016460E">
              <w:rPr>
                <w:rFonts w:ascii="Arial" w:hAnsi="Arial" w:cs="Arial"/>
                <w:noProof/>
              </w:rPr>
              <w:t xml:space="preserve">Source: </w:t>
            </w:r>
            <w:r w:rsidRPr="0016460E">
              <w:rPr>
                <w:rFonts w:ascii="Arial" w:hAnsi="Arial" w:cs="Arial"/>
              </w:rPr>
              <w:t>(Morin, 2019)</w:t>
            </w:r>
          </w:p>
        </w:tc>
      </w:tr>
      <w:tr w:rsidR="00E8758D" w:rsidRPr="0016460E" w14:paraId="069458E7" w14:textId="77777777" w:rsidTr="00954758">
        <w:trPr>
          <w:trHeight w:val="983"/>
          <w:jc w:val="center"/>
        </w:trPr>
        <w:tc>
          <w:tcPr>
            <w:tcW w:w="9016" w:type="dxa"/>
            <w:gridSpan w:val="2"/>
          </w:tcPr>
          <w:p w14:paraId="3DD7CF02" w14:textId="77777777" w:rsidR="00C11B6F" w:rsidRPr="0016460E" w:rsidRDefault="00C11B6F" w:rsidP="00CF01E1">
            <w:pPr>
              <w:jc w:val="left"/>
              <w:rPr>
                <w:rFonts w:ascii="Arial" w:hAnsi="Arial" w:cs="Arial"/>
                <w:b/>
                <w:bCs/>
              </w:rPr>
            </w:pPr>
            <w:r w:rsidRPr="0016460E">
              <w:rPr>
                <w:rFonts w:ascii="Arial" w:hAnsi="Arial" w:cs="Arial"/>
                <w:b/>
                <w:bCs/>
              </w:rPr>
              <w:t>05</w:t>
            </w:r>
            <w:r w:rsidRPr="0016460E">
              <w:rPr>
                <w:rFonts w:ascii="Arial" w:hAnsi="Arial" w:cs="Arial"/>
              </w:rPr>
              <w:t xml:space="preserve"> </w:t>
            </w:r>
            <w:r w:rsidRPr="0016460E">
              <w:rPr>
                <w:rFonts w:ascii="Arial" w:hAnsi="Arial" w:cs="Arial"/>
                <w:b/>
                <w:bCs/>
              </w:rPr>
              <w:t>Research Validation and Analysis</w:t>
            </w:r>
          </w:p>
          <w:p w14:paraId="1B2D65C8" w14:textId="77777777" w:rsidR="00C11B6F" w:rsidRPr="0016460E" w:rsidRDefault="00C11B6F" w:rsidP="00CF01E1">
            <w:pPr>
              <w:jc w:val="left"/>
              <w:rPr>
                <w:rFonts w:ascii="Arial" w:hAnsi="Arial" w:cs="Arial"/>
              </w:rPr>
            </w:pPr>
            <w:r w:rsidRPr="0016460E">
              <w:rPr>
                <w:rFonts w:ascii="Arial" w:hAnsi="Arial" w:cs="Arial"/>
              </w:rPr>
              <w:t>Validation of secondary research means ascertaining that the sources chosen are credible, reliable and methodologically proper, making research results more credible (Wickham, 2020). Validation was realised by putting an emphasis on peer-reviewed journal articles, systematic reviews and studies that had straightforward methodologies.</w:t>
            </w:r>
          </w:p>
          <w:p w14:paraId="37A66C45" w14:textId="77777777" w:rsidR="00C11B6F" w:rsidRPr="0016460E" w:rsidRDefault="00C11B6F" w:rsidP="00CF01E1">
            <w:pPr>
              <w:jc w:val="left"/>
              <w:rPr>
                <w:rFonts w:ascii="Arial" w:hAnsi="Arial" w:cs="Arial"/>
              </w:rPr>
            </w:pPr>
            <w:r w:rsidRPr="0016460E">
              <w:rPr>
                <w:rFonts w:ascii="Arial" w:hAnsi="Arial" w:cs="Arial"/>
              </w:rPr>
              <w:t xml:space="preserve">Dependence on published research could curtail access to unpublished or developing evidence. Nevertheless, </w:t>
            </w:r>
            <w:proofErr w:type="gramStart"/>
            <w:r w:rsidRPr="0016460E">
              <w:rPr>
                <w:rFonts w:ascii="Arial" w:hAnsi="Arial" w:cs="Arial"/>
              </w:rPr>
              <w:t>in spite of</w:t>
            </w:r>
            <w:proofErr w:type="gramEnd"/>
            <w:r w:rsidRPr="0016460E">
              <w:rPr>
                <w:rFonts w:ascii="Arial" w:hAnsi="Arial" w:cs="Arial"/>
              </w:rPr>
              <w:t xml:space="preserve"> this weakness, validation contributes to academic validity. The analysis of the secondary research engagement can be described as the systematic interpretation of the previously existing information to find patterns and insights (Naeem et al., 2023). The thematic analysis in this investigation was applied to elicit recurrent themes, including the effectiveness of the app, engagement of the user, barriers to accessibility, and ethical issues.</w:t>
            </w:r>
          </w:p>
        </w:tc>
      </w:tr>
      <w:tr w:rsidR="00E8758D" w:rsidRPr="0016460E" w14:paraId="01BB0961" w14:textId="77777777" w:rsidTr="00954758">
        <w:trPr>
          <w:trHeight w:val="260"/>
          <w:jc w:val="center"/>
        </w:trPr>
        <w:tc>
          <w:tcPr>
            <w:tcW w:w="4405" w:type="dxa"/>
          </w:tcPr>
          <w:p w14:paraId="0423547D" w14:textId="77777777" w:rsidR="00C11B6F" w:rsidRPr="0016460E" w:rsidRDefault="00C11B6F" w:rsidP="00CF01E1">
            <w:pPr>
              <w:jc w:val="left"/>
              <w:rPr>
                <w:rFonts w:ascii="Arial" w:hAnsi="Arial" w:cs="Arial"/>
              </w:rPr>
            </w:pPr>
            <w:r w:rsidRPr="0016460E">
              <w:rPr>
                <w:rFonts w:ascii="Arial" w:hAnsi="Arial" w:cs="Arial"/>
                <w:b/>
                <w:bCs/>
              </w:rPr>
              <w:lastRenderedPageBreak/>
              <w:t>06</w:t>
            </w:r>
            <w:r w:rsidRPr="0016460E">
              <w:rPr>
                <w:rFonts w:ascii="Arial" w:hAnsi="Arial" w:cs="Arial"/>
              </w:rPr>
              <w:t xml:space="preserve"> </w:t>
            </w:r>
            <w:r w:rsidRPr="0016460E">
              <w:rPr>
                <w:rFonts w:ascii="Arial" w:hAnsi="Arial" w:cs="Arial"/>
                <w:b/>
                <w:bCs/>
              </w:rPr>
              <w:t>Inclusion Criteria</w:t>
            </w:r>
            <w:r w:rsidRPr="0016460E">
              <w:rPr>
                <w:rFonts w:ascii="Arial" w:hAnsi="Arial" w:cs="Arial"/>
              </w:rPr>
              <w:t xml:space="preserve"> </w:t>
            </w:r>
          </w:p>
          <w:p w14:paraId="5A6CE639" w14:textId="77777777" w:rsidR="00C11B6F" w:rsidRPr="0016460E" w:rsidRDefault="00C11B6F" w:rsidP="00CF01E1">
            <w:pPr>
              <w:numPr>
                <w:ilvl w:val="0"/>
                <w:numId w:val="160"/>
              </w:numPr>
              <w:spacing w:after="220"/>
              <w:contextualSpacing/>
              <w:jc w:val="left"/>
              <w:rPr>
                <w:rFonts w:ascii="Arial" w:hAnsi="Arial" w:cs="Arial"/>
              </w:rPr>
            </w:pPr>
            <w:r w:rsidRPr="0016460E">
              <w:rPr>
                <w:rFonts w:ascii="Arial" w:hAnsi="Arial" w:cs="Arial"/>
              </w:rPr>
              <w:t>Peer-reviewed sources published within the last 10 years</w:t>
            </w:r>
          </w:p>
          <w:p w14:paraId="1EC8F5FF" w14:textId="77777777" w:rsidR="00C11B6F" w:rsidRPr="0016460E" w:rsidRDefault="00C11B6F" w:rsidP="00CF01E1">
            <w:pPr>
              <w:numPr>
                <w:ilvl w:val="0"/>
                <w:numId w:val="160"/>
              </w:numPr>
              <w:spacing w:after="220"/>
              <w:contextualSpacing/>
              <w:jc w:val="left"/>
              <w:rPr>
                <w:rFonts w:ascii="Arial" w:hAnsi="Arial" w:cs="Arial"/>
              </w:rPr>
            </w:pPr>
            <w:r w:rsidRPr="0016460E">
              <w:rPr>
                <w:rFonts w:ascii="Arial" w:hAnsi="Arial" w:cs="Arial"/>
              </w:rPr>
              <w:t>Studies focusing on mobile mental health applications</w:t>
            </w:r>
          </w:p>
          <w:p w14:paraId="1E91F096" w14:textId="77777777" w:rsidR="00C11B6F" w:rsidRPr="0016460E" w:rsidRDefault="00C11B6F" w:rsidP="00CF01E1">
            <w:pPr>
              <w:numPr>
                <w:ilvl w:val="0"/>
                <w:numId w:val="160"/>
              </w:numPr>
              <w:spacing w:after="220"/>
              <w:contextualSpacing/>
              <w:jc w:val="left"/>
              <w:rPr>
                <w:rFonts w:ascii="Arial" w:hAnsi="Arial" w:cs="Arial"/>
              </w:rPr>
            </w:pPr>
            <w:r w:rsidRPr="0016460E">
              <w:rPr>
                <w:rFonts w:ascii="Arial" w:hAnsi="Arial" w:cs="Arial"/>
              </w:rPr>
              <w:t>Articles written in English</w:t>
            </w:r>
          </w:p>
          <w:p w14:paraId="5FC75FC4" w14:textId="77777777" w:rsidR="00C11B6F" w:rsidRPr="0016460E" w:rsidRDefault="00C11B6F" w:rsidP="00CF01E1">
            <w:pPr>
              <w:numPr>
                <w:ilvl w:val="0"/>
                <w:numId w:val="160"/>
              </w:numPr>
              <w:spacing w:after="220"/>
              <w:contextualSpacing/>
              <w:jc w:val="left"/>
              <w:rPr>
                <w:rFonts w:ascii="Arial" w:hAnsi="Arial" w:cs="Arial"/>
              </w:rPr>
            </w:pPr>
            <w:r w:rsidRPr="0016460E">
              <w:rPr>
                <w:rFonts w:ascii="Arial" w:hAnsi="Arial" w:cs="Arial"/>
              </w:rPr>
              <w:t xml:space="preserve">Sources with full-text online accessibility </w:t>
            </w:r>
          </w:p>
        </w:tc>
        <w:tc>
          <w:tcPr>
            <w:tcW w:w="4611" w:type="dxa"/>
          </w:tcPr>
          <w:p w14:paraId="7EB1C1A9" w14:textId="77777777" w:rsidR="00C11B6F" w:rsidRPr="0016460E" w:rsidRDefault="00C11B6F" w:rsidP="00CF01E1">
            <w:pPr>
              <w:jc w:val="left"/>
              <w:rPr>
                <w:rFonts w:ascii="Arial" w:hAnsi="Arial" w:cs="Arial"/>
              </w:rPr>
            </w:pPr>
            <w:r w:rsidRPr="0016460E">
              <w:rPr>
                <w:rFonts w:ascii="Arial" w:hAnsi="Arial" w:cs="Arial"/>
                <w:b/>
                <w:bCs/>
              </w:rPr>
              <w:t>07</w:t>
            </w:r>
            <w:r w:rsidRPr="0016460E">
              <w:rPr>
                <w:rFonts w:ascii="Arial" w:hAnsi="Arial" w:cs="Arial"/>
              </w:rPr>
              <w:t xml:space="preserve"> </w:t>
            </w:r>
            <w:r w:rsidRPr="0016460E">
              <w:rPr>
                <w:rFonts w:ascii="Arial" w:hAnsi="Arial" w:cs="Arial"/>
                <w:b/>
                <w:bCs/>
              </w:rPr>
              <w:t>Exclusion Criteria</w:t>
            </w:r>
            <w:r w:rsidRPr="0016460E">
              <w:rPr>
                <w:rFonts w:ascii="Arial" w:hAnsi="Arial" w:cs="Arial"/>
              </w:rPr>
              <w:t xml:space="preserve"> </w:t>
            </w:r>
          </w:p>
          <w:p w14:paraId="045F59F9" w14:textId="77777777" w:rsidR="00C11B6F" w:rsidRPr="0016460E" w:rsidRDefault="00C11B6F" w:rsidP="00CF01E1">
            <w:pPr>
              <w:numPr>
                <w:ilvl w:val="0"/>
                <w:numId w:val="161"/>
              </w:numPr>
              <w:spacing w:after="220"/>
              <w:contextualSpacing/>
              <w:jc w:val="left"/>
              <w:rPr>
                <w:rFonts w:ascii="Arial" w:hAnsi="Arial" w:cs="Arial"/>
                <w:b/>
                <w:bCs/>
              </w:rPr>
            </w:pPr>
            <w:r w:rsidRPr="0016460E">
              <w:rPr>
                <w:rFonts w:ascii="Arial" w:hAnsi="Arial" w:cs="Arial"/>
                <w:b/>
                <w:bCs/>
              </w:rPr>
              <w:t>Sources published more than 10 years ago</w:t>
            </w:r>
          </w:p>
          <w:p w14:paraId="590B5662" w14:textId="77777777" w:rsidR="00C11B6F" w:rsidRPr="0016460E" w:rsidRDefault="00C11B6F" w:rsidP="00CF01E1">
            <w:pPr>
              <w:numPr>
                <w:ilvl w:val="0"/>
                <w:numId w:val="161"/>
              </w:numPr>
              <w:spacing w:after="220"/>
              <w:contextualSpacing/>
              <w:jc w:val="left"/>
              <w:rPr>
                <w:rFonts w:ascii="Arial" w:hAnsi="Arial" w:cs="Arial"/>
                <w:b/>
                <w:bCs/>
              </w:rPr>
            </w:pPr>
            <w:r w:rsidRPr="0016460E">
              <w:rPr>
                <w:rFonts w:ascii="Arial" w:hAnsi="Arial" w:cs="Arial"/>
                <w:b/>
                <w:bCs/>
              </w:rPr>
              <w:t>Studies unrelated to digital or mobile mental health</w:t>
            </w:r>
          </w:p>
          <w:p w14:paraId="22FDDEE5" w14:textId="77777777" w:rsidR="00C11B6F" w:rsidRPr="0016460E" w:rsidRDefault="00C11B6F" w:rsidP="00CF01E1">
            <w:pPr>
              <w:numPr>
                <w:ilvl w:val="0"/>
                <w:numId w:val="161"/>
              </w:numPr>
              <w:spacing w:after="220"/>
              <w:contextualSpacing/>
              <w:jc w:val="left"/>
              <w:rPr>
                <w:rFonts w:ascii="Arial" w:hAnsi="Arial" w:cs="Arial"/>
                <w:b/>
                <w:bCs/>
              </w:rPr>
            </w:pPr>
            <w:r w:rsidRPr="0016460E">
              <w:rPr>
                <w:rFonts w:ascii="Arial" w:hAnsi="Arial" w:cs="Arial"/>
                <w:b/>
                <w:bCs/>
              </w:rPr>
              <w:t>Non-peer-reviewed articles and opinion pieces</w:t>
            </w:r>
          </w:p>
          <w:p w14:paraId="005CC33F" w14:textId="77777777" w:rsidR="00C11B6F" w:rsidRPr="0016460E" w:rsidRDefault="00C11B6F" w:rsidP="00CF01E1">
            <w:pPr>
              <w:numPr>
                <w:ilvl w:val="0"/>
                <w:numId w:val="161"/>
              </w:numPr>
              <w:spacing w:after="220"/>
              <w:contextualSpacing/>
              <w:jc w:val="left"/>
              <w:rPr>
                <w:rFonts w:ascii="Arial" w:hAnsi="Arial" w:cs="Arial"/>
                <w:b/>
                <w:bCs/>
              </w:rPr>
            </w:pPr>
            <w:r w:rsidRPr="0016460E">
              <w:rPr>
                <w:rFonts w:ascii="Arial" w:hAnsi="Arial" w:cs="Arial"/>
                <w:b/>
                <w:bCs/>
              </w:rPr>
              <w:t>Articles without full-text access</w:t>
            </w:r>
            <w:r w:rsidRPr="0016460E">
              <w:rPr>
                <w:rFonts w:ascii="Arial" w:hAnsi="Arial" w:cs="Arial"/>
              </w:rPr>
              <w:t xml:space="preserve"> </w:t>
            </w:r>
          </w:p>
        </w:tc>
      </w:tr>
      <w:tr w:rsidR="00E8758D" w:rsidRPr="0016460E" w14:paraId="12513406" w14:textId="77777777" w:rsidTr="00954758">
        <w:trPr>
          <w:trHeight w:val="1798"/>
          <w:jc w:val="center"/>
        </w:trPr>
        <w:tc>
          <w:tcPr>
            <w:tcW w:w="9016" w:type="dxa"/>
            <w:gridSpan w:val="2"/>
          </w:tcPr>
          <w:p w14:paraId="7F637845" w14:textId="77777777" w:rsidR="00C11B6F" w:rsidRPr="0016460E" w:rsidRDefault="00C11B6F" w:rsidP="00CF01E1">
            <w:pPr>
              <w:jc w:val="left"/>
              <w:rPr>
                <w:rFonts w:ascii="Arial" w:hAnsi="Arial" w:cs="Arial"/>
                <w:b/>
                <w:bCs/>
              </w:rPr>
            </w:pPr>
            <w:r w:rsidRPr="0016460E">
              <w:rPr>
                <w:rFonts w:ascii="Arial" w:hAnsi="Arial" w:cs="Arial"/>
                <w:b/>
                <w:bCs/>
              </w:rPr>
              <w:t>08</w:t>
            </w:r>
            <w:r w:rsidRPr="0016460E">
              <w:rPr>
                <w:rFonts w:ascii="Arial" w:hAnsi="Arial" w:cs="Arial"/>
              </w:rPr>
              <w:t xml:space="preserve"> </w:t>
            </w:r>
            <w:r w:rsidRPr="0016460E">
              <w:rPr>
                <w:rFonts w:ascii="Arial" w:hAnsi="Arial" w:cs="Arial"/>
                <w:b/>
                <w:bCs/>
              </w:rPr>
              <w:t>Ethical Considerations</w:t>
            </w:r>
          </w:p>
          <w:p w14:paraId="2609F9D3" w14:textId="6BC9230A" w:rsidR="00C11B6F" w:rsidRPr="0016460E" w:rsidRDefault="00C11B6F" w:rsidP="00CF01E1">
            <w:pPr>
              <w:spacing w:before="240"/>
              <w:jc w:val="left"/>
              <w:rPr>
                <w:rFonts w:ascii="Arial" w:hAnsi="Arial" w:cs="Arial"/>
              </w:rPr>
            </w:pPr>
            <w:r w:rsidRPr="0016460E">
              <w:rPr>
                <w:rFonts w:ascii="Arial" w:hAnsi="Arial" w:cs="Arial"/>
              </w:rPr>
              <w:t>Ethics in secondary research belong to responsible and clear utilisation of existing data, as well as academic integrity, rights protection, and respect towards legal and professional standards of treatment of people (Ali et al., 2025).</w:t>
            </w:r>
          </w:p>
          <w:p w14:paraId="67C1D690" w14:textId="07FBCDD3" w:rsidR="00C11B6F" w:rsidRPr="0016460E" w:rsidRDefault="00C11B6F" w:rsidP="00CF01E1">
            <w:pPr>
              <w:jc w:val="left"/>
              <w:rPr>
                <w:rFonts w:ascii="Arial" w:hAnsi="Arial" w:cs="Arial"/>
              </w:rPr>
            </w:pPr>
          </w:p>
        </w:tc>
      </w:tr>
    </w:tbl>
    <w:p w14:paraId="0931E953" w14:textId="1E523351" w:rsidR="007D71D0" w:rsidRPr="0016460E" w:rsidRDefault="00125D42" w:rsidP="00CF01E1">
      <w:pPr>
        <w:jc w:val="left"/>
        <w:rPr>
          <w:rFonts w:ascii="Arial" w:hAnsi="Arial" w:cs="Arial"/>
        </w:rPr>
      </w:pPr>
      <w:r w:rsidRPr="0016460E">
        <w:rPr>
          <w:rFonts w:ascii="Arial" w:hAnsi="Arial" w:cs="Arial"/>
          <w:noProof/>
        </w:rPr>
        <w:drawing>
          <wp:anchor distT="0" distB="0" distL="114300" distR="114300" simplePos="0" relativeHeight="251660288" behindDoc="1" locked="0" layoutInCell="1" allowOverlap="1" wp14:anchorId="0A61EA4A" wp14:editId="3C7CB6ED">
            <wp:simplePos x="0" y="0"/>
            <wp:positionH relativeFrom="column">
              <wp:posOffset>482600</wp:posOffset>
            </wp:positionH>
            <wp:positionV relativeFrom="paragraph">
              <wp:posOffset>46422</wp:posOffset>
            </wp:positionV>
            <wp:extent cx="4937961" cy="1852864"/>
            <wp:effectExtent l="19050" t="0" r="15240" b="0"/>
            <wp:wrapTight wrapText="bothSides">
              <wp:wrapPolygon edited="0">
                <wp:start x="-83" y="2221"/>
                <wp:lineTo x="-83" y="19327"/>
                <wp:lineTo x="21583" y="19327"/>
                <wp:lineTo x="21583" y="2221"/>
                <wp:lineTo x="-83" y="2221"/>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143DD63A" w14:textId="77777777" w:rsidR="007D71D0" w:rsidRPr="0016460E" w:rsidRDefault="007D71D0" w:rsidP="00CF01E1">
      <w:pPr>
        <w:jc w:val="left"/>
        <w:rPr>
          <w:rFonts w:ascii="Arial" w:hAnsi="Arial" w:cs="Arial"/>
        </w:rPr>
      </w:pPr>
    </w:p>
    <w:p w14:paraId="5601F2BE" w14:textId="77777777" w:rsidR="007D71D0" w:rsidRPr="0016460E" w:rsidRDefault="007D71D0" w:rsidP="00CF01E1">
      <w:pPr>
        <w:jc w:val="left"/>
        <w:rPr>
          <w:rFonts w:ascii="Arial" w:hAnsi="Arial" w:cs="Arial"/>
        </w:rPr>
      </w:pPr>
    </w:p>
    <w:p w14:paraId="23BB375C" w14:textId="77777777" w:rsidR="007D71D0" w:rsidRPr="0016460E" w:rsidRDefault="007D71D0" w:rsidP="00CF01E1">
      <w:pPr>
        <w:jc w:val="left"/>
        <w:rPr>
          <w:rFonts w:ascii="Arial" w:hAnsi="Arial" w:cs="Arial"/>
        </w:rPr>
      </w:pPr>
    </w:p>
    <w:p w14:paraId="3430BD4D" w14:textId="77777777" w:rsidR="007D71D0" w:rsidRPr="0016460E" w:rsidRDefault="007D71D0" w:rsidP="00CF01E1">
      <w:pPr>
        <w:jc w:val="left"/>
        <w:rPr>
          <w:rFonts w:ascii="Arial" w:hAnsi="Arial" w:cs="Arial"/>
        </w:rPr>
      </w:pPr>
    </w:p>
    <w:p w14:paraId="2963B65C" w14:textId="77777777" w:rsidR="005E2F9D" w:rsidRPr="0016460E" w:rsidRDefault="005E2F9D" w:rsidP="00CF01E1">
      <w:pPr>
        <w:jc w:val="left"/>
        <w:rPr>
          <w:rFonts w:ascii="Arial" w:hAnsi="Arial" w:cs="Arial"/>
          <w:b/>
          <w:bCs/>
        </w:rPr>
      </w:pPr>
    </w:p>
    <w:p w14:paraId="4987D399" w14:textId="77777777" w:rsidR="005E2F9D" w:rsidRPr="0016460E" w:rsidRDefault="005E2F9D" w:rsidP="00CF01E1">
      <w:pPr>
        <w:jc w:val="left"/>
        <w:rPr>
          <w:rFonts w:ascii="Arial" w:hAnsi="Arial" w:cs="Arial"/>
          <w:b/>
          <w:bCs/>
        </w:rPr>
      </w:pPr>
    </w:p>
    <w:p w14:paraId="34124DED" w14:textId="77777777" w:rsidR="005E2F9D" w:rsidRPr="0016460E" w:rsidRDefault="005E2F9D" w:rsidP="00CF01E1">
      <w:pPr>
        <w:jc w:val="left"/>
        <w:rPr>
          <w:rFonts w:ascii="Arial" w:hAnsi="Arial" w:cs="Arial"/>
          <w:b/>
          <w:bCs/>
        </w:rPr>
      </w:pPr>
    </w:p>
    <w:p w14:paraId="0268FF9F" w14:textId="77777777" w:rsidR="005E2F9D" w:rsidRPr="0016460E" w:rsidRDefault="005E2F9D" w:rsidP="00CF01E1">
      <w:pPr>
        <w:jc w:val="left"/>
        <w:rPr>
          <w:rFonts w:ascii="Arial" w:hAnsi="Arial" w:cs="Arial"/>
          <w:b/>
          <w:bCs/>
        </w:rPr>
      </w:pPr>
    </w:p>
    <w:p w14:paraId="0CEFF9A6" w14:textId="77777777" w:rsidR="005E2F9D" w:rsidRPr="0016460E" w:rsidRDefault="005E2F9D" w:rsidP="00CF01E1">
      <w:pPr>
        <w:jc w:val="left"/>
        <w:rPr>
          <w:rFonts w:ascii="Arial" w:hAnsi="Arial" w:cs="Arial"/>
          <w:b/>
          <w:bCs/>
        </w:rPr>
      </w:pPr>
    </w:p>
    <w:p w14:paraId="2669CC40" w14:textId="77777777" w:rsidR="005E2F9D" w:rsidRPr="0016460E" w:rsidRDefault="005E2F9D" w:rsidP="00CF01E1">
      <w:pPr>
        <w:jc w:val="left"/>
        <w:rPr>
          <w:rFonts w:ascii="Arial" w:hAnsi="Arial" w:cs="Arial"/>
          <w:b/>
          <w:bCs/>
        </w:rPr>
      </w:pPr>
    </w:p>
    <w:p w14:paraId="3022EF53" w14:textId="77777777" w:rsidR="005E2F9D" w:rsidRPr="0016460E" w:rsidRDefault="005E2F9D" w:rsidP="00CF01E1">
      <w:pPr>
        <w:jc w:val="left"/>
        <w:rPr>
          <w:rFonts w:ascii="Arial" w:hAnsi="Arial" w:cs="Arial"/>
          <w:b/>
          <w:bCs/>
        </w:rPr>
      </w:pPr>
    </w:p>
    <w:p w14:paraId="69D32B3E" w14:textId="77777777" w:rsidR="00EC468C" w:rsidRPr="0016460E" w:rsidRDefault="00EC468C" w:rsidP="00CF01E1">
      <w:pPr>
        <w:jc w:val="left"/>
        <w:rPr>
          <w:rFonts w:ascii="Arial" w:hAnsi="Arial" w:cs="Arial"/>
          <w:b/>
          <w:bCs/>
        </w:rPr>
      </w:pPr>
    </w:p>
    <w:p w14:paraId="51E38C19" w14:textId="77777777" w:rsidR="00EC468C" w:rsidRPr="0016460E" w:rsidRDefault="00EC468C" w:rsidP="00CF01E1">
      <w:pPr>
        <w:jc w:val="left"/>
        <w:rPr>
          <w:rFonts w:ascii="Arial" w:hAnsi="Arial" w:cs="Arial"/>
          <w:b/>
          <w:bCs/>
        </w:rPr>
      </w:pPr>
    </w:p>
    <w:p w14:paraId="259E29F8" w14:textId="77777777" w:rsidR="00EC468C" w:rsidRPr="0016460E" w:rsidRDefault="00EC468C" w:rsidP="00CF01E1">
      <w:pPr>
        <w:jc w:val="left"/>
        <w:rPr>
          <w:rFonts w:ascii="Arial" w:hAnsi="Arial" w:cs="Arial"/>
          <w:b/>
          <w:bCs/>
        </w:rPr>
      </w:pPr>
    </w:p>
    <w:p w14:paraId="0530E828" w14:textId="77777777" w:rsidR="00EC468C" w:rsidRPr="0016460E" w:rsidRDefault="00EC468C" w:rsidP="00CF01E1">
      <w:pPr>
        <w:jc w:val="left"/>
        <w:rPr>
          <w:rFonts w:ascii="Arial" w:hAnsi="Arial" w:cs="Arial"/>
          <w:b/>
          <w:bCs/>
        </w:rPr>
      </w:pPr>
    </w:p>
    <w:p w14:paraId="31C6AE15" w14:textId="71579F51" w:rsidR="00472D45" w:rsidRPr="0016460E" w:rsidRDefault="00145221" w:rsidP="00CF01E1">
      <w:pPr>
        <w:jc w:val="left"/>
        <w:rPr>
          <w:rFonts w:ascii="Arial" w:hAnsi="Arial" w:cs="Arial"/>
          <w:b/>
          <w:bCs/>
        </w:rPr>
      </w:pPr>
      <w:r w:rsidRPr="0016460E">
        <w:rPr>
          <w:rFonts w:ascii="Arial" w:hAnsi="Arial" w:cs="Arial"/>
          <w:b/>
          <w:bCs/>
        </w:rPr>
        <w:lastRenderedPageBreak/>
        <w:t>Source Tracking Table</w:t>
      </w:r>
    </w:p>
    <w:tbl>
      <w:tblPr>
        <w:tblStyle w:val="PlainTable1"/>
        <w:tblW w:w="10980" w:type="dxa"/>
        <w:jc w:val="center"/>
        <w:tblLook w:val="04A0" w:firstRow="1" w:lastRow="0" w:firstColumn="1" w:lastColumn="0" w:noHBand="0" w:noVBand="1"/>
      </w:tblPr>
      <w:tblGrid>
        <w:gridCol w:w="2357"/>
        <w:gridCol w:w="1958"/>
        <w:gridCol w:w="1620"/>
        <w:gridCol w:w="2558"/>
        <w:gridCol w:w="2487"/>
      </w:tblGrid>
      <w:tr w:rsidR="00E8758D" w:rsidRPr="0016460E" w14:paraId="4A8AD3FB" w14:textId="77777777" w:rsidTr="00FB50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0A17346C" w14:textId="77777777" w:rsidR="0016183C" w:rsidRPr="0016460E" w:rsidRDefault="0016183C" w:rsidP="00CF01E1">
            <w:pPr>
              <w:jc w:val="left"/>
              <w:rPr>
                <w:rFonts w:ascii="Arial" w:hAnsi="Arial" w:cs="Arial"/>
              </w:rPr>
            </w:pPr>
            <w:r w:rsidRPr="0016460E">
              <w:rPr>
                <w:rFonts w:ascii="Arial" w:hAnsi="Arial" w:cs="Arial"/>
              </w:rPr>
              <w:t>Article title</w:t>
            </w:r>
          </w:p>
        </w:tc>
        <w:tc>
          <w:tcPr>
            <w:tcW w:w="1958" w:type="dxa"/>
            <w:hideMark/>
          </w:tcPr>
          <w:p w14:paraId="3742CF2E" w14:textId="77777777" w:rsidR="0016183C" w:rsidRPr="0016460E" w:rsidRDefault="0016183C" w:rsidP="00CF01E1">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Author(s) &amp; year</w:t>
            </w:r>
          </w:p>
        </w:tc>
        <w:tc>
          <w:tcPr>
            <w:tcW w:w="1620" w:type="dxa"/>
            <w:hideMark/>
          </w:tcPr>
          <w:p w14:paraId="1912D72E" w14:textId="42F73140" w:rsidR="0016183C" w:rsidRPr="0016460E" w:rsidRDefault="0016183C" w:rsidP="00CF01E1">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Methodology</w:t>
            </w:r>
          </w:p>
        </w:tc>
        <w:tc>
          <w:tcPr>
            <w:tcW w:w="2558" w:type="dxa"/>
            <w:hideMark/>
          </w:tcPr>
          <w:p w14:paraId="02D5AD6C" w14:textId="77777777" w:rsidR="0016183C" w:rsidRPr="0016460E" w:rsidRDefault="0016183C" w:rsidP="00CF01E1">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Key findings</w:t>
            </w:r>
          </w:p>
        </w:tc>
        <w:tc>
          <w:tcPr>
            <w:tcW w:w="2487" w:type="dxa"/>
            <w:hideMark/>
          </w:tcPr>
          <w:p w14:paraId="5A6AB411" w14:textId="568ADA26" w:rsidR="0016183C" w:rsidRPr="0016460E" w:rsidRDefault="0016183C" w:rsidP="00CF01E1">
            <w:pPr>
              <w:jc w:val="left"/>
              <w:cnfStyle w:val="100000000000" w:firstRow="1"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Theme link</w:t>
            </w:r>
          </w:p>
        </w:tc>
      </w:tr>
      <w:tr w:rsidR="00E8758D" w:rsidRPr="0016460E" w14:paraId="447A2288" w14:textId="77777777" w:rsidTr="00FB50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646C628C" w14:textId="77777777" w:rsidR="0016183C" w:rsidRPr="0016460E" w:rsidRDefault="0016183C" w:rsidP="00CF01E1">
            <w:pPr>
              <w:jc w:val="left"/>
              <w:rPr>
                <w:rFonts w:ascii="Arial" w:hAnsi="Arial" w:cs="Arial"/>
              </w:rPr>
            </w:pPr>
            <w:r w:rsidRPr="0016460E">
              <w:rPr>
                <w:rFonts w:ascii="Arial" w:hAnsi="Arial" w:cs="Arial"/>
              </w:rPr>
              <w:t>Efficacy of a mobile app-based intervention for young adults with anxiety disorders: RCT</w:t>
            </w:r>
          </w:p>
        </w:tc>
        <w:tc>
          <w:tcPr>
            <w:tcW w:w="1958" w:type="dxa"/>
            <w:hideMark/>
          </w:tcPr>
          <w:p w14:paraId="2D0D7A3D"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Bress et al. (2024)</w:t>
            </w:r>
          </w:p>
        </w:tc>
        <w:tc>
          <w:tcPr>
            <w:tcW w:w="1620" w:type="dxa"/>
            <w:hideMark/>
          </w:tcPr>
          <w:p w14:paraId="791746C8"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Randomised controlled trial</w:t>
            </w:r>
          </w:p>
        </w:tc>
        <w:tc>
          <w:tcPr>
            <w:tcW w:w="2558" w:type="dxa"/>
            <w:hideMark/>
          </w:tcPr>
          <w:p w14:paraId="0D035195"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App users showed significant, moderate reductions in anxiety compared with control over 8 weeks.</w:t>
            </w:r>
          </w:p>
        </w:tc>
        <w:tc>
          <w:tcPr>
            <w:tcW w:w="2487" w:type="dxa"/>
            <w:hideMark/>
          </w:tcPr>
          <w:p w14:paraId="535D7C65"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Theme 1 – clinical effectiveness and symptom reduction.</w:t>
            </w:r>
          </w:p>
        </w:tc>
      </w:tr>
      <w:tr w:rsidR="00E8758D" w:rsidRPr="0016460E" w14:paraId="2674D320" w14:textId="77777777" w:rsidTr="00FB5030">
        <w:trPr>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1C8B8E34" w14:textId="77777777" w:rsidR="0016183C" w:rsidRPr="0016460E" w:rsidRDefault="0016183C" w:rsidP="00CF01E1">
            <w:pPr>
              <w:jc w:val="left"/>
              <w:rPr>
                <w:rFonts w:ascii="Arial" w:hAnsi="Arial" w:cs="Arial"/>
              </w:rPr>
            </w:pPr>
            <w:r w:rsidRPr="0016460E">
              <w:rPr>
                <w:rFonts w:ascii="Arial" w:hAnsi="Arial" w:cs="Arial"/>
              </w:rPr>
              <w:t>Effectiveness of evidence-based mental health apps on user health outcomes: systematic review</w:t>
            </w:r>
          </w:p>
        </w:tc>
        <w:tc>
          <w:tcPr>
            <w:tcW w:w="1958" w:type="dxa"/>
            <w:hideMark/>
          </w:tcPr>
          <w:p w14:paraId="30DB2FB7"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16460E">
              <w:rPr>
                <w:rFonts w:ascii="Arial" w:hAnsi="Arial" w:cs="Arial"/>
              </w:rPr>
              <w:t>Shahsavar</w:t>
            </w:r>
            <w:proofErr w:type="spellEnd"/>
            <w:r w:rsidRPr="0016460E">
              <w:rPr>
                <w:rFonts w:ascii="Arial" w:hAnsi="Arial" w:cs="Arial"/>
              </w:rPr>
              <w:t xml:space="preserve"> &amp; Choudhury (2025)</w:t>
            </w:r>
          </w:p>
        </w:tc>
        <w:tc>
          <w:tcPr>
            <w:tcW w:w="1620" w:type="dxa"/>
            <w:hideMark/>
          </w:tcPr>
          <w:p w14:paraId="63C25C9D"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Systematic literature review</w:t>
            </w:r>
          </w:p>
        </w:tc>
        <w:tc>
          <w:tcPr>
            <w:tcW w:w="2558" w:type="dxa"/>
            <w:hideMark/>
          </w:tcPr>
          <w:p w14:paraId="3267EAC6"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Reported small–moderate improvements in anxiety and depression; heterogeneity and short follow-up periods noted.</w:t>
            </w:r>
          </w:p>
        </w:tc>
        <w:tc>
          <w:tcPr>
            <w:tcW w:w="2487" w:type="dxa"/>
            <w:hideMark/>
          </w:tcPr>
          <w:p w14:paraId="57A66B72"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Theme 1 – supports cautious conclusions about effectiveness.</w:t>
            </w:r>
          </w:p>
        </w:tc>
      </w:tr>
      <w:tr w:rsidR="00E8758D" w:rsidRPr="0016460E" w14:paraId="7DB8D0ED" w14:textId="77777777" w:rsidTr="00FB50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6AD43CE0" w14:textId="77777777" w:rsidR="0016183C" w:rsidRPr="0016460E" w:rsidRDefault="0016183C" w:rsidP="00CF01E1">
            <w:pPr>
              <w:jc w:val="left"/>
              <w:rPr>
                <w:rFonts w:ascii="Arial" w:hAnsi="Arial" w:cs="Arial"/>
              </w:rPr>
            </w:pPr>
            <w:r w:rsidRPr="0016460E">
              <w:rPr>
                <w:rFonts w:ascii="Arial" w:hAnsi="Arial" w:cs="Arial"/>
              </w:rPr>
              <w:t>Smartphone apps for mental health: systematic review and recommendations for clinical translation</w:t>
            </w:r>
          </w:p>
        </w:tc>
        <w:tc>
          <w:tcPr>
            <w:tcW w:w="1958" w:type="dxa"/>
            <w:hideMark/>
          </w:tcPr>
          <w:p w14:paraId="6B305DCD"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sidRPr="0016460E">
              <w:rPr>
                <w:rFonts w:ascii="Arial" w:hAnsi="Arial" w:cs="Arial"/>
              </w:rPr>
              <w:t>Almuqrin</w:t>
            </w:r>
            <w:proofErr w:type="spellEnd"/>
            <w:r w:rsidRPr="0016460E">
              <w:rPr>
                <w:rFonts w:ascii="Arial" w:hAnsi="Arial" w:cs="Arial"/>
              </w:rPr>
              <w:t xml:space="preserve"> et al. (2025)</w:t>
            </w:r>
          </w:p>
        </w:tc>
        <w:tc>
          <w:tcPr>
            <w:tcW w:w="1620" w:type="dxa"/>
            <w:hideMark/>
          </w:tcPr>
          <w:p w14:paraId="398B6833"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Systematic review</w:t>
            </w:r>
          </w:p>
        </w:tc>
        <w:tc>
          <w:tcPr>
            <w:tcW w:w="2558" w:type="dxa"/>
            <w:hideMark/>
          </w:tcPr>
          <w:p w14:paraId="34294791"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Found that few apps have robust evidence; proposed five recommendations for safe clinical integration.</w:t>
            </w:r>
          </w:p>
        </w:tc>
        <w:tc>
          <w:tcPr>
            <w:tcW w:w="2487" w:type="dxa"/>
            <w:hideMark/>
          </w:tcPr>
          <w:p w14:paraId="2EAB53C1"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Theme 3 – regulation, ethics, clinical integration.</w:t>
            </w:r>
          </w:p>
        </w:tc>
      </w:tr>
      <w:tr w:rsidR="00E8758D" w:rsidRPr="0016460E" w14:paraId="6DDBB24E" w14:textId="77777777" w:rsidTr="00FB5030">
        <w:trPr>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36340EAE" w14:textId="77777777" w:rsidR="0016183C" w:rsidRPr="0016460E" w:rsidRDefault="0016183C" w:rsidP="00CF01E1">
            <w:pPr>
              <w:jc w:val="left"/>
              <w:rPr>
                <w:rFonts w:ascii="Arial" w:hAnsi="Arial" w:cs="Arial"/>
              </w:rPr>
            </w:pPr>
            <w:r w:rsidRPr="0016460E">
              <w:rPr>
                <w:rFonts w:ascii="Arial" w:hAnsi="Arial" w:cs="Arial"/>
              </w:rPr>
              <w:t>Mental health apps for marginalised and underserved young people: acceptability and engagement</w:t>
            </w:r>
          </w:p>
        </w:tc>
        <w:tc>
          <w:tcPr>
            <w:tcW w:w="1958" w:type="dxa"/>
            <w:hideMark/>
          </w:tcPr>
          <w:p w14:paraId="06240959"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Bear et al. (2024)</w:t>
            </w:r>
          </w:p>
        </w:tc>
        <w:tc>
          <w:tcPr>
            <w:tcW w:w="1620" w:type="dxa"/>
            <w:hideMark/>
          </w:tcPr>
          <w:p w14:paraId="2F875088"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Systematic review + qualitative study</w:t>
            </w:r>
          </w:p>
        </w:tc>
        <w:tc>
          <w:tcPr>
            <w:tcW w:w="2558" w:type="dxa"/>
            <w:hideMark/>
          </w:tcPr>
          <w:p w14:paraId="752949E5"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Showed interest in apps but barriers around trust, privacy, cultural fit and access.</w:t>
            </w:r>
          </w:p>
        </w:tc>
        <w:tc>
          <w:tcPr>
            <w:tcW w:w="2487" w:type="dxa"/>
            <w:hideMark/>
          </w:tcPr>
          <w:p w14:paraId="4C04C3E3"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Theme 2 – engagement, retention and accessibility.</w:t>
            </w:r>
          </w:p>
        </w:tc>
      </w:tr>
      <w:tr w:rsidR="00E8758D" w:rsidRPr="0016460E" w14:paraId="1520C56D" w14:textId="77777777" w:rsidTr="00FB50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2054482F" w14:textId="77777777" w:rsidR="0016183C" w:rsidRPr="0016460E" w:rsidRDefault="0016183C" w:rsidP="00CF01E1">
            <w:pPr>
              <w:jc w:val="left"/>
              <w:rPr>
                <w:rFonts w:ascii="Arial" w:hAnsi="Arial" w:cs="Arial"/>
              </w:rPr>
            </w:pPr>
            <w:r w:rsidRPr="0016460E">
              <w:rPr>
                <w:rFonts w:ascii="Arial" w:hAnsi="Arial" w:cs="Arial"/>
              </w:rPr>
              <w:t>Engagement and retention in digital mental health interventions: narrative review</w:t>
            </w:r>
          </w:p>
        </w:tc>
        <w:tc>
          <w:tcPr>
            <w:tcW w:w="1958" w:type="dxa"/>
            <w:hideMark/>
          </w:tcPr>
          <w:p w14:paraId="5C61F1A3"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 xml:space="preserve">Boucher &amp; </w:t>
            </w:r>
            <w:proofErr w:type="spellStart"/>
            <w:r w:rsidRPr="0016460E">
              <w:rPr>
                <w:rFonts w:ascii="Arial" w:hAnsi="Arial" w:cs="Arial"/>
              </w:rPr>
              <w:t>Raiker</w:t>
            </w:r>
            <w:proofErr w:type="spellEnd"/>
            <w:r w:rsidRPr="0016460E">
              <w:rPr>
                <w:rFonts w:ascii="Arial" w:hAnsi="Arial" w:cs="Arial"/>
              </w:rPr>
              <w:t xml:space="preserve"> (2024)</w:t>
            </w:r>
          </w:p>
        </w:tc>
        <w:tc>
          <w:tcPr>
            <w:tcW w:w="1620" w:type="dxa"/>
            <w:hideMark/>
          </w:tcPr>
          <w:p w14:paraId="347FEDC1"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Narrative review</w:t>
            </w:r>
          </w:p>
        </w:tc>
        <w:tc>
          <w:tcPr>
            <w:tcW w:w="2558" w:type="dxa"/>
            <w:hideMark/>
          </w:tcPr>
          <w:p w14:paraId="2AD0E267"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Highlighted high dropout and inconsistent engagement as major limitations across digital interventions.</w:t>
            </w:r>
          </w:p>
        </w:tc>
        <w:tc>
          <w:tcPr>
            <w:tcW w:w="2487" w:type="dxa"/>
            <w:hideMark/>
          </w:tcPr>
          <w:p w14:paraId="2A8A425D" w14:textId="77777777" w:rsidR="0016183C" w:rsidRPr="0016460E" w:rsidRDefault="0016183C" w:rsidP="00CF01E1">
            <w:pPr>
              <w:jc w:val="left"/>
              <w:cnfStyle w:val="000000100000" w:firstRow="0" w:lastRow="0" w:firstColumn="0" w:lastColumn="0" w:oddVBand="0" w:evenVBand="0" w:oddHBand="1" w:evenHBand="0" w:firstRowFirstColumn="0" w:firstRowLastColumn="0" w:lastRowFirstColumn="0" w:lastRowLastColumn="0"/>
              <w:rPr>
                <w:rFonts w:ascii="Arial" w:hAnsi="Arial" w:cs="Arial"/>
              </w:rPr>
            </w:pPr>
            <w:r w:rsidRPr="0016460E">
              <w:rPr>
                <w:rFonts w:ascii="Arial" w:hAnsi="Arial" w:cs="Arial"/>
              </w:rPr>
              <w:t>Theme 2 – engagement and retention.</w:t>
            </w:r>
          </w:p>
        </w:tc>
      </w:tr>
      <w:tr w:rsidR="00E8758D" w:rsidRPr="0016460E" w14:paraId="070A26BB" w14:textId="77777777" w:rsidTr="00FB5030">
        <w:trPr>
          <w:jc w:val="center"/>
        </w:trPr>
        <w:tc>
          <w:tcPr>
            <w:cnfStyle w:val="001000000000" w:firstRow="0" w:lastRow="0" w:firstColumn="1" w:lastColumn="0" w:oddVBand="0" w:evenVBand="0" w:oddHBand="0" w:evenHBand="0" w:firstRowFirstColumn="0" w:firstRowLastColumn="0" w:lastRowFirstColumn="0" w:lastRowLastColumn="0"/>
            <w:tcW w:w="2357" w:type="dxa"/>
            <w:hideMark/>
          </w:tcPr>
          <w:p w14:paraId="25429FB2" w14:textId="77777777" w:rsidR="0016183C" w:rsidRPr="0016460E" w:rsidRDefault="0016183C" w:rsidP="00CF01E1">
            <w:pPr>
              <w:jc w:val="left"/>
              <w:rPr>
                <w:rFonts w:ascii="Arial" w:hAnsi="Arial" w:cs="Arial"/>
              </w:rPr>
            </w:pPr>
            <w:r w:rsidRPr="0016460E">
              <w:rPr>
                <w:rFonts w:ascii="Arial" w:hAnsi="Arial" w:cs="Arial"/>
              </w:rPr>
              <w:t xml:space="preserve">Data sharing and privacy practices of </w:t>
            </w:r>
            <w:r w:rsidRPr="0016460E">
              <w:rPr>
                <w:rFonts w:ascii="Arial" w:hAnsi="Arial" w:cs="Arial"/>
              </w:rPr>
              <w:lastRenderedPageBreak/>
              <w:t>popular mental health apps</w:t>
            </w:r>
          </w:p>
        </w:tc>
        <w:tc>
          <w:tcPr>
            <w:tcW w:w="1958" w:type="dxa"/>
            <w:hideMark/>
          </w:tcPr>
          <w:p w14:paraId="07F532E1"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16460E">
              <w:rPr>
                <w:rFonts w:ascii="Arial" w:hAnsi="Arial" w:cs="Arial"/>
              </w:rPr>
              <w:lastRenderedPageBreak/>
              <w:t>Huckvale</w:t>
            </w:r>
            <w:proofErr w:type="spellEnd"/>
            <w:r w:rsidRPr="0016460E">
              <w:rPr>
                <w:rFonts w:ascii="Arial" w:hAnsi="Arial" w:cs="Arial"/>
              </w:rPr>
              <w:t xml:space="preserve"> et al. (2019)</w:t>
            </w:r>
          </w:p>
        </w:tc>
        <w:tc>
          <w:tcPr>
            <w:tcW w:w="1620" w:type="dxa"/>
            <w:hideMark/>
          </w:tcPr>
          <w:p w14:paraId="64AD9297"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t xml:space="preserve">Cross-sectional </w:t>
            </w:r>
            <w:r w:rsidRPr="0016460E">
              <w:rPr>
                <w:rFonts w:ascii="Arial" w:hAnsi="Arial" w:cs="Arial"/>
              </w:rPr>
              <w:lastRenderedPageBreak/>
              <w:t>analysis of apps</w:t>
            </w:r>
          </w:p>
        </w:tc>
        <w:tc>
          <w:tcPr>
            <w:tcW w:w="2558" w:type="dxa"/>
            <w:hideMark/>
          </w:tcPr>
          <w:p w14:paraId="71DD952D"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lastRenderedPageBreak/>
              <w:t xml:space="preserve">Found widespread third-party data sharing </w:t>
            </w:r>
            <w:r w:rsidRPr="0016460E">
              <w:rPr>
                <w:rFonts w:ascii="Arial" w:hAnsi="Arial" w:cs="Arial"/>
              </w:rPr>
              <w:lastRenderedPageBreak/>
              <w:t>and unclear privacy policies.</w:t>
            </w:r>
          </w:p>
        </w:tc>
        <w:tc>
          <w:tcPr>
            <w:tcW w:w="2487" w:type="dxa"/>
            <w:hideMark/>
          </w:tcPr>
          <w:p w14:paraId="5CB0D5E2" w14:textId="77777777" w:rsidR="0016183C" w:rsidRPr="0016460E" w:rsidRDefault="0016183C" w:rsidP="00CF01E1">
            <w:pPr>
              <w:jc w:val="left"/>
              <w:cnfStyle w:val="000000000000" w:firstRow="0" w:lastRow="0" w:firstColumn="0" w:lastColumn="0" w:oddVBand="0" w:evenVBand="0" w:oddHBand="0" w:evenHBand="0" w:firstRowFirstColumn="0" w:firstRowLastColumn="0" w:lastRowFirstColumn="0" w:lastRowLastColumn="0"/>
              <w:rPr>
                <w:rFonts w:ascii="Arial" w:hAnsi="Arial" w:cs="Arial"/>
              </w:rPr>
            </w:pPr>
            <w:r w:rsidRPr="0016460E">
              <w:rPr>
                <w:rFonts w:ascii="Arial" w:hAnsi="Arial" w:cs="Arial"/>
              </w:rPr>
              <w:lastRenderedPageBreak/>
              <w:t>Theme 3 – ethics, privacy and trust.</w:t>
            </w:r>
          </w:p>
        </w:tc>
      </w:tr>
    </w:tbl>
    <w:p w14:paraId="685B62C0" w14:textId="271C6493" w:rsidR="00703C2F" w:rsidRPr="0016460E" w:rsidRDefault="00703C2F" w:rsidP="00E60447">
      <w:pPr>
        <w:pStyle w:val="Caption"/>
        <w:spacing w:before="240" w:line="360" w:lineRule="auto"/>
        <w:jc w:val="center"/>
        <w:rPr>
          <w:rFonts w:ascii="Arial" w:hAnsi="Arial" w:cs="Arial"/>
          <w:b/>
          <w:bCs/>
          <w:i w:val="0"/>
          <w:iCs w:val="0"/>
          <w:color w:val="auto"/>
          <w:sz w:val="22"/>
          <w:szCs w:val="22"/>
        </w:rPr>
      </w:pPr>
      <w:bookmarkStart w:id="79" w:name="_Toc222997402"/>
      <w:r w:rsidRPr="0016460E">
        <w:rPr>
          <w:rFonts w:ascii="Arial" w:hAnsi="Arial" w:cs="Arial"/>
          <w:b/>
          <w:bCs/>
          <w:i w:val="0"/>
          <w:iCs w:val="0"/>
          <w:color w:val="auto"/>
          <w:sz w:val="22"/>
          <w:szCs w:val="22"/>
        </w:rPr>
        <w:t xml:space="preserve">Table </w:t>
      </w:r>
      <w:r w:rsidRPr="0016460E">
        <w:rPr>
          <w:rFonts w:ascii="Arial" w:hAnsi="Arial" w:cs="Arial"/>
          <w:b/>
          <w:bCs/>
          <w:i w:val="0"/>
          <w:iCs w:val="0"/>
          <w:color w:val="auto"/>
          <w:sz w:val="22"/>
          <w:szCs w:val="22"/>
        </w:rPr>
        <w:fldChar w:fldCharType="begin"/>
      </w:r>
      <w:r w:rsidRPr="0016460E">
        <w:rPr>
          <w:rFonts w:ascii="Arial" w:hAnsi="Arial" w:cs="Arial"/>
          <w:b/>
          <w:bCs/>
          <w:i w:val="0"/>
          <w:iCs w:val="0"/>
          <w:color w:val="auto"/>
          <w:sz w:val="22"/>
          <w:szCs w:val="22"/>
        </w:rPr>
        <w:instrText xml:space="preserve"> SEQ Table \* ARABIC </w:instrText>
      </w:r>
      <w:r w:rsidRPr="0016460E">
        <w:rPr>
          <w:rFonts w:ascii="Arial" w:hAnsi="Arial" w:cs="Arial"/>
          <w:b/>
          <w:bCs/>
          <w:i w:val="0"/>
          <w:iCs w:val="0"/>
          <w:color w:val="auto"/>
          <w:sz w:val="22"/>
          <w:szCs w:val="22"/>
        </w:rPr>
        <w:fldChar w:fldCharType="separate"/>
      </w:r>
      <w:r w:rsidR="00CF2215" w:rsidRPr="0016460E">
        <w:rPr>
          <w:rFonts w:ascii="Arial" w:hAnsi="Arial" w:cs="Arial"/>
          <w:b/>
          <w:bCs/>
          <w:i w:val="0"/>
          <w:iCs w:val="0"/>
          <w:noProof/>
          <w:color w:val="auto"/>
          <w:sz w:val="22"/>
          <w:szCs w:val="22"/>
        </w:rPr>
        <w:t>4</w:t>
      </w:r>
      <w:r w:rsidRPr="0016460E">
        <w:rPr>
          <w:rFonts w:ascii="Arial" w:hAnsi="Arial" w:cs="Arial"/>
          <w:b/>
          <w:bCs/>
          <w:i w:val="0"/>
          <w:iCs w:val="0"/>
          <w:color w:val="auto"/>
          <w:sz w:val="22"/>
          <w:szCs w:val="22"/>
        </w:rPr>
        <w:fldChar w:fldCharType="end"/>
      </w:r>
      <w:r w:rsidRPr="0016460E">
        <w:rPr>
          <w:rFonts w:ascii="Arial" w:hAnsi="Arial" w:cs="Arial"/>
          <w:b/>
          <w:bCs/>
          <w:i w:val="0"/>
          <w:iCs w:val="0"/>
          <w:color w:val="auto"/>
          <w:sz w:val="22"/>
          <w:szCs w:val="22"/>
        </w:rPr>
        <w:t xml:space="preserve"> Source Tracking Table</w:t>
      </w:r>
      <w:bookmarkEnd w:id="79"/>
    </w:p>
    <w:p w14:paraId="581EBDCB" w14:textId="0D03DDA9" w:rsidR="007D71D0" w:rsidRPr="0016460E" w:rsidRDefault="00703C2F" w:rsidP="00E60447">
      <w:pPr>
        <w:pStyle w:val="Caption"/>
        <w:spacing w:before="240" w:line="360" w:lineRule="auto"/>
        <w:jc w:val="center"/>
        <w:rPr>
          <w:rFonts w:ascii="Arial" w:hAnsi="Arial" w:cs="Arial"/>
          <w:b/>
          <w:bCs/>
          <w:i w:val="0"/>
          <w:iCs w:val="0"/>
          <w:color w:val="auto"/>
          <w:sz w:val="22"/>
          <w:szCs w:val="22"/>
        </w:rPr>
      </w:pPr>
      <w:r w:rsidRPr="0016460E">
        <w:rPr>
          <w:rFonts w:ascii="Arial" w:hAnsi="Arial" w:cs="Arial"/>
          <w:b/>
          <w:bCs/>
          <w:i w:val="0"/>
          <w:iCs w:val="0"/>
          <w:color w:val="auto"/>
          <w:sz w:val="22"/>
          <w:szCs w:val="22"/>
        </w:rPr>
        <w:t>Source: Author</w:t>
      </w:r>
    </w:p>
    <w:p w14:paraId="543BC12A" w14:textId="77777777" w:rsidR="00337EF1" w:rsidRPr="0016460E" w:rsidRDefault="00337EF1" w:rsidP="00CF01E1">
      <w:pPr>
        <w:jc w:val="left"/>
        <w:rPr>
          <w:rFonts w:ascii="Arial" w:hAnsi="Arial" w:cs="Arial"/>
        </w:rPr>
      </w:pPr>
    </w:p>
    <w:p w14:paraId="0701B53C" w14:textId="77777777" w:rsidR="00337EF1" w:rsidRPr="0016460E" w:rsidRDefault="00337EF1" w:rsidP="00CF01E1">
      <w:pPr>
        <w:jc w:val="left"/>
        <w:rPr>
          <w:rFonts w:ascii="Arial" w:hAnsi="Arial" w:cs="Arial"/>
        </w:rPr>
      </w:pPr>
    </w:p>
    <w:p w14:paraId="766DADA9" w14:textId="77777777" w:rsidR="00337EF1" w:rsidRPr="0016460E" w:rsidRDefault="00337EF1" w:rsidP="00CF01E1">
      <w:pPr>
        <w:jc w:val="left"/>
        <w:rPr>
          <w:rFonts w:ascii="Arial" w:hAnsi="Arial" w:cs="Arial"/>
        </w:rPr>
      </w:pPr>
    </w:p>
    <w:p w14:paraId="309C56E1" w14:textId="77777777" w:rsidR="00337EF1" w:rsidRPr="0016460E" w:rsidRDefault="00337EF1" w:rsidP="00CF01E1">
      <w:pPr>
        <w:jc w:val="left"/>
        <w:rPr>
          <w:rFonts w:ascii="Arial" w:hAnsi="Arial" w:cs="Arial"/>
        </w:rPr>
      </w:pPr>
    </w:p>
    <w:p w14:paraId="22786D78" w14:textId="77777777" w:rsidR="00337EF1" w:rsidRPr="0016460E" w:rsidRDefault="00337EF1" w:rsidP="00CF01E1">
      <w:pPr>
        <w:jc w:val="left"/>
        <w:rPr>
          <w:rFonts w:ascii="Arial" w:hAnsi="Arial" w:cs="Arial"/>
        </w:rPr>
      </w:pPr>
    </w:p>
    <w:p w14:paraId="51BF4EFC" w14:textId="77777777" w:rsidR="00337EF1" w:rsidRPr="0016460E" w:rsidRDefault="00337EF1" w:rsidP="00CF01E1">
      <w:pPr>
        <w:jc w:val="left"/>
        <w:rPr>
          <w:rFonts w:ascii="Arial" w:hAnsi="Arial" w:cs="Arial"/>
        </w:rPr>
      </w:pPr>
    </w:p>
    <w:p w14:paraId="1BED8D3E" w14:textId="77777777" w:rsidR="00337EF1" w:rsidRPr="0016460E" w:rsidRDefault="00337EF1" w:rsidP="00CF01E1">
      <w:pPr>
        <w:jc w:val="left"/>
        <w:rPr>
          <w:rFonts w:ascii="Arial" w:hAnsi="Arial" w:cs="Arial"/>
        </w:rPr>
      </w:pPr>
    </w:p>
    <w:p w14:paraId="3B403FCC" w14:textId="77777777" w:rsidR="00337EF1" w:rsidRPr="0016460E" w:rsidRDefault="00337EF1" w:rsidP="00CF01E1">
      <w:pPr>
        <w:jc w:val="left"/>
        <w:rPr>
          <w:rFonts w:ascii="Arial" w:hAnsi="Arial" w:cs="Arial"/>
        </w:rPr>
      </w:pPr>
    </w:p>
    <w:p w14:paraId="5F271BF6" w14:textId="77777777" w:rsidR="00337EF1" w:rsidRPr="0016460E" w:rsidRDefault="00337EF1" w:rsidP="00CF01E1">
      <w:pPr>
        <w:jc w:val="left"/>
        <w:rPr>
          <w:rFonts w:ascii="Arial" w:hAnsi="Arial" w:cs="Arial"/>
        </w:rPr>
      </w:pPr>
    </w:p>
    <w:p w14:paraId="1A108CFA" w14:textId="77777777" w:rsidR="00337EF1" w:rsidRPr="0016460E" w:rsidRDefault="00337EF1" w:rsidP="00CF01E1">
      <w:pPr>
        <w:jc w:val="left"/>
        <w:rPr>
          <w:rFonts w:ascii="Arial" w:hAnsi="Arial" w:cs="Arial"/>
        </w:rPr>
      </w:pPr>
    </w:p>
    <w:p w14:paraId="119F5B02" w14:textId="77777777" w:rsidR="00337EF1" w:rsidRPr="0016460E" w:rsidRDefault="00337EF1" w:rsidP="00CF01E1">
      <w:pPr>
        <w:jc w:val="left"/>
        <w:rPr>
          <w:rFonts w:ascii="Arial" w:hAnsi="Arial" w:cs="Arial"/>
        </w:rPr>
      </w:pPr>
    </w:p>
    <w:p w14:paraId="3EC1C810" w14:textId="77777777" w:rsidR="00337EF1" w:rsidRPr="0016460E" w:rsidRDefault="00337EF1" w:rsidP="00CF01E1">
      <w:pPr>
        <w:jc w:val="left"/>
        <w:rPr>
          <w:rFonts w:ascii="Arial" w:hAnsi="Arial" w:cs="Arial"/>
        </w:rPr>
      </w:pPr>
    </w:p>
    <w:p w14:paraId="40735360" w14:textId="77777777" w:rsidR="00337EF1" w:rsidRPr="0016460E" w:rsidRDefault="00337EF1" w:rsidP="00CF01E1">
      <w:pPr>
        <w:jc w:val="left"/>
        <w:rPr>
          <w:rFonts w:ascii="Arial" w:hAnsi="Arial" w:cs="Arial"/>
        </w:rPr>
      </w:pPr>
    </w:p>
    <w:p w14:paraId="2C8E60B8" w14:textId="77777777" w:rsidR="00337EF1" w:rsidRPr="0016460E" w:rsidRDefault="00337EF1" w:rsidP="00CF01E1">
      <w:pPr>
        <w:jc w:val="left"/>
        <w:rPr>
          <w:rFonts w:ascii="Arial" w:hAnsi="Arial" w:cs="Arial"/>
        </w:rPr>
      </w:pPr>
    </w:p>
    <w:p w14:paraId="319EA636" w14:textId="77777777" w:rsidR="00337EF1" w:rsidRPr="0016460E" w:rsidRDefault="00337EF1" w:rsidP="00CF01E1">
      <w:pPr>
        <w:jc w:val="left"/>
        <w:rPr>
          <w:rFonts w:ascii="Arial" w:hAnsi="Arial" w:cs="Arial"/>
        </w:rPr>
      </w:pPr>
    </w:p>
    <w:p w14:paraId="7E61B461" w14:textId="77777777" w:rsidR="00337EF1" w:rsidRPr="0016460E" w:rsidRDefault="00337EF1" w:rsidP="00CF01E1">
      <w:pPr>
        <w:jc w:val="left"/>
        <w:rPr>
          <w:rFonts w:ascii="Arial" w:hAnsi="Arial" w:cs="Arial"/>
        </w:rPr>
      </w:pPr>
    </w:p>
    <w:p w14:paraId="313D2EC0" w14:textId="77777777" w:rsidR="00337EF1" w:rsidRPr="0016460E" w:rsidRDefault="00337EF1" w:rsidP="00CF01E1">
      <w:pPr>
        <w:jc w:val="left"/>
        <w:rPr>
          <w:rFonts w:ascii="Arial" w:hAnsi="Arial" w:cs="Arial"/>
        </w:rPr>
      </w:pPr>
    </w:p>
    <w:p w14:paraId="4A65CFD9" w14:textId="77777777" w:rsidR="00337EF1" w:rsidRPr="0016460E" w:rsidRDefault="00337EF1" w:rsidP="00CF01E1">
      <w:pPr>
        <w:jc w:val="left"/>
        <w:rPr>
          <w:rFonts w:ascii="Arial" w:hAnsi="Arial" w:cs="Arial"/>
        </w:rPr>
      </w:pPr>
    </w:p>
    <w:p w14:paraId="3E4C4325" w14:textId="77777777" w:rsidR="00337EF1" w:rsidRDefault="00337EF1" w:rsidP="00CF01E1">
      <w:pPr>
        <w:jc w:val="left"/>
        <w:rPr>
          <w:rFonts w:ascii="Arial" w:hAnsi="Arial" w:cs="Arial"/>
        </w:rPr>
      </w:pPr>
    </w:p>
    <w:p w14:paraId="5232F194" w14:textId="77777777" w:rsidR="007D46C7" w:rsidRDefault="007D46C7" w:rsidP="00CF01E1">
      <w:pPr>
        <w:jc w:val="left"/>
        <w:rPr>
          <w:rFonts w:ascii="Arial" w:hAnsi="Arial" w:cs="Arial"/>
        </w:rPr>
      </w:pPr>
    </w:p>
    <w:p w14:paraId="227CE5D3" w14:textId="77777777" w:rsidR="007D46C7" w:rsidRPr="0016460E" w:rsidRDefault="007D46C7" w:rsidP="00CF01E1">
      <w:pPr>
        <w:jc w:val="left"/>
        <w:rPr>
          <w:rFonts w:ascii="Arial" w:hAnsi="Arial" w:cs="Arial"/>
        </w:rPr>
      </w:pPr>
    </w:p>
    <w:p w14:paraId="5E97D949" w14:textId="77777777" w:rsidR="00337EF1" w:rsidRPr="0016460E" w:rsidRDefault="00337EF1" w:rsidP="00CF01E1">
      <w:pPr>
        <w:jc w:val="left"/>
        <w:rPr>
          <w:rFonts w:ascii="Arial" w:hAnsi="Arial" w:cs="Arial"/>
        </w:rPr>
      </w:pPr>
    </w:p>
    <w:p w14:paraId="12C990B9" w14:textId="3CAFFB1B" w:rsidR="00C8732B" w:rsidRPr="0016460E" w:rsidRDefault="00BB1CC7" w:rsidP="00CF01E1">
      <w:pPr>
        <w:jc w:val="left"/>
        <w:rPr>
          <w:rFonts w:ascii="Arial" w:hAnsi="Arial" w:cs="Arial"/>
        </w:rPr>
      </w:pPr>
      <w:r w:rsidRPr="0016460E">
        <w:rPr>
          <w:rFonts w:ascii="Arial" w:hAnsi="Arial" w:cs="Arial"/>
          <w:b/>
          <w:bCs/>
        </w:rPr>
        <w:lastRenderedPageBreak/>
        <w:t>Colour-Coded Coding Framework for Thematic Analysis</w:t>
      </w:r>
    </w:p>
    <w:tbl>
      <w:tblPr>
        <w:tblW w:w="10440" w:type="dxa"/>
        <w:jc w:val="center"/>
        <w:tblLook w:val="04A0" w:firstRow="1" w:lastRow="0" w:firstColumn="1" w:lastColumn="0" w:noHBand="0" w:noVBand="1"/>
      </w:tblPr>
      <w:tblGrid>
        <w:gridCol w:w="1522"/>
        <w:gridCol w:w="3104"/>
        <w:gridCol w:w="1721"/>
        <w:gridCol w:w="2129"/>
        <w:gridCol w:w="1964"/>
      </w:tblGrid>
      <w:tr w:rsidR="00E8758D" w:rsidRPr="0016460E" w14:paraId="6EAF5F99" w14:textId="77777777" w:rsidTr="005B5D67">
        <w:trPr>
          <w:trHeight w:val="300"/>
          <w:jc w:val="center"/>
        </w:trPr>
        <w:tc>
          <w:tcPr>
            <w:tcW w:w="1525" w:type="dxa"/>
            <w:tcBorders>
              <w:top w:val="single" w:sz="4" w:space="0" w:color="D0D0D0"/>
              <w:left w:val="single" w:sz="4" w:space="0" w:color="D0D0D0"/>
              <w:bottom w:val="single" w:sz="4" w:space="0" w:color="D0D0D0"/>
              <w:right w:val="single" w:sz="4" w:space="0" w:color="D0D0D0"/>
            </w:tcBorders>
            <w:shd w:val="clear" w:color="000000" w:fill="1F2937"/>
            <w:vAlign w:val="center"/>
            <w:hideMark/>
          </w:tcPr>
          <w:p w14:paraId="446A6FA4" w14:textId="77777777" w:rsidR="009118C7" w:rsidRPr="0016460E" w:rsidRDefault="009118C7" w:rsidP="00CF01E1">
            <w:pPr>
              <w:spacing w:after="0" w:line="240" w:lineRule="auto"/>
              <w:jc w:val="left"/>
              <w:rPr>
                <w:rFonts w:ascii="Arial" w:eastAsia="Times New Roman" w:hAnsi="Arial" w:cs="Arial"/>
                <w:b/>
                <w:bCs/>
                <w:kern w:val="0"/>
                <w:lang w:eastAsia="en-US"/>
                <w14:ligatures w14:val="none"/>
              </w:rPr>
            </w:pPr>
            <w:r w:rsidRPr="0016460E">
              <w:rPr>
                <w:rFonts w:ascii="Arial" w:eastAsia="Times New Roman" w:hAnsi="Arial" w:cs="Arial"/>
                <w:b/>
                <w:bCs/>
                <w:kern w:val="0"/>
                <w:lang w:eastAsia="en-US"/>
                <w14:ligatures w14:val="none"/>
              </w:rPr>
              <w:t>Initial Code</w:t>
            </w:r>
          </w:p>
        </w:tc>
        <w:tc>
          <w:tcPr>
            <w:tcW w:w="3150" w:type="dxa"/>
            <w:tcBorders>
              <w:top w:val="single" w:sz="4" w:space="0" w:color="D0D0D0"/>
              <w:left w:val="nil"/>
              <w:bottom w:val="single" w:sz="4" w:space="0" w:color="D0D0D0"/>
              <w:right w:val="single" w:sz="4" w:space="0" w:color="D0D0D0"/>
            </w:tcBorders>
            <w:shd w:val="clear" w:color="000000" w:fill="1F2937"/>
            <w:vAlign w:val="center"/>
            <w:hideMark/>
          </w:tcPr>
          <w:p w14:paraId="4249D0FA" w14:textId="77777777" w:rsidR="009118C7" w:rsidRPr="0016460E" w:rsidRDefault="009118C7" w:rsidP="00CF01E1">
            <w:pPr>
              <w:spacing w:after="0" w:line="240" w:lineRule="auto"/>
              <w:jc w:val="left"/>
              <w:rPr>
                <w:rFonts w:ascii="Arial" w:eastAsia="Times New Roman" w:hAnsi="Arial" w:cs="Arial"/>
                <w:b/>
                <w:bCs/>
                <w:kern w:val="0"/>
                <w:lang w:eastAsia="en-US"/>
                <w14:ligatures w14:val="none"/>
              </w:rPr>
            </w:pPr>
            <w:r w:rsidRPr="0016460E">
              <w:rPr>
                <w:rFonts w:ascii="Arial" w:eastAsia="Times New Roman" w:hAnsi="Arial" w:cs="Arial"/>
                <w:b/>
                <w:bCs/>
                <w:kern w:val="0"/>
                <w:lang w:eastAsia="en-US"/>
                <w14:ligatures w14:val="none"/>
              </w:rPr>
              <w:t>Definition / What it captures</w:t>
            </w:r>
          </w:p>
        </w:tc>
        <w:tc>
          <w:tcPr>
            <w:tcW w:w="1530" w:type="dxa"/>
            <w:tcBorders>
              <w:top w:val="single" w:sz="4" w:space="0" w:color="D0D0D0"/>
              <w:left w:val="nil"/>
              <w:bottom w:val="single" w:sz="4" w:space="0" w:color="D0D0D0"/>
              <w:right w:val="single" w:sz="4" w:space="0" w:color="D0D0D0"/>
            </w:tcBorders>
            <w:shd w:val="clear" w:color="000000" w:fill="1F2937"/>
            <w:vAlign w:val="center"/>
            <w:hideMark/>
          </w:tcPr>
          <w:p w14:paraId="24E2DDF7" w14:textId="77777777" w:rsidR="009118C7" w:rsidRPr="0016460E" w:rsidRDefault="009118C7" w:rsidP="00CF01E1">
            <w:pPr>
              <w:spacing w:after="0" w:line="240" w:lineRule="auto"/>
              <w:jc w:val="left"/>
              <w:rPr>
                <w:rFonts w:ascii="Arial" w:eastAsia="Times New Roman" w:hAnsi="Arial" w:cs="Arial"/>
                <w:b/>
                <w:bCs/>
                <w:kern w:val="0"/>
                <w:lang w:eastAsia="en-US"/>
                <w14:ligatures w14:val="none"/>
              </w:rPr>
            </w:pPr>
            <w:r w:rsidRPr="0016460E">
              <w:rPr>
                <w:rFonts w:ascii="Arial" w:eastAsia="Times New Roman" w:hAnsi="Arial" w:cs="Arial"/>
                <w:b/>
                <w:bCs/>
                <w:kern w:val="0"/>
                <w:lang w:eastAsia="en-US"/>
                <w14:ligatures w14:val="none"/>
              </w:rPr>
              <w:t>Subtheme</w:t>
            </w:r>
          </w:p>
        </w:tc>
        <w:tc>
          <w:tcPr>
            <w:tcW w:w="2203" w:type="dxa"/>
            <w:tcBorders>
              <w:top w:val="single" w:sz="4" w:space="0" w:color="D0D0D0"/>
              <w:left w:val="nil"/>
              <w:bottom w:val="single" w:sz="4" w:space="0" w:color="D0D0D0"/>
              <w:right w:val="single" w:sz="4" w:space="0" w:color="D0D0D0"/>
            </w:tcBorders>
            <w:shd w:val="clear" w:color="000000" w:fill="1F2937"/>
            <w:vAlign w:val="center"/>
            <w:hideMark/>
          </w:tcPr>
          <w:p w14:paraId="2E6A09B9" w14:textId="77777777" w:rsidR="009118C7" w:rsidRPr="0016460E" w:rsidRDefault="009118C7" w:rsidP="00CF01E1">
            <w:pPr>
              <w:spacing w:after="0" w:line="240" w:lineRule="auto"/>
              <w:jc w:val="left"/>
              <w:rPr>
                <w:rFonts w:ascii="Arial" w:eastAsia="Times New Roman" w:hAnsi="Arial" w:cs="Arial"/>
                <w:b/>
                <w:bCs/>
                <w:kern w:val="0"/>
                <w:lang w:eastAsia="en-US"/>
                <w14:ligatures w14:val="none"/>
              </w:rPr>
            </w:pPr>
            <w:r w:rsidRPr="0016460E">
              <w:rPr>
                <w:rFonts w:ascii="Arial" w:eastAsia="Times New Roman" w:hAnsi="Arial" w:cs="Arial"/>
                <w:b/>
                <w:bCs/>
                <w:kern w:val="0"/>
                <w:lang w:eastAsia="en-US"/>
                <w14:ligatures w14:val="none"/>
              </w:rPr>
              <w:t>Final Theme</w:t>
            </w:r>
          </w:p>
        </w:tc>
        <w:tc>
          <w:tcPr>
            <w:tcW w:w="2032" w:type="dxa"/>
            <w:tcBorders>
              <w:top w:val="single" w:sz="4" w:space="0" w:color="D0D0D0"/>
              <w:left w:val="nil"/>
              <w:bottom w:val="single" w:sz="4" w:space="0" w:color="D0D0D0"/>
              <w:right w:val="single" w:sz="4" w:space="0" w:color="D0D0D0"/>
            </w:tcBorders>
            <w:shd w:val="clear" w:color="000000" w:fill="1F2937"/>
            <w:vAlign w:val="center"/>
            <w:hideMark/>
          </w:tcPr>
          <w:p w14:paraId="3503D281" w14:textId="77777777" w:rsidR="009118C7" w:rsidRPr="0016460E" w:rsidRDefault="009118C7" w:rsidP="00CF01E1">
            <w:pPr>
              <w:spacing w:after="0" w:line="240" w:lineRule="auto"/>
              <w:jc w:val="left"/>
              <w:rPr>
                <w:rFonts w:ascii="Arial" w:eastAsia="Times New Roman" w:hAnsi="Arial" w:cs="Arial"/>
                <w:b/>
                <w:bCs/>
                <w:kern w:val="0"/>
                <w:lang w:eastAsia="en-US"/>
                <w14:ligatures w14:val="none"/>
              </w:rPr>
            </w:pPr>
            <w:r w:rsidRPr="0016460E">
              <w:rPr>
                <w:rFonts w:ascii="Arial" w:eastAsia="Times New Roman" w:hAnsi="Arial" w:cs="Arial"/>
                <w:b/>
                <w:bCs/>
                <w:kern w:val="0"/>
                <w:lang w:eastAsia="en-US"/>
                <w14:ligatures w14:val="none"/>
              </w:rPr>
              <w:t>Example source(s)</w:t>
            </w:r>
          </w:p>
        </w:tc>
      </w:tr>
      <w:tr w:rsidR="00E8758D" w:rsidRPr="0016460E" w14:paraId="29057574"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BEAFE"/>
            <w:vAlign w:val="center"/>
            <w:hideMark/>
          </w:tcPr>
          <w:p w14:paraId="58F36E63"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Symptom reduction</w:t>
            </w:r>
          </w:p>
        </w:tc>
        <w:tc>
          <w:tcPr>
            <w:tcW w:w="3150" w:type="dxa"/>
            <w:tcBorders>
              <w:top w:val="nil"/>
              <w:left w:val="nil"/>
              <w:bottom w:val="single" w:sz="4" w:space="0" w:color="D0D0D0"/>
              <w:right w:val="single" w:sz="4" w:space="0" w:color="D0D0D0"/>
            </w:tcBorders>
            <w:shd w:val="clear" w:color="000000" w:fill="DBEAFE"/>
            <w:vAlign w:val="center"/>
            <w:hideMark/>
          </w:tcPr>
          <w:p w14:paraId="0DDEA4E8" w14:textId="6C5C547B"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Evidence that app use reduces anxiety, depression or stress scores</w:t>
            </w:r>
          </w:p>
        </w:tc>
        <w:tc>
          <w:tcPr>
            <w:tcW w:w="1530" w:type="dxa"/>
            <w:tcBorders>
              <w:top w:val="nil"/>
              <w:left w:val="nil"/>
              <w:bottom w:val="single" w:sz="4" w:space="0" w:color="D0D0D0"/>
              <w:right w:val="single" w:sz="4" w:space="0" w:color="D0D0D0"/>
            </w:tcBorders>
            <w:shd w:val="clear" w:color="000000" w:fill="DBEAFE"/>
            <w:vAlign w:val="center"/>
            <w:hideMark/>
          </w:tcPr>
          <w:p w14:paraId="3169231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Measurable clinical outcomes</w:t>
            </w:r>
          </w:p>
        </w:tc>
        <w:tc>
          <w:tcPr>
            <w:tcW w:w="2203" w:type="dxa"/>
            <w:tcBorders>
              <w:top w:val="nil"/>
              <w:left w:val="nil"/>
              <w:bottom w:val="single" w:sz="4" w:space="0" w:color="D0D0D0"/>
              <w:right w:val="single" w:sz="4" w:space="0" w:color="D0D0D0"/>
            </w:tcBorders>
            <w:shd w:val="clear" w:color="000000" w:fill="DBEAFE"/>
            <w:vAlign w:val="center"/>
            <w:hideMark/>
          </w:tcPr>
          <w:p w14:paraId="2972DAEE"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Clinical effectiveness &amp; symptom reduction</w:t>
            </w:r>
          </w:p>
        </w:tc>
        <w:tc>
          <w:tcPr>
            <w:tcW w:w="2032" w:type="dxa"/>
            <w:tcBorders>
              <w:top w:val="nil"/>
              <w:left w:val="nil"/>
              <w:bottom w:val="single" w:sz="4" w:space="0" w:color="D0D0D0"/>
              <w:right w:val="single" w:sz="4" w:space="0" w:color="D0D0D0"/>
            </w:tcBorders>
            <w:shd w:val="clear" w:color="000000" w:fill="DBEAFE"/>
            <w:vAlign w:val="center"/>
            <w:hideMark/>
          </w:tcPr>
          <w:p w14:paraId="3645A63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 xml:space="preserve">Bress et al. (2024); </w:t>
            </w:r>
            <w:proofErr w:type="spellStart"/>
            <w:r w:rsidRPr="0016460E">
              <w:rPr>
                <w:rFonts w:ascii="Arial" w:eastAsia="Times New Roman" w:hAnsi="Arial" w:cs="Arial"/>
                <w:kern w:val="0"/>
                <w:lang w:eastAsia="en-US"/>
                <w14:ligatures w14:val="none"/>
              </w:rPr>
              <w:t>Shahsavar</w:t>
            </w:r>
            <w:proofErr w:type="spellEnd"/>
            <w:r w:rsidRPr="0016460E">
              <w:rPr>
                <w:rFonts w:ascii="Arial" w:eastAsia="Times New Roman" w:hAnsi="Arial" w:cs="Arial"/>
                <w:kern w:val="0"/>
                <w:lang w:eastAsia="en-US"/>
                <w14:ligatures w14:val="none"/>
              </w:rPr>
              <w:t xml:space="preserve"> &amp; Choudhury (2025)</w:t>
            </w:r>
          </w:p>
        </w:tc>
      </w:tr>
      <w:tr w:rsidR="00E8758D" w:rsidRPr="0016460E" w14:paraId="423FAA68"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BEAFE"/>
            <w:vAlign w:val="center"/>
            <w:hideMark/>
          </w:tcPr>
          <w:p w14:paraId="517799D6"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Effect size / magnitude</w:t>
            </w:r>
          </w:p>
        </w:tc>
        <w:tc>
          <w:tcPr>
            <w:tcW w:w="3150" w:type="dxa"/>
            <w:tcBorders>
              <w:top w:val="nil"/>
              <w:left w:val="nil"/>
              <w:bottom w:val="single" w:sz="4" w:space="0" w:color="D0D0D0"/>
              <w:right w:val="single" w:sz="4" w:space="0" w:color="D0D0D0"/>
            </w:tcBorders>
            <w:shd w:val="clear" w:color="000000" w:fill="DBEAFE"/>
            <w:vAlign w:val="center"/>
            <w:hideMark/>
          </w:tcPr>
          <w:p w14:paraId="74559782" w14:textId="3D5B8FE8"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Reported strength of change used to compare studies.</w:t>
            </w:r>
          </w:p>
        </w:tc>
        <w:tc>
          <w:tcPr>
            <w:tcW w:w="1530" w:type="dxa"/>
            <w:tcBorders>
              <w:top w:val="nil"/>
              <w:left w:val="nil"/>
              <w:bottom w:val="single" w:sz="4" w:space="0" w:color="D0D0D0"/>
              <w:right w:val="single" w:sz="4" w:space="0" w:color="D0D0D0"/>
            </w:tcBorders>
            <w:shd w:val="clear" w:color="000000" w:fill="DBEAFE"/>
            <w:vAlign w:val="center"/>
            <w:hideMark/>
          </w:tcPr>
          <w:p w14:paraId="12A23E3B"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Strength of impact</w:t>
            </w:r>
          </w:p>
        </w:tc>
        <w:tc>
          <w:tcPr>
            <w:tcW w:w="2203" w:type="dxa"/>
            <w:tcBorders>
              <w:top w:val="nil"/>
              <w:left w:val="nil"/>
              <w:bottom w:val="single" w:sz="4" w:space="0" w:color="D0D0D0"/>
              <w:right w:val="single" w:sz="4" w:space="0" w:color="D0D0D0"/>
            </w:tcBorders>
            <w:shd w:val="clear" w:color="000000" w:fill="DBEAFE"/>
            <w:vAlign w:val="center"/>
            <w:hideMark/>
          </w:tcPr>
          <w:p w14:paraId="753A156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Clinical effectiveness &amp; symptom reduction</w:t>
            </w:r>
          </w:p>
        </w:tc>
        <w:tc>
          <w:tcPr>
            <w:tcW w:w="2032" w:type="dxa"/>
            <w:tcBorders>
              <w:top w:val="nil"/>
              <w:left w:val="nil"/>
              <w:bottom w:val="single" w:sz="4" w:space="0" w:color="D0D0D0"/>
              <w:right w:val="single" w:sz="4" w:space="0" w:color="D0D0D0"/>
            </w:tcBorders>
            <w:shd w:val="clear" w:color="000000" w:fill="DBEAFE"/>
            <w:vAlign w:val="center"/>
            <w:hideMark/>
          </w:tcPr>
          <w:p w14:paraId="5054048E"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proofErr w:type="spellStart"/>
            <w:r w:rsidRPr="0016460E">
              <w:rPr>
                <w:rFonts w:ascii="Arial" w:eastAsia="Times New Roman" w:hAnsi="Arial" w:cs="Arial"/>
                <w:kern w:val="0"/>
                <w:lang w:eastAsia="en-US"/>
                <w14:ligatures w14:val="none"/>
              </w:rPr>
              <w:t>Shahsavar</w:t>
            </w:r>
            <w:proofErr w:type="spellEnd"/>
            <w:r w:rsidRPr="0016460E">
              <w:rPr>
                <w:rFonts w:ascii="Arial" w:eastAsia="Times New Roman" w:hAnsi="Arial" w:cs="Arial"/>
                <w:kern w:val="0"/>
                <w:lang w:eastAsia="en-US"/>
                <w14:ligatures w14:val="none"/>
              </w:rPr>
              <w:t xml:space="preserve"> &amp; Choudhury (2025); </w:t>
            </w:r>
            <w:proofErr w:type="spellStart"/>
            <w:r w:rsidRPr="0016460E">
              <w:rPr>
                <w:rFonts w:ascii="Arial" w:eastAsia="Times New Roman" w:hAnsi="Arial" w:cs="Arial"/>
                <w:kern w:val="0"/>
                <w:lang w:eastAsia="en-US"/>
                <w14:ligatures w14:val="none"/>
              </w:rPr>
              <w:t>MindSpot</w:t>
            </w:r>
            <w:proofErr w:type="spellEnd"/>
            <w:r w:rsidRPr="0016460E">
              <w:rPr>
                <w:rFonts w:ascii="Arial" w:eastAsia="Times New Roman" w:hAnsi="Arial" w:cs="Arial"/>
                <w:kern w:val="0"/>
                <w:lang w:eastAsia="en-US"/>
                <w14:ligatures w14:val="none"/>
              </w:rPr>
              <w:t xml:space="preserve"> outcomes</w:t>
            </w:r>
          </w:p>
        </w:tc>
      </w:tr>
      <w:tr w:rsidR="00E8758D" w:rsidRPr="0016460E" w14:paraId="69C45B23"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BEAFE"/>
            <w:vAlign w:val="center"/>
            <w:hideMark/>
          </w:tcPr>
          <w:p w14:paraId="1F79241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Short-term improvement</w:t>
            </w:r>
          </w:p>
        </w:tc>
        <w:tc>
          <w:tcPr>
            <w:tcW w:w="3150" w:type="dxa"/>
            <w:tcBorders>
              <w:top w:val="nil"/>
              <w:left w:val="nil"/>
              <w:bottom w:val="single" w:sz="4" w:space="0" w:color="D0D0D0"/>
              <w:right w:val="single" w:sz="4" w:space="0" w:color="D0D0D0"/>
            </w:tcBorders>
            <w:shd w:val="clear" w:color="000000" w:fill="DBEAFE"/>
            <w:vAlign w:val="center"/>
            <w:hideMark/>
          </w:tcPr>
          <w:p w14:paraId="056929D8"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Benefits observed mainly across short intervention windows (weeks) rather than long-term follow-up.</w:t>
            </w:r>
          </w:p>
        </w:tc>
        <w:tc>
          <w:tcPr>
            <w:tcW w:w="1530" w:type="dxa"/>
            <w:tcBorders>
              <w:top w:val="nil"/>
              <w:left w:val="nil"/>
              <w:bottom w:val="single" w:sz="4" w:space="0" w:color="D0D0D0"/>
              <w:right w:val="single" w:sz="4" w:space="0" w:color="D0D0D0"/>
            </w:tcBorders>
            <w:shd w:val="clear" w:color="000000" w:fill="DBEAFE"/>
            <w:vAlign w:val="center"/>
            <w:hideMark/>
          </w:tcPr>
          <w:p w14:paraId="2E77078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Time-limited benefits</w:t>
            </w:r>
          </w:p>
        </w:tc>
        <w:tc>
          <w:tcPr>
            <w:tcW w:w="2203" w:type="dxa"/>
            <w:tcBorders>
              <w:top w:val="nil"/>
              <w:left w:val="nil"/>
              <w:bottom w:val="single" w:sz="4" w:space="0" w:color="D0D0D0"/>
              <w:right w:val="single" w:sz="4" w:space="0" w:color="D0D0D0"/>
            </w:tcBorders>
            <w:shd w:val="clear" w:color="000000" w:fill="DBEAFE"/>
            <w:vAlign w:val="center"/>
            <w:hideMark/>
          </w:tcPr>
          <w:p w14:paraId="2767B702"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Clinical effectiveness &amp; symptom reduction</w:t>
            </w:r>
          </w:p>
        </w:tc>
        <w:tc>
          <w:tcPr>
            <w:tcW w:w="2032" w:type="dxa"/>
            <w:tcBorders>
              <w:top w:val="nil"/>
              <w:left w:val="nil"/>
              <w:bottom w:val="single" w:sz="4" w:space="0" w:color="D0D0D0"/>
              <w:right w:val="single" w:sz="4" w:space="0" w:color="D0D0D0"/>
            </w:tcBorders>
            <w:shd w:val="clear" w:color="000000" w:fill="DBEAFE"/>
            <w:vAlign w:val="center"/>
            <w:hideMark/>
          </w:tcPr>
          <w:p w14:paraId="50E484B8"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Bress et al. (2024); app RCTs</w:t>
            </w:r>
          </w:p>
        </w:tc>
      </w:tr>
      <w:tr w:rsidR="00E8758D" w:rsidRPr="0016460E" w14:paraId="297A1DE8"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BEAFE"/>
            <w:vAlign w:val="center"/>
            <w:hideMark/>
          </w:tcPr>
          <w:p w14:paraId="2CE934D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Limited long-term data</w:t>
            </w:r>
          </w:p>
        </w:tc>
        <w:tc>
          <w:tcPr>
            <w:tcW w:w="3150" w:type="dxa"/>
            <w:tcBorders>
              <w:top w:val="nil"/>
              <w:left w:val="nil"/>
              <w:bottom w:val="single" w:sz="4" w:space="0" w:color="D0D0D0"/>
              <w:right w:val="single" w:sz="4" w:space="0" w:color="D0D0D0"/>
            </w:tcBorders>
            <w:shd w:val="clear" w:color="000000" w:fill="DBEAFE"/>
            <w:vAlign w:val="center"/>
            <w:hideMark/>
          </w:tcPr>
          <w:p w14:paraId="099C0D5F"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Lack of follow-up evidence for sustained change or relapse prevention.</w:t>
            </w:r>
          </w:p>
        </w:tc>
        <w:tc>
          <w:tcPr>
            <w:tcW w:w="1530" w:type="dxa"/>
            <w:tcBorders>
              <w:top w:val="nil"/>
              <w:left w:val="nil"/>
              <w:bottom w:val="single" w:sz="4" w:space="0" w:color="D0D0D0"/>
              <w:right w:val="single" w:sz="4" w:space="0" w:color="D0D0D0"/>
            </w:tcBorders>
            <w:shd w:val="clear" w:color="000000" w:fill="DBEAFE"/>
            <w:vAlign w:val="center"/>
            <w:hideMark/>
          </w:tcPr>
          <w:p w14:paraId="42B9A803"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Sustainability and relapse</w:t>
            </w:r>
          </w:p>
        </w:tc>
        <w:tc>
          <w:tcPr>
            <w:tcW w:w="2203" w:type="dxa"/>
            <w:tcBorders>
              <w:top w:val="nil"/>
              <w:left w:val="nil"/>
              <w:bottom w:val="single" w:sz="4" w:space="0" w:color="D0D0D0"/>
              <w:right w:val="single" w:sz="4" w:space="0" w:color="D0D0D0"/>
            </w:tcBorders>
            <w:shd w:val="clear" w:color="000000" w:fill="DBEAFE"/>
            <w:vAlign w:val="center"/>
            <w:hideMark/>
          </w:tcPr>
          <w:p w14:paraId="676F6543"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Clinical effectiveness &amp; symptom reduction</w:t>
            </w:r>
          </w:p>
        </w:tc>
        <w:tc>
          <w:tcPr>
            <w:tcW w:w="2032" w:type="dxa"/>
            <w:tcBorders>
              <w:top w:val="nil"/>
              <w:left w:val="nil"/>
              <w:bottom w:val="single" w:sz="4" w:space="0" w:color="D0D0D0"/>
              <w:right w:val="single" w:sz="4" w:space="0" w:color="D0D0D0"/>
            </w:tcBorders>
            <w:shd w:val="clear" w:color="000000" w:fill="DBEAFE"/>
            <w:vAlign w:val="center"/>
            <w:hideMark/>
          </w:tcPr>
          <w:p w14:paraId="378CA3F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proofErr w:type="spellStart"/>
            <w:r w:rsidRPr="0016460E">
              <w:rPr>
                <w:rFonts w:ascii="Arial" w:eastAsia="Times New Roman" w:hAnsi="Arial" w:cs="Arial"/>
                <w:kern w:val="0"/>
                <w:lang w:eastAsia="en-US"/>
                <w14:ligatures w14:val="none"/>
              </w:rPr>
              <w:t>Shahsavar</w:t>
            </w:r>
            <w:proofErr w:type="spellEnd"/>
            <w:r w:rsidRPr="0016460E">
              <w:rPr>
                <w:rFonts w:ascii="Arial" w:eastAsia="Times New Roman" w:hAnsi="Arial" w:cs="Arial"/>
                <w:kern w:val="0"/>
                <w:lang w:eastAsia="en-US"/>
                <w14:ligatures w14:val="none"/>
              </w:rPr>
              <w:t xml:space="preserve"> &amp; Choudhury (2025)</w:t>
            </w:r>
          </w:p>
        </w:tc>
      </w:tr>
      <w:tr w:rsidR="00E8758D" w:rsidRPr="0016460E" w14:paraId="0291AE09"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BEAFE"/>
            <w:vAlign w:val="center"/>
            <w:hideMark/>
          </w:tcPr>
          <w:p w14:paraId="4CDA2074"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Guided vs unguided</w:t>
            </w:r>
          </w:p>
        </w:tc>
        <w:tc>
          <w:tcPr>
            <w:tcW w:w="3150" w:type="dxa"/>
            <w:tcBorders>
              <w:top w:val="nil"/>
              <w:left w:val="nil"/>
              <w:bottom w:val="single" w:sz="4" w:space="0" w:color="D0D0D0"/>
              <w:right w:val="single" w:sz="4" w:space="0" w:color="D0D0D0"/>
            </w:tcBorders>
            <w:shd w:val="clear" w:color="000000" w:fill="DBEAFE"/>
            <w:vAlign w:val="center"/>
            <w:hideMark/>
          </w:tcPr>
          <w:p w14:paraId="671BCD7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Differences between self-guided apps and therapist/coach supported delivery.</w:t>
            </w:r>
          </w:p>
        </w:tc>
        <w:tc>
          <w:tcPr>
            <w:tcW w:w="1530" w:type="dxa"/>
            <w:tcBorders>
              <w:top w:val="nil"/>
              <w:left w:val="nil"/>
              <w:bottom w:val="single" w:sz="4" w:space="0" w:color="D0D0D0"/>
              <w:right w:val="single" w:sz="4" w:space="0" w:color="D0D0D0"/>
            </w:tcBorders>
            <w:shd w:val="clear" w:color="000000" w:fill="DBEAFE"/>
            <w:vAlign w:val="center"/>
            <w:hideMark/>
          </w:tcPr>
          <w:p w14:paraId="30A556F2"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Role of human support</w:t>
            </w:r>
          </w:p>
        </w:tc>
        <w:tc>
          <w:tcPr>
            <w:tcW w:w="2203" w:type="dxa"/>
            <w:tcBorders>
              <w:top w:val="nil"/>
              <w:left w:val="nil"/>
              <w:bottom w:val="single" w:sz="4" w:space="0" w:color="D0D0D0"/>
              <w:right w:val="single" w:sz="4" w:space="0" w:color="D0D0D0"/>
            </w:tcBorders>
            <w:shd w:val="clear" w:color="000000" w:fill="DBEAFE"/>
            <w:vAlign w:val="center"/>
            <w:hideMark/>
          </w:tcPr>
          <w:p w14:paraId="52055529"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Clinical effectiveness &amp; symptom reduction</w:t>
            </w:r>
          </w:p>
        </w:tc>
        <w:tc>
          <w:tcPr>
            <w:tcW w:w="2032" w:type="dxa"/>
            <w:tcBorders>
              <w:top w:val="nil"/>
              <w:left w:val="nil"/>
              <w:bottom w:val="single" w:sz="4" w:space="0" w:color="D0D0D0"/>
              <w:right w:val="single" w:sz="4" w:space="0" w:color="D0D0D0"/>
            </w:tcBorders>
            <w:shd w:val="clear" w:color="000000" w:fill="DBEAFE"/>
            <w:vAlign w:val="center"/>
            <w:hideMark/>
          </w:tcPr>
          <w:p w14:paraId="31A0D82B"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proofErr w:type="spellStart"/>
            <w:r w:rsidRPr="0016460E">
              <w:rPr>
                <w:rFonts w:ascii="Arial" w:eastAsia="Times New Roman" w:hAnsi="Arial" w:cs="Arial"/>
                <w:kern w:val="0"/>
                <w:lang w:eastAsia="en-US"/>
                <w14:ligatures w14:val="none"/>
              </w:rPr>
              <w:t>Almuqrin</w:t>
            </w:r>
            <w:proofErr w:type="spellEnd"/>
            <w:r w:rsidRPr="0016460E">
              <w:rPr>
                <w:rFonts w:ascii="Arial" w:eastAsia="Times New Roman" w:hAnsi="Arial" w:cs="Arial"/>
                <w:kern w:val="0"/>
                <w:lang w:eastAsia="en-US"/>
                <w14:ligatures w14:val="none"/>
              </w:rPr>
              <w:t xml:space="preserve"> et al. (2025); </w:t>
            </w:r>
            <w:proofErr w:type="spellStart"/>
            <w:r w:rsidRPr="0016460E">
              <w:rPr>
                <w:rFonts w:ascii="Arial" w:eastAsia="Times New Roman" w:hAnsi="Arial" w:cs="Arial"/>
                <w:kern w:val="0"/>
                <w:lang w:eastAsia="en-US"/>
                <w14:ligatures w14:val="none"/>
              </w:rPr>
              <w:t>Linardon</w:t>
            </w:r>
            <w:proofErr w:type="spellEnd"/>
            <w:r w:rsidRPr="0016460E">
              <w:rPr>
                <w:rFonts w:ascii="Arial" w:eastAsia="Times New Roman" w:hAnsi="Arial" w:cs="Arial"/>
                <w:kern w:val="0"/>
                <w:lang w:eastAsia="en-US"/>
                <w14:ligatures w14:val="none"/>
              </w:rPr>
              <w:t xml:space="preserve"> &amp; Fuller-Tyszkiewicz (2020)</w:t>
            </w:r>
          </w:p>
        </w:tc>
      </w:tr>
      <w:tr w:rsidR="00E8758D" w:rsidRPr="00F63306" w14:paraId="628280D7"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CFCE7"/>
            <w:vAlign w:val="center"/>
            <w:hideMark/>
          </w:tcPr>
          <w:p w14:paraId="29CE3C8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Rapid drop-out</w:t>
            </w:r>
          </w:p>
        </w:tc>
        <w:tc>
          <w:tcPr>
            <w:tcW w:w="3150" w:type="dxa"/>
            <w:tcBorders>
              <w:top w:val="nil"/>
              <w:left w:val="nil"/>
              <w:bottom w:val="single" w:sz="4" w:space="0" w:color="D0D0D0"/>
              <w:right w:val="single" w:sz="4" w:space="0" w:color="D0D0D0"/>
            </w:tcBorders>
            <w:shd w:val="clear" w:color="000000" w:fill="DCFCE7"/>
            <w:vAlign w:val="center"/>
            <w:hideMark/>
          </w:tcPr>
          <w:p w14:paraId="67F4D5CB" w14:textId="3DB1FC2F"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Users disengage early, limiting real-world effectiveness.</w:t>
            </w:r>
          </w:p>
        </w:tc>
        <w:tc>
          <w:tcPr>
            <w:tcW w:w="1530" w:type="dxa"/>
            <w:tcBorders>
              <w:top w:val="nil"/>
              <w:left w:val="nil"/>
              <w:bottom w:val="single" w:sz="4" w:space="0" w:color="D0D0D0"/>
              <w:right w:val="single" w:sz="4" w:space="0" w:color="D0D0D0"/>
            </w:tcBorders>
            <w:shd w:val="clear" w:color="000000" w:fill="DCFCE7"/>
            <w:vAlign w:val="center"/>
            <w:hideMark/>
          </w:tcPr>
          <w:p w14:paraId="36BAB9EB"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Real-world adherence problems</w:t>
            </w:r>
          </w:p>
        </w:tc>
        <w:tc>
          <w:tcPr>
            <w:tcW w:w="2203" w:type="dxa"/>
            <w:tcBorders>
              <w:top w:val="nil"/>
              <w:left w:val="nil"/>
              <w:bottom w:val="single" w:sz="4" w:space="0" w:color="D0D0D0"/>
              <w:right w:val="single" w:sz="4" w:space="0" w:color="D0D0D0"/>
            </w:tcBorders>
            <w:shd w:val="clear" w:color="000000" w:fill="DCFCE7"/>
            <w:vAlign w:val="center"/>
            <w:hideMark/>
          </w:tcPr>
          <w:p w14:paraId="347B38CD"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engagement, retention &amp; accessibility</w:t>
            </w:r>
          </w:p>
        </w:tc>
        <w:tc>
          <w:tcPr>
            <w:tcW w:w="2032" w:type="dxa"/>
            <w:tcBorders>
              <w:top w:val="nil"/>
              <w:left w:val="nil"/>
              <w:bottom w:val="single" w:sz="4" w:space="0" w:color="D0D0D0"/>
              <w:right w:val="single" w:sz="4" w:space="0" w:color="D0D0D0"/>
            </w:tcBorders>
            <w:shd w:val="clear" w:color="000000" w:fill="DCFCE7"/>
            <w:vAlign w:val="center"/>
            <w:hideMark/>
          </w:tcPr>
          <w:p w14:paraId="763ECE6F" w14:textId="77777777" w:rsidR="009118C7" w:rsidRPr="0016460E" w:rsidRDefault="009118C7" w:rsidP="00CF01E1">
            <w:pPr>
              <w:spacing w:after="0" w:line="240" w:lineRule="auto"/>
              <w:jc w:val="left"/>
              <w:rPr>
                <w:rFonts w:ascii="Arial" w:eastAsia="Times New Roman" w:hAnsi="Arial" w:cs="Arial"/>
                <w:kern w:val="0"/>
                <w:lang w:val="de-DE" w:eastAsia="en-US"/>
                <w14:ligatures w14:val="none"/>
              </w:rPr>
            </w:pPr>
            <w:r w:rsidRPr="0016460E">
              <w:rPr>
                <w:rFonts w:ascii="Arial" w:eastAsia="Times New Roman" w:hAnsi="Arial" w:cs="Arial"/>
                <w:kern w:val="0"/>
                <w:lang w:val="de-DE" w:eastAsia="en-US"/>
                <w14:ligatures w14:val="none"/>
              </w:rPr>
              <w:t>Baumel et al. (2019); Boucher &amp; Raiker (2024)</w:t>
            </w:r>
          </w:p>
        </w:tc>
      </w:tr>
      <w:tr w:rsidR="00E8758D" w:rsidRPr="0016460E" w14:paraId="6D6D5476"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CFCE7"/>
            <w:vAlign w:val="center"/>
            <w:hideMark/>
          </w:tcPr>
          <w:p w14:paraId="4395B682"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Adherence / completion</w:t>
            </w:r>
          </w:p>
        </w:tc>
        <w:tc>
          <w:tcPr>
            <w:tcW w:w="3150" w:type="dxa"/>
            <w:tcBorders>
              <w:top w:val="nil"/>
              <w:left w:val="nil"/>
              <w:bottom w:val="single" w:sz="4" w:space="0" w:color="D0D0D0"/>
              <w:right w:val="single" w:sz="4" w:space="0" w:color="D0D0D0"/>
            </w:tcBorders>
            <w:shd w:val="clear" w:color="000000" w:fill="DCFCE7"/>
            <w:vAlign w:val="center"/>
            <w:hideMark/>
          </w:tcPr>
          <w:p w14:paraId="61878379"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 xml:space="preserve">Extent to which </w:t>
            </w:r>
            <w:proofErr w:type="gramStart"/>
            <w:r w:rsidRPr="0016460E">
              <w:rPr>
                <w:rFonts w:ascii="Arial" w:eastAsia="Times New Roman" w:hAnsi="Arial" w:cs="Arial"/>
                <w:kern w:val="0"/>
                <w:lang w:eastAsia="en-US"/>
                <w14:ligatures w14:val="none"/>
              </w:rPr>
              <w:t>users</w:t>
            </w:r>
            <w:proofErr w:type="gramEnd"/>
            <w:r w:rsidRPr="0016460E">
              <w:rPr>
                <w:rFonts w:ascii="Arial" w:eastAsia="Times New Roman" w:hAnsi="Arial" w:cs="Arial"/>
                <w:kern w:val="0"/>
                <w:lang w:eastAsia="en-US"/>
                <w14:ligatures w14:val="none"/>
              </w:rPr>
              <w:t xml:space="preserve"> complete modules or recommended activities.</w:t>
            </w:r>
          </w:p>
        </w:tc>
        <w:tc>
          <w:tcPr>
            <w:tcW w:w="1530" w:type="dxa"/>
            <w:tcBorders>
              <w:top w:val="nil"/>
              <w:left w:val="nil"/>
              <w:bottom w:val="single" w:sz="4" w:space="0" w:color="D0D0D0"/>
              <w:right w:val="single" w:sz="4" w:space="0" w:color="D0D0D0"/>
            </w:tcBorders>
            <w:shd w:val="clear" w:color="000000" w:fill="DCFCE7"/>
            <w:vAlign w:val="center"/>
            <w:hideMark/>
          </w:tcPr>
          <w:p w14:paraId="26CBA88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Sustained usage patterns</w:t>
            </w:r>
          </w:p>
        </w:tc>
        <w:tc>
          <w:tcPr>
            <w:tcW w:w="2203" w:type="dxa"/>
            <w:tcBorders>
              <w:top w:val="nil"/>
              <w:left w:val="nil"/>
              <w:bottom w:val="single" w:sz="4" w:space="0" w:color="D0D0D0"/>
              <w:right w:val="single" w:sz="4" w:space="0" w:color="D0D0D0"/>
            </w:tcBorders>
            <w:shd w:val="clear" w:color="000000" w:fill="DCFCE7"/>
            <w:vAlign w:val="center"/>
            <w:hideMark/>
          </w:tcPr>
          <w:p w14:paraId="6E0D0846"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engagement, retention &amp; accessibility</w:t>
            </w:r>
          </w:p>
        </w:tc>
        <w:tc>
          <w:tcPr>
            <w:tcW w:w="2032" w:type="dxa"/>
            <w:tcBorders>
              <w:top w:val="nil"/>
              <w:left w:val="nil"/>
              <w:bottom w:val="single" w:sz="4" w:space="0" w:color="D0D0D0"/>
              <w:right w:val="single" w:sz="4" w:space="0" w:color="D0D0D0"/>
            </w:tcBorders>
            <w:shd w:val="clear" w:color="000000" w:fill="DCFCE7"/>
            <w:vAlign w:val="center"/>
            <w:hideMark/>
          </w:tcPr>
          <w:p w14:paraId="05035F58"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 xml:space="preserve">Boucher &amp; </w:t>
            </w:r>
            <w:proofErr w:type="spellStart"/>
            <w:r w:rsidRPr="0016460E">
              <w:rPr>
                <w:rFonts w:ascii="Arial" w:eastAsia="Times New Roman" w:hAnsi="Arial" w:cs="Arial"/>
                <w:kern w:val="0"/>
                <w:lang w:eastAsia="en-US"/>
                <w14:ligatures w14:val="none"/>
              </w:rPr>
              <w:t>Raiker</w:t>
            </w:r>
            <w:proofErr w:type="spellEnd"/>
            <w:r w:rsidRPr="0016460E">
              <w:rPr>
                <w:rFonts w:ascii="Arial" w:eastAsia="Times New Roman" w:hAnsi="Arial" w:cs="Arial"/>
                <w:kern w:val="0"/>
                <w:lang w:eastAsia="en-US"/>
                <w14:ligatures w14:val="none"/>
              </w:rPr>
              <w:t xml:space="preserve"> (2024); SPARX case</w:t>
            </w:r>
          </w:p>
        </w:tc>
      </w:tr>
      <w:tr w:rsidR="00E8758D" w:rsidRPr="0016460E" w14:paraId="79C6330B"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CFCE7"/>
            <w:vAlign w:val="center"/>
            <w:hideMark/>
          </w:tcPr>
          <w:p w14:paraId="164E142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Motivation / readiness</w:t>
            </w:r>
          </w:p>
        </w:tc>
        <w:tc>
          <w:tcPr>
            <w:tcW w:w="3150" w:type="dxa"/>
            <w:tcBorders>
              <w:top w:val="nil"/>
              <w:left w:val="nil"/>
              <w:bottom w:val="single" w:sz="4" w:space="0" w:color="D0D0D0"/>
              <w:right w:val="single" w:sz="4" w:space="0" w:color="D0D0D0"/>
            </w:tcBorders>
            <w:shd w:val="clear" w:color="000000" w:fill="DCFCE7"/>
            <w:vAlign w:val="center"/>
            <w:hideMark/>
          </w:tcPr>
          <w:p w14:paraId="4C66E0C6"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motivation, symptom severity, competing demands influencing engagement.</w:t>
            </w:r>
          </w:p>
        </w:tc>
        <w:tc>
          <w:tcPr>
            <w:tcW w:w="1530" w:type="dxa"/>
            <w:tcBorders>
              <w:top w:val="nil"/>
              <w:left w:val="nil"/>
              <w:bottom w:val="single" w:sz="4" w:space="0" w:color="D0D0D0"/>
              <w:right w:val="single" w:sz="4" w:space="0" w:color="D0D0D0"/>
            </w:tcBorders>
            <w:shd w:val="clear" w:color="000000" w:fill="DCFCE7"/>
            <w:vAlign w:val="center"/>
            <w:hideMark/>
          </w:tcPr>
          <w:p w14:paraId="21C9DAE8"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User-related engagement factors</w:t>
            </w:r>
          </w:p>
        </w:tc>
        <w:tc>
          <w:tcPr>
            <w:tcW w:w="2203" w:type="dxa"/>
            <w:tcBorders>
              <w:top w:val="nil"/>
              <w:left w:val="nil"/>
              <w:bottom w:val="single" w:sz="4" w:space="0" w:color="D0D0D0"/>
              <w:right w:val="single" w:sz="4" w:space="0" w:color="D0D0D0"/>
            </w:tcBorders>
            <w:shd w:val="clear" w:color="000000" w:fill="DCFCE7"/>
            <w:vAlign w:val="center"/>
            <w:hideMark/>
          </w:tcPr>
          <w:p w14:paraId="57DFBAFD"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engagement, retention &amp; accessibility</w:t>
            </w:r>
          </w:p>
        </w:tc>
        <w:tc>
          <w:tcPr>
            <w:tcW w:w="2032" w:type="dxa"/>
            <w:tcBorders>
              <w:top w:val="nil"/>
              <w:left w:val="nil"/>
              <w:bottom w:val="single" w:sz="4" w:space="0" w:color="D0D0D0"/>
              <w:right w:val="single" w:sz="4" w:space="0" w:color="D0D0D0"/>
            </w:tcBorders>
            <w:shd w:val="clear" w:color="000000" w:fill="DCFCE7"/>
            <w:vAlign w:val="center"/>
            <w:hideMark/>
          </w:tcPr>
          <w:p w14:paraId="3D156B6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 xml:space="preserve">Boucher &amp; </w:t>
            </w:r>
            <w:proofErr w:type="spellStart"/>
            <w:r w:rsidRPr="0016460E">
              <w:rPr>
                <w:rFonts w:ascii="Arial" w:eastAsia="Times New Roman" w:hAnsi="Arial" w:cs="Arial"/>
                <w:kern w:val="0"/>
                <w:lang w:eastAsia="en-US"/>
                <w14:ligatures w14:val="none"/>
              </w:rPr>
              <w:t>Raiker</w:t>
            </w:r>
            <w:proofErr w:type="spellEnd"/>
            <w:r w:rsidRPr="0016460E">
              <w:rPr>
                <w:rFonts w:ascii="Arial" w:eastAsia="Times New Roman" w:hAnsi="Arial" w:cs="Arial"/>
                <w:kern w:val="0"/>
                <w:lang w:eastAsia="en-US"/>
                <w14:ligatures w14:val="none"/>
              </w:rPr>
              <w:t xml:space="preserve"> (2024)</w:t>
            </w:r>
          </w:p>
        </w:tc>
      </w:tr>
      <w:tr w:rsidR="00E8758D" w:rsidRPr="0016460E" w14:paraId="5C1A5BAB"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CFCE7"/>
            <w:vAlign w:val="center"/>
            <w:hideMark/>
          </w:tcPr>
          <w:p w14:paraId="43A12B0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Digital divide</w:t>
            </w:r>
          </w:p>
        </w:tc>
        <w:tc>
          <w:tcPr>
            <w:tcW w:w="3150" w:type="dxa"/>
            <w:tcBorders>
              <w:top w:val="nil"/>
              <w:left w:val="nil"/>
              <w:bottom w:val="single" w:sz="4" w:space="0" w:color="D0D0D0"/>
              <w:right w:val="single" w:sz="4" w:space="0" w:color="D0D0D0"/>
            </w:tcBorders>
            <w:shd w:val="clear" w:color="000000" w:fill="DCFCE7"/>
            <w:vAlign w:val="center"/>
            <w:hideMark/>
          </w:tcPr>
          <w:p w14:paraId="18FC731A"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Barriers such as device access, connectivity, data costs, and digital literacy.</w:t>
            </w:r>
          </w:p>
        </w:tc>
        <w:tc>
          <w:tcPr>
            <w:tcW w:w="1530" w:type="dxa"/>
            <w:tcBorders>
              <w:top w:val="nil"/>
              <w:left w:val="nil"/>
              <w:bottom w:val="single" w:sz="4" w:space="0" w:color="D0D0D0"/>
              <w:right w:val="single" w:sz="4" w:space="0" w:color="D0D0D0"/>
            </w:tcBorders>
            <w:shd w:val="clear" w:color="000000" w:fill="DCFCE7"/>
            <w:vAlign w:val="center"/>
            <w:hideMark/>
          </w:tcPr>
          <w:p w14:paraId="27D871D5"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Inequalities in access</w:t>
            </w:r>
          </w:p>
        </w:tc>
        <w:tc>
          <w:tcPr>
            <w:tcW w:w="2203" w:type="dxa"/>
            <w:tcBorders>
              <w:top w:val="nil"/>
              <w:left w:val="nil"/>
              <w:bottom w:val="single" w:sz="4" w:space="0" w:color="D0D0D0"/>
              <w:right w:val="single" w:sz="4" w:space="0" w:color="D0D0D0"/>
            </w:tcBorders>
            <w:shd w:val="clear" w:color="000000" w:fill="DCFCE7"/>
            <w:vAlign w:val="center"/>
            <w:hideMark/>
          </w:tcPr>
          <w:p w14:paraId="3593B38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engagement, retention &amp; accessibility</w:t>
            </w:r>
          </w:p>
        </w:tc>
        <w:tc>
          <w:tcPr>
            <w:tcW w:w="2032" w:type="dxa"/>
            <w:tcBorders>
              <w:top w:val="nil"/>
              <w:left w:val="nil"/>
              <w:bottom w:val="single" w:sz="4" w:space="0" w:color="D0D0D0"/>
              <w:right w:val="single" w:sz="4" w:space="0" w:color="D0D0D0"/>
            </w:tcBorders>
            <w:shd w:val="clear" w:color="000000" w:fill="DCFCE7"/>
            <w:vAlign w:val="center"/>
            <w:hideMark/>
          </w:tcPr>
          <w:p w14:paraId="7E59F509"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Bear et al. (2024)</w:t>
            </w:r>
          </w:p>
        </w:tc>
      </w:tr>
      <w:tr w:rsidR="00E8758D" w:rsidRPr="0016460E" w14:paraId="011013D9"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CFCE7"/>
            <w:vAlign w:val="center"/>
            <w:hideMark/>
          </w:tcPr>
          <w:p w14:paraId="7A3BA3A2"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Cultural relevance</w:t>
            </w:r>
          </w:p>
        </w:tc>
        <w:tc>
          <w:tcPr>
            <w:tcW w:w="3150" w:type="dxa"/>
            <w:tcBorders>
              <w:top w:val="nil"/>
              <w:left w:val="nil"/>
              <w:bottom w:val="single" w:sz="4" w:space="0" w:color="D0D0D0"/>
              <w:right w:val="single" w:sz="4" w:space="0" w:color="D0D0D0"/>
            </w:tcBorders>
            <w:shd w:val="clear" w:color="000000" w:fill="DCFCE7"/>
            <w:vAlign w:val="center"/>
            <w:hideMark/>
          </w:tcPr>
          <w:p w14:paraId="5D0168FF"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Fit between app content and user context; language and lived experience alignment.</w:t>
            </w:r>
          </w:p>
        </w:tc>
        <w:tc>
          <w:tcPr>
            <w:tcW w:w="1530" w:type="dxa"/>
            <w:tcBorders>
              <w:top w:val="nil"/>
              <w:left w:val="nil"/>
              <w:bottom w:val="single" w:sz="4" w:space="0" w:color="D0D0D0"/>
              <w:right w:val="single" w:sz="4" w:space="0" w:color="D0D0D0"/>
            </w:tcBorders>
            <w:shd w:val="clear" w:color="000000" w:fill="DCFCE7"/>
            <w:vAlign w:val="center"/>
            <w:hideMark/>
          </w:tcPr>
          <w:p w14:paraId="1A25F54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Acceptability and inclusion</w:t>
            </w:r>
          </w:p>
        </w:tc>
        <w:tc>
          <w:tcPr>
            <w:tcW w:w="2203" w:type="dxa"/>
            <w:tcBorders>
              <w:top w:val="nil"/>
              <w:left w:val="nil"/>
              <w:bottom w:val="single" w:sz="4" w:space="0" w:color="D0D0D0"/>
              <w:right w:val="single" w:sz="4" w:space="0" w:color="D0D0D0"/>
            </w:tcBorders>
            <w:shd w:val="clear" w:color="000000" w:fill="DCFCE7"/>
            <w:vAlign w:val="center"/>
            <w:hideMark/>
          </w:tcPr>
          <w:p w14:paraId="3D3E6055"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engagement, retention &amp; accessibility</w:t>
            </w:r>
          </w:p>
        </w:tc>
        <w:tc>
          <w:tcPr>
            <w:tcW w:w="2032" w:type="dxa"/>
            <w:tcBorders>
              <w:top w:val="nil"/>
              <w:left w:val="nil"/>
              <w:bottom w:val="single" w:sz="4" w:space="0" w:color="D0D0D0"/>
              <w:right w:val="single" w:sz="4" w:space="0" w:color="D0D0D0"/>
            </w:tcBorders>
            <w:shd w:val="clear" w:color="000000" w:fill="DCFCE7"/>
            <w:vAlign w:val="center"/>
            <w:hideMark/>
          </w:tcPr>
          <w:p w14:paraId="1D026CAE"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Bear et al. (2024)</w:t>
            </w:r>
          </w:p>
        </w:tc>
      </w:tr>
      <w:tr w:rsidR="00E8758D" w:rsidRPr="0016460E" w14:paraId="002E1DD5"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DCFCE7"/>
            <w:vAlign w:val="center"/>
            <w:hideMark/>
          </w:tcPr>
          <w:p w14:paraId="60D62DFE"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Co-design</w:t>
            </w:r>
          </w:p>
        </w:tc>
        <w:tc>
          <w:tcPr>
            <w:tcW w:w="3150" w:type="dxa"/>
            <w:tcBorders>
              <w:top w:val="nil"/>
              <w:left w:val="nil"/>
              <w:bottom w:val="single" w:sz="4" w:space="0" w:color="D0D0D0"/>
              <w:right w:val="single" w:sz="4" w:space="0" w:color="D0D0D0"/>
            </w:tcBorders>
            <w:shd w:val="clear" w:color="000000" w:fill="DCFCE7"/>
            <w:vAlign w:val="center"/>
            <w:hideMark/>
          </w:tcPr>
          <w:p w14:paraId="13AF520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involvement in design/testing to improve usability, relevance, and equity.</w:t>
            </w:r>
          </w:p>
        </w:tc>
        <w:tc>
          <w:tcPr>
            <w:tcW w:w="1530" w:type="dxa"/>
            <w:tcBorders>
              <w:top w:val="nil"/>
              <w:left w:val="nil"/>
              <w:bottom w:val="single" w:sz="4" w:space="0" w:color="D0D0D0"/>
              <w:right w:val="single" w:sz="4" w:space="0" w:color="D0D0D0"/>
            </w:tcBorders>
            <w:shd w:val="clear" w:color="000000" w:fill="DCFCE7"/>
            <w:vAlign w:val="center"/>
            <w:hideMark/>
          </w:tcPr>
          <w:p w14:paraId="47EA92EF"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Design for engagement</w:t>
            </w:r>
          </w:p>
        </w:tc>
        <w:tc>
          <w:tcPr>
            <w:tcW w:w="2203" w:type="dxa"/>
            <w:tcBorders>
              <w:top w:val="nil"/>
              <w:left w:val="nil"/>
              <w:bottom w:val="single" w:sz="4" w:space="0" w:color="D0D0D0"/>
              <w:right w:val="single" w:sz="4" w:space="0" w:color="D0D0D0"/>
            </w:tcBorders>
            <w:shd w:val="clear" w:color="000000" w:fill="DCFCE7"/>
            <w:vAlign w:val="center"/>
            <w:hideMark/>
          </w:tcPr>
          <w:p w14:paraId="0D13C41A"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engagement, retention &amp; accessibility</w:t>
            </w:r>
          </w:p>
        </w:tc>
        <w:tc>
          <w:tcPr>
            <w:tcW w:w="2032" w:type="dxa"/>
            <w:tcBorders>
              <w:top w:val="nil"/>
              <w:left w:val="nil"/>
              <w:bottom w:val="single" w:sz="4" w:space="0" w:color="D0D0D0"/>
              <w:right w:val="single" w:sz="4" w:space="0" w:color="D0D0D0"/>
            </w:tcBorders>
            <w:shd w:val="clear" w:color="000000" w:fill="DCFCE7"/>
            <w:vAlign w:val="center"/>
            <w:hideMark/>
          </w:tcPr>
          <w:p w14:paraId="4A56D4CA"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Co-design literature; Bear et al. (2024)</w:t>
            </w:r>
          </w:p>
        </w:tc>
      </w:tr>
      <w:tr w:rsidR="00E8758D" w:rsidRPr="0016460E" w14:paraId="26DCCDCE"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043B1CB2"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Data privacy concern</w:t>
            </w:r>
          </w:p>
        </w:tc>
        <w:tc>
          <w:tcPr>
            <w:tcW w:w="3150" w:type="dxa"/>
            <w:tcBorders>
              <w:top w:val="nil"/>
              <w:left w:val="nil"/>
              <w:bottom w:val="single" w:sz="4" w:space="0" w:color="D0D0D0"/>
              <w:right w:val="single" w:sz="4" w:space="0" w:color="D0D0D0"/>
            </w:tcBorders>
            <w:shd w:val="clear" w:color="000000" w:fill="FEE2E2"/>
            <w:vAlign w:val="center"/>
            <w:hideMark/>
          </w:tcPr>
          <w:p w14:paraId="6AC8818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Concerns about collection/storage/sharing of sensitive mental health data.</w:t>
            </w:r>
          </w:p>
        </w:tc>
        <w:tc>
          <w:tcPr>
            <w:tcW w:w="1530" w:type="dxa"/>
            <w:tcBorders>
              <w:top w:val="nil"/>
              <w:left w:val="nil"/>
              <w:bottom w:val="single" w:sz="4" w:space="0" w:color="D0D0D0"/>
              <w:right w:val="single" w:sz="4" w:space="0" w:color="D0D0D0"/>
            </w:tcBorders>
            <w:shd w:val="clear" w:color="000000" w:fill="FEE2E2"/>
            <w:vAlign w:val="center"/>
            <w:hideMark/>
          </w:tcPr>
          <w:p w14:paraId="291CF37D"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risk perception</w:t>
            </w:r>
          </w:p>
        </w:tc>
        <w:tc>
          <w:tcPr>
            <w:tcW w:w="2203" w:type="dxa"/>
            <w:tcBorders>
              <w:top w:val="nil"/>
              <w:left w:val="nil"/>
              <w:bottom w:val="single" w:sz="4" w:space="0" w:color="D0D0D0"/>
              <w:right w:val="single" w:sz="4" w:space="0" w:color="D0D0D0"/>
            </w:tcBorders>
            <w:shd w:val="clear" w:color="000000" w:fill="FEE2E2"/>
            <w:vAlign w:val="center"/>
            <w:hideMark/>
          </w:tcPr>
          <w:p w14:paraId="56B5C9F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1711F47B"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proofErr w:type="spellStart"/>
            <w:r w:rsidRPr="0016460E">
              <w:rPr>
                <w:rFonts w:ascii="Arial" w:eastAsia="Times New Roman" w:hAnsi="Arial" w:cs="Arial"/>
                <w:kern w:val="0"/>
                <w:lang w:eastAsia="en-US"/>
                <w14:ligatures w14:val="none"/>
              </w:rPr>
              <w:t>Huckvale</w:t>
            </w:r>
            <w:proofErr w:type="spellEnd"/>
            <w:r w:rsidRPr="0016460E">
              <w:rPr>
                <w:rFonts w:ascii="Arial" w:eastAsia="Times New Roman" w:hAnsi="Arial" w:cs="Arial"/>
                <w:kern w:val="0"/>
                <w:lang w:eastAsia="en-US"/>
                <w14:ligatures w14:val="none"/>
              </w:rPr>
              <w:t xml:space="preserve"> et al. (2019); Tangari et al. (2021)</w:t>
            </w:r>
          </w:p>
        </w:tc>
      </w:tr>
      <w:tr w:rsidR="00E8758D" w:rsidRPr="0016460E" w14:paraId="7387FC18"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7FD0175F"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Third-party data sharing</w:t>
            </w:r>
          </w:p>
        </w:tc>
        <w:tc>
          <w:tcPr>
            <w:tcW w:w="3150" w:type="dxa"/>
            <w:tcBorders>
              <w:top w:val="nil"/>
              <w:left w:val="nil"/>
              <w:bottom w:val="single" w:sz="4" w:space="0" w:color="D0D0D0"/>
              <w:right w:val="single" w:sz="4" w:space="0" w:color="D0D0D0"/>
            </w:tcBorders>
            <w:shd w:val="clear" w:color="000000" w:fill="FEE2E2"/>
            <w:vAlign w:val="center"/>
            <w:hideMark/>
          </w:tcPr>
          <w:p w14:paraId="6D1D98E9"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Transmission of data to analytics/advertising partners and unclear disclosure.</w:t>
            </w:r>
          </w:p>
        </w:tc>
        <w:tc>
          <w:tcPr>
            <w:tcW w:w="1530" w:type="dxa"/>
            <w:tcBorders>
              <w:top w:val="nil"/>
              <w:left w:val="nil"/>
              <w:bottom w:val="single" w:sz="4" w:space="0" w:color="D0D0D0"/>
              <w:right w:val="single" w:sz="4" w:space="0" w:color="D0D0D0"/>
            </w:tcBorders>
            <w:shd w:val="clear" w:color="000000" w:fill="FEE2E2"/>
            <w:vAlign w:val="center"/>
            <w:hideMark/>
          </w:tcPr>
          <w:p w14:paraId="23801729"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Commercial and data risks</w:t>
            </w:r>
          </w:p>
        </w:tc>
        <w:tc>
          <w:tcPr>
            <w:tcW w:w="2203" w:type="dxa"/>
            <w:tcBorders>
              <w:top w:val="nil"/>
              <w:left w:val="nil"/>
              <w:bottom w:val="single" w:sz="4" w:space="0" w:color="D0D0D0"/>
              <w:right w:val="single" w:sz="4" w:space="0" w:color="D0D0D0"/>
            </w:tcBorders>
            <w:shd w:val="clear" w:color="000000" w:fill="FEE2E2"/>
            <w:vAlign w:val="center"/>
            <w:hideMark/>
          </w:tcPr>
          <w:p w14:paraId="040544C2"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592B772E"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proofErr w:type="spellStart"/>
            <w:r w:rsidRPr="0016460E">
              <w:rPr>
                <w:rFonts w:ascii="Arial" w:eastAsia="Times New Roman" w:hAnsi="Arial" w:cs="Arial"/>
                <w:kern w:val="0"/>
                <w:lang w:eastAsia="en-US"/>
                <w14:ligatures w14:val="none"/>
              </w:rPr>
              <w:t>Huckvale</w:t>
            </w:r>
            <w:proofErr w:type="spellEnd"/>
            <w:r w:rsidRPr="0016460E">
              <w:rPr>
                <w:rFonts w:ascii="Arial" w:eastAsia="Times New Roman" w:hAnsi="Arial" w:cs="Arial"/>
                <w:kern w:val="0"/>
                <w:lang w:eastAsia="en-US"/>
                <w14:ligatures w14:val="none"/>
              </w:rPr>
              <w:t xml:space="preserve"> et al. (2019); Tangari et al. (2021)</w:t>
            </w:r>
          </w:p>
        </w:tc>
      </w:tr>
      <w:tr w:rsidR="00E8758D" w:rsidRPr="0016460E" w14:paraId="49DF7C44"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42DF237F"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lastRenderedPageBreak/>
              <w:t>Lack of transparency</w:t>
            </w:r>
          </w:p>
        </w:tc>
        <w:tc>
          <w:tcPr>
            <w:tcW w:w="3150" w:type="dxa"/>
            <w:tcBorders>
              <w:top w:val="nil"/>
              <w:left w:val="nil"/>
              <w:bottom w:val="single" w:sz="4" w:space="0" w:color="D0D0D0"/>
              <w:right w:val="single" w:sz="4" w:space="0" w:color="D0D0D0"/>
            </w:tcBorders>
            <w:shd w:val="clear" w:color="000000" w:fill="FEE2E2"/>
            <w:vAlign w:val="center"/>
            <w:hideMark/>
          </w:tcPr>
          <w:p w14:paraId="0561A5DE"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Opaque privacy policies and limited user control; unclear therapeutic claims.</w:t>
            </w:r>
          </w:p>
        </w:tc>
        <w:tc>
          <w:tcPr>
            <w:tcW w:w="1530" w:type="dxa"/>
            <w:tcBorders>
              <w:top w:val="nil"/>
              <w:left w:val="nil"/>
              <w:bottom w:val="single" w:sz="4" w:space="0" w:color="D0D0D0"/>
              <w:right w:val="single" w:sz="4" w:space="0" w:color="D0D0D0"/>
            </w:tcBorders>
            <w:shd w:val="clear" w:color="000000" w:fill="FEE2E2"/>
            <w:vAlign w:val="center"/>
            <w:hideMark/>
          </w:tcPr>
          <w:p w14:paraId="0E24EA4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Informed consent and trust</w:t>
            </w:r>
          </w:p>
        </w:tc>
        <w:tc>
          <w:tcPr>
            <w:tcW w:w="2203" w:type="dxa"/>
            <w:tcBorders>
              <w:top w:val="nil"/>
              <w:left w:val="nil"/>
              <w:bottom w:val="single" w:sz="4" w:space="0" w:color="D0D0D0"/>
              <w:right w:val="single" w:sz="4" w:space="0" w:color="D0D0D0"/>
            </w:tcBorders>
            <w:shd w:val="clear" w:color="000000" w:fill="FEE2E2"/>
            <w:vAlign w:val="center"/>
            <w:hideMark/>
          </w:tcPr>
          <w:p w14:paraId="393B605C"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35EC6B5C"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proofErr w:type="spellStart"/>
            <w:r w:rsidRPr="0016460E">
              <w:rPr>
                <w:rFonts w:ascii="Arial" w:eastAsia="Times New Roman" w:hAnsi="Arial" w:cs="Arial"/>
                <w:kern w:val="0"/>
                <w:lang w:eastAsia="en-US"/>
                <w14:ligatures w14:val="none"/>
              </w:rPr>
              <w:t>Huckvale</w:t>
            </w:r>
            <w:proofErr w:type="spellEnd"/>
            <w:r w:rsidRPr="0016460E">
              <w:rPr>
                <w:rFonts w:ascii="Arial" w:eastAsia="Times New Roman" w:hAnsi="Arial" w:cs="Arial"/>
                <w:kern w:val="0"/>
                <w:lang w:eastAsia="en-US"/>
                <w14:ligatures w14:val="none"/>
              </w:rPr>
              <w:t xml:space="preserve"> et al. (2019)</w:t>
            </w:r>
          </w:p>
        </w:tc>
      </w:tr>
      <w:tr w:rsidR="00E8758D" w:rsidRPr="0016460E" w14:paraId="16D02496"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1DAF205C"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Under-reported harms</w:t>
            </w:r>
          </w:p>
        </w:tc>
        <w:tc>
          <w:tcPr>
            <w:tcW w:w="3150" w:type="dxa"/>
            <w:tcBorders>
              <w:top w:val="nil"/>
              <w:left w:val="nil"/>
              <w:bottom w:val="single" w:sz="4" w:space="0" w:color="D0D0D0"/>
              <w:right w:val="single" w:sz="4" w:space="0" w:color="D0D0D0"/>
            </w:tcBorders>
            <w:shd w:val="clear" w:color="000000" w:fill="FEE2E2"/>
            <w:vAlign w:val="center"/>
            <w:hideMark/>
          </w:tcPr>
          <w:p w14:paraId="62793339"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Inconsistent adverse event reporting; potential symptom worsening in some users.</w:t>
            </w:r>
          </w:p>
        </w:tc>
        <w:tc>
          <w:tcPr>
            <w:tcW w:w="1530" w:type="dxa"/>
            <w:tcBorders>
              <w:top w:val="nil"/>
              <w:left w:val="nil"/>
              <w:bottom w:val="single" w:sz="4" w:space="0" w:color="D0D0D0"/>
              <w:right w:val="single" w:sz="4" w:space="0" w:color="D0D0D0"/>
            </w:tcBorders>
            <w:shd w:val="clear" w:color="000000" w:fill="FEE2E2"/>
            <w:vAlign w:val="center"/>
            <w:hideMark/>
          </w:tcPr>
          <w:p w14:paraId="5EAF0EB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Safety and risk management</w:t>
            </w:r>
          </w:p>
        </w:tc>
        <w:tc>
          <w:tcPr>
            <w:tcW w:w="2203" w:type="dxa"/>
            <w:tcBorders>
              <w:top w:val="nil"/>
              <w:left w:val="nil"/>
              <w:bottom w:val="single" w:sz="4" w:space="0" w:color="D0D0D0"/>
              <w:right w:val="single" w:sz="4" w:space="0" w:color="D0D0D0"/>
            </w:tcBorders>
            <w:shd w:val="clear" w:color="000000" w:fill="FEE2E2"/>
            <w:vAlign w:val="center"/>
            <w:hideMark/>
          </w:tcPr>
          <w:p w14:paraId="7CD34EE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5185D884"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Adverse events meta-analysis (2024)</w:t>
            </w:r>
          </w:p>
        </w:tc>
      </w:tr>
      <w:tr w:rsidR="00E8758D" w:rsidRPr="0016460E" w14:paraId="6140732E"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4A183FCB"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Regulatory framework</w:t>
            </w:r>
          </w:p>
        </w:tc>
        <w:tc>
          <w:tcPr>
            <w:tcW w:w="3150" w:type="dxa"/>
            <w:tcBorders>
              <w:top w:val="nil"/>
              <w:left w:val="nil"/>
              <w:bottom w:val="single" w:sz="4" w:space="0" w:color="D0D0D0"/>
              <w:right w:val="single" w:sz="4" w:space="0" w:color="D0D0D0"/>
            </w:tcBorders>
            <w:shd w:val="clear" w:color="000000" w:fill="FEE2E2"/>
            <w:vAlign w:val="center"/>
            <w:hideMark/>
          </w:tcPr>
          <w:p w14:paraId="1F543C85"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Standards such as DTAC/WHO guidance shaping safe adoption and oversight.</w:t>
            </w:r>
          </w:p>
        </w:tc>
        <w:tc>
          <w:tcPr>
            <w:tcW w:w="1530" w:type="dxa"/>
            <w:tcBorders>
              <w:top w:val="nil"/>
              <w:left w:val="nil"/>
              <w:bottom w:val="single" w:sz="4" w:space="0" w:color="D0D0D0"/>
              <w:right w:val="single" w:sz="4" w:space="0" w:color="D0D0D0"/>
            </w:tcBorders>
            <w:shd w:val="clear" w:color="000000" w:fill="FEE2E2"/>
            <w:vAlign w:val="center"/>
            <w:hideMark/>
          </w:tcPr>
          <w:p w14:paraId="7DA271C3"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Governance and standards</w:t>
            </w:r>
          </w:p>
        </w:tc>
        <w:tc>
          <w:tcPr>
            <w:tcW w:w="2203" w:type="dxa"/>
            <w:tcBorders>
              <w:top w:val="nil"/>
              <w:left w:val="nil"/>
              <w:bottom w:val="single" w:sz="4" w:space="0" w:color="D0D0D0"/>
              <w:right w:val="single" w:sz="4" w:space="0" w:color="D0D0D0"/>
            </w:tcBorders>
            <w:shd w:val="clear" w:color="000000" w:fill="FEE2E2"/>
            <w:vAlign w:val="center"/>
            <w:hideMark/>
          </w:tcPr>
          <w:p w14:paraId="5BF32F9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1B748C8B"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WHO digital strategy; NHS DTAC</w:t>
            </w:r>
          </w:p>
        </w:tc>
      </w:tr>
      <w:tr w:rsidR="00E8758D" w:rsidRPr="0016460E" w14:paraId="115F8934"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008F9EE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Clinical endorsement</w:t>
            </w:r>
          </w:p>
        </w:tc>
        <w:tc>
          <w:tcPr>
            <w:tcW w:w="3150" w:type="dxa"/>
            <w:tcBorders>
              <w:top w:val="nil"/>
              <w:left w:val="nil"/>
              <w:bottom w:val="single" w:sz="4" w:space="0" w:color="D0D0D0"/>
              <w:right w:val="single" w:sz="4" w:space="0" w:color="D0D0D0"/>
            </w:tcBorders>
            <w:shd w:val="clear" w:color="000000" w:fill="FEE2E2"/>
            <w:vAlign w:val="center"/>
            <w:hideMark/>
          </w:tcPr>
          <w:p w14:paraId="20CED82F"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Apps prescribed/endorsed within health systems, with monitoring and accountability.</w:t>
            </w:r>
          </w:p>
        </w:tc>
        <w:tc>
          <w:tcPr>
            <w:tcW w:w="1530" w:type="dxa"/>
            <w:tcBorders>
              <w:top w:val="nil"/>
              <w:left w:val="nil"/>
              <w:bottom w:val="single" w:sz="4" w:space="0" w:color="D0D0D0"/>
              <w:right w:val="single" w:sz="4" w:space="0" w:color="D0D0D0"/>
            </w:tcBorders>
            <w:shd w:val="clear" w:color="000000" w:fill="FEE2E2"/>
            <w:vAlign w:val="center"/>
            <w:hideMark/>
          </w:tcPr>
          <w:p w14:paraId="3A4850A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Health system integration</w:t>
            </w:r>
          </w:p>
        </w:tc>
        <w:tc>
          <w:tcPr>
            <w:tcW w:w="2203" w:type="dxa"/>
            <w:tcBorders>
              <w:top w:val="nil"/>
              <w:left w:val="nil"/>
              <w:bottom w:val="single" w:sz="4" w:space="0" w:color="D0D0D0"/>
              <w:right w:val="single" w:sz="4" w:space="0" w:color="D0D0D0"/>
            </w:tcBorders>
            <w:shd w:val="clear" w:color="000000" w:fill="FEE2E2"/>
            <w:vAlign w:val="center"/>
            <w:hideMark/>
          </w:tcPr>
          <w:p w14:paraId="0349EF65"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4671A8A5"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 xml:space="preserve">NHS Talking Therapies; </w:t>
            </w:r>
            <w:proofErr w:type="spellStart"/>
            <w:r w:rsidRPr="0016460E">
              <w:rPr>
                <w:rFonts w:ascii="Arial" w:eastAsia="Times New Roman" w:hAnsi="Arial" w:cs="Arial"/>
                <w:kern w:val="0"/>
                <w:lang w:eastAsia="en-US"/>
                <w14:ligatures w14:val="none"/>
              </w:rPr>
              <w:t>MindSpot</w:t>
            </w:r>
            <w:proofErr w:type="spellEnd"/>
            <w:r w:rsidRPr="0016460E">
              <w:rPr>
                <w:rFonts w:ascii="Arial" w:eastAsia="Times New Roman" w:hAnsi="Arial" w:cs="Arial"/>
                <w:kern w:val="0"/>
                <w:lang w:eastAsia="en-US"/>
                <w14:ligatures w14:val="none"/>
              </w:rPr>
              <w:t xml:space="preserve">; </w:t>
            </w:r>
            <w:proofErr w:type="spellStart"/>
            <w:r w:rsidRPr="0016460E">
              <w:rPr>
                <w:rFonts w:ascii="Arial" w:eastAsia="Times New Roman" w:hAnsi="Arial" w:cs="Arial"/>
                <w:kern w:val="0"/>
                <w:lang w:eastAsia="en-US"/>
                <w14:ligatures w14:val="none"/>
              </w:rPr>
              <w:t>SilverCloud</w:t>
            </w:r>
            <w:proofErr w:type="spellEnd"/>
          </w:p>
        </w:tc>
      </w:tr>
      <w:tr w:rsidR="00E8758D" w:rsidRPr="0016460E" w14:paraId="722BD4D2"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191F5068"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Stepped-care integration</w:t>
            </w:r>
          </w:p>
        </w:tc>
        <w:tc>
          <w:tcPr>
            <w:tcW w:w="3150" w:type="dxa"/>
            <w:tcBorders>
              <w:top w:val="nil"/>
              <w:left w:val="nil"/>
              <w:bottom w:val="single" w:sz="4" w:space="0" w:color="D0D0D0"/>
              <w:right w:val="single" w:sz="4" w:space="0" w:color="D0D0D0"/>
            </w:tcBorders>
            <w:shd w:val="clear" w:color="000000" w:fill="FEE2E2"/>
            <w:vAlign w:val="center"/>
            <w:hideMark/>
          </w:tcPr>
          <w:p w14:paraId="615C685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Apps positioned as one option in stepped/blended care pathways.</w:t>
            </w:r>
          </w:p>
        </w:tc>
        <w:tc>
          <w:tcPr>
            <w:tcW w:w="1530" w:type="dxa"/>
            <w:tcBorders>
              <w:top w:val="nil"/>
              <w:left w:val="nil"/>
              <w:bottom w:val="single" w:sz="4" w:space="0" w:color="D0D0D0"/>
              <w:right w:val="single" w:sz="4" w:space="0" w:color="D0D0D0"/>
            </w:tcBorders>
            <w:shd w:val="clear" w:color="000000" w:fill="FEE2E2"/>
            <w:vAlign w:val="center"/>
            <w:hideMark/>
          </w:tcPr>
          <w:p w14:paraId="311AD0A8"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Implementation in care pathways</w:t>
            </w:r>
          </w:p>
        </w:tc>
        <w:tc>
          <w:tcPr>
            <w:tcW w:w="2203" w:type="dxa"/>
            <w:tcBorders>
              <w:top w:val="nil"/>
              <w:left w:val="nil"/>
              <w:bottom w:val="single" w:sz="4" w:space="0" w:color="D0D0D0"/>
              <w:right w:val="single" w:sz="4" w:space="0" w:color="D0D0D0"/>
            </w:tcBorders>
            <w:shd w:val="clear" w:color="000000" w:fill="FEE2E2"/>
            <w:vAlign w:val="center"/>
            <w:hideMark/>
          </w:tcPr>
          <w:p w14:paraId="6CC37FB7"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230782A6"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Digital IAPT / Talking Therapies pathways</w:t>
            </w:r>
          </w:p>
        </w:tc>
      </w:tr>
      <w:tr w:rsidR="00E8758D" w:rsidRPr="0016460E" w14:paraId="63D60F2A" w14:textId="77777777" w:rsidTr="005B5D67">
        <w:trPr>
          <w:trHeight w:val="600"/>
          <w:jc w:val="center"/>
        </w:trPr>
        <w:tc>
          <w:tcPr>
            <w:tcW w:w="1525" w:type="dxa"/>
            <w:tcBorders>
              <w:top w:val="nil"/>
              <w:left w:val="single" w:sz="4" w:space="0" w:color="D0D0D0"/>
              <w:bottom w:val="single" w:sz="4" w:space="0" w:color="D0D0D0"/>
              <w:right w:val="single" w:sz="4" w:space="0" w:color="D0D0D0"/>
            </w:tcBorders>
            <w:shd w:val="clear" w:color="000000" w:fill="FEE2E2"/>
            <w:vAlign w:val="center"/>
            <w:hideMark/>
          </w:tcPr>
          <w:p w14:paraId="1690772D"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Trust</w:t>
            </w:r>
          </w:p>
        </w:tc>
        <w:tc>
          <w:tcPr>
            <w:tcW w:w="3150" w:type="dxa"/>
            <w:tcBorders>
              <w:top w:val="nil"/>
              <w:left w:val="nil"/>
              <w:bottom w:val="single" w:sz="4" w:space="0" w:color="D0D0D0"/>
              <w:right w:val="single" w:sz="4" w:space="0" w:color="D0D0D0"/>
            </w:tcBorders>
            <w:shd w:val="clear" w:color="000000" w:fill="FEE2E2"/>
            <w:vAlign w:val="center"/>
            <w:hideMark/>
          </w:tcPr>
          <w:p w14:paraId="3F38A8A1"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User trust in app/provider/governance affecting uptake and sustained use.</w:t>
            </w:r>
          </w:p>
        </w:tc>
        <w:tc>
          <w:tcPr>
            <w:tcW w:w="1530" w:type="dxa"/>
            <w:tcBorders>
              <w:top w:val="nil"/>
              <w:left w:val="nil"/>
              <w:bottom w:val="single" w:sz="4" w:space="0" w:color="D0D0D0"/>
              <w:right w:val="single" w:sz="4" w:space="0" w:color="D0D0D0"/>
            </w:tcBorders>
            <w:shd w:val="clear" w:color="000000" w:fill="FEE2E2"/>
            <w:vAlign w:val="center"/>
            <w:hideMark/>
          </w:tcPr>
          <w:p w14:paraId="7BA9F39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Trust and acceptability</w:t>
            </w:r>
          </w:p>
        </w:tc>
        <w:tc>
          <w:tcPr>
            <w:tcW w:w="2203" w:type="dxa"/>
            <w:tcBorders>
              <w:top w:val="nil"/>
              <w:left w:val="nil"/>
              <w:bottom w:val="single" w:sz="4" w:space="0" w:color="D0D0D0"/>
              <w:right w:val="single" w:sz="4" w:space="0" w:color="D0D0D0"/>
            </w:tcBorders>
            <w:shd w:val="clear" w:color="000000" w:fill="FEE2E2"/>
            <w:vAlign w:val="center"/>
            <w:hideMark/>
          </w:tcPr>
          <w:p w14:paraId="41F1DBAA"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Ethical, regulatory &amp; clinical integration challenges</w:t>
            </w:r>
          </w:p>
        </w:tc>
        <w:tc>
          <w:tcPr>
            <w:tcW w:w="2032" w:type="dxa"/>
            <w:tcBorders>
              <w:top w:val="nil"/>
              <w:left w:val="nil"/>
              <w:bottom w:val="single" w:sz="4" w:space="0" w:color="D0D0D0"/>
              <w:right w:val="single" w:sz="4" w:space="0" w:color="D0D0D0"/>
            </w:tcBorders>
            <w:shd w:val="clear" w:color="000000" w:fill="FEE2E2"/>
            <w:vAlign w:val="center"/>
            <w:hideMark/>
          </w:tcPr>
          <w:p w14:paraId="7684E870" w14:textId="77777777" w:rsidR="009118C7" w:rsidRPr="0016460E" w:rsidRDefault="009118C7" w:rsidP="00CF01E1">
            <w:pPr>
              <w:spacing w:after="0" w:line="240" w:lineRule="auto"/>
              <w:jc w:val="left"/>
              <w:rPr>
                <w:rFonts w:ascii="Arial" w:eastAsia="Times New Roman" w:hAnsi="Arial" w:cs="Arial"/>
                <w:kern w:val="0"/>
                <w:lang w:eastAsia="en-US"/>
                <w14:ligatures w14:val="none"/>
              </w:rPr>
            </w:pPr>
            <w:r w:rsidRPr="0016460E">
              <w:rPr>
                <w:rFonts w:ascii="Arial" w:eastAsia="Times New Roman" w:hAnsi="Arial" w:cs="Arial"/>
                <w:kern w:val="0"/>
                <w:lang w:eastAsia="en-US"/>
                <w14:ligatures w14:val="none"/>
              </w:rPr>
              <w:t>Bear et al. (2024); privacy literature</w:t>
            </w:r>
          </w:p>
        </w:tc>
      </w:tr>
    </w:tbl>
    <w:p w14:paraId="74875034" w14:textId="267F083F" w:rsidR="003A73BB" w:rsidRPr="0016460E" w:rsidRDefault="00CF2215" w:rsidP="007D46C7">
      <w:pPr>
        <w:pStyle w:val="Caption"/>
        <w:spacing w:before="240" w:line="360" w:lineRule="auto"/>
        <w:jc w:val="center"/>
        <w:rPr>
          <w:rFonts w:ascii="Arial" w:hAnsi="Arial" w:cs="Arial"/>
          <w:b/>
          <w:bCs/>
          <w:i w:val="0"/>
          <w:iCs w:val="0"/>
          <w:color w:val="auto"/>
          <w:sz w:val="22"/>
          <w:szCs w:val="22"/>
        </w:rPr>
      </w:pPr>
      <w:bookmarkStart w:id="80" w:name="_Toc222997403"/>
      <w:r w:rsidRPr="0016460E">
        <w:rPr>
          <w:rFonts w:ascii="Arial" w:hAnsi="Arial" w:cs="Arial"/>
          <w:b/>
          <w:bCs/>
          <w:i w:val="0"/>
          <w:iCs w:val="0"/>
          <w:color w:val="auto"/>
          <w:sz w:val="22"/>
          <w:szCs w:val="22"/>
        </w:rPr>
        <w:t xml:space="preserve">Table </w:t>
      </w:r>
      <w:r w:rsidRPr="0016460E">
        <w:rPr>
          <w:rFonts w:ascii="Arial" w:hAnsi="Arial" w:cs="Arial"/>
          <w:b/>
          <w:bCs/>
          <w:i w:val="0"/>
          <w:iCs w:val="0"/>
          <w:color w:val="auto"/>
          <w:sz w:val="22"/>
          <w:szCs w:val="22"/>
        </w:rPr>
        <w:fldChar w:fldCharType="begin"/>
      </w:r>
      <w:r w:rsidRPr="0016460E">
        <w:rPr>
          <w:rFonts w:ascii="Arial" w:hAnsi="Arial" w:cs="Arial"/>
          <w:b/>
          <w:bCs/>
          <w:i w:val="0"/>
          <w:iCs w:val="0"/>
          <w:color w:val="auto"/>
          <w:sz w:val="22"/>
          <w:szCs w:val="22"/>
        </w:rPr>
        <w:instrText xml:space="preserve"> SEQ Table \* ARABIC </w:instrText>
      </w:r>
      <w:r w:rsidRPr="0016460E">
        <w:rPr>
          <w:rFonts w:ascii="Arial" w:hAnsi="Arial" w:cs="Arial"/>
          <w:b/>
          <w:bCs/>
          <w:i w:val="0"/>
          <w:iCs w:val="0"/>
          <w:color w:val="auto"/>
          <w:sz w:val="22"/>
          <w:szCs w:val="22"/>
        </w:rPr>
        <w:fldChar w:fldCharType="separate"/>
      </w:r>
      <w:r w:rsidRPr="0016460E">
        <w:rPr>
          <w:rFonts w:ascii="Arial" w:hAnsi="Arial" w:cs="Arial"/>
          <w:b/>
          <w:bCs/>
          <w:i w:val="0"/>
          <w:iCs w:val="0"/>
          <w:noProof/>
          <w:color w:val="auto"/>
          <w:sz w:val="22"/>
          <w:szCs w:val="22"/>
        </w:rPr>
        <w:t>5</w:t>
      </w:r>
      <w:r w:rsidRPr="0016460E">
        <w:rPr>
          <w:rFonts w:ascii="Arial" w:hAnsi="Arial" w:cs="Arial"/>
          <w:b/>
          <w:bCs/>
          <w:i w:val="0"/>
          <w:iCs w:val="0"/>
          <w:color w:val="auto"/>
          <w:sz w:val="22"/>
          <w:szCs w:val="22"/>
        </w:rPr>
        <w:fldChar w:fldCharType="end"/>
      </w:r>
      <w:r w:rsidR="00AE254D" w:rsidRPr="0016460E">
        <w:rPr>
          <w:rFonts w:ascii="Arial" w:hAnsi="Arial" w:cs="Arial"/>
          <w:b/>
          <w:bCs/>
          <w:i w:val="0"/>
          <w:iCs w:val="0"/>
          <w:color w:val="auto"/>
          <w:sz w:val="22"/>
          <w:szCs w:val="22"/>
        </w:rPr>
        <w:t xml:space="preserve"> </w:t>
      </w:r>
      <w:r w:rsidRPr="0016460E">
        <w:rPr>
          <w:rFonts w:ascii="Arial" w:hAnsi="Arial" w:cs="Arial"/>
          <w:b/>
          <w:bCs/>
          <w:i w:val="0"/>
          <w:iCs w:val="0"/>
          <w:color w:val="auto"/>
          <w:sz w:val="22"/>
          <w:szCs w:val="22"/>
        </w:rPr>
        <w:t>Colour-Coded Coding Framework for Thematic Analysis</w:t>
      </w:r>
      <w:bookmarkEnd w:id="80"/>
    </w:p>
    <w:p w14:paraId="329E0F8D" w14:textId="346A7E98" w:rsidR="009118C7" w:rsidRPr="0016460E" w:rsidRDefault="00A03A21" w:rsidP="007D46C7">
      <w:pPr>
        <w:pStyle w:val="Caption"/>
        <w:spacing w:before="240" w:line="360" w:lineRule="auto"/>
        <w:jc w:val="center"/>
        <w:rPr>
          <w:rFonts w:ascii="Arial" w:hAnsi="Arial" w:cs="Arial"/>
          <w:b/>
          <w:bCs/>
          <w:i w:val="0"/>
          <w:iCs w:val="0"/>
          <w:color w:val="auto"/>
          <w:sz w:val="22"/>
          <w:szCs w:val="22"/>
        </w:rPr>
      </w:pPr>
      <w:r w:rsidRPr="0016460E">
        <w:rPr>
          <w:rFonts w:ascii="Arial" w:hAnsi="Arial" w:cs="Arial"/>
          <w:b/>
          <w:bCs/>
          <w:i w:val="0"/>
          <w:iCs w:val="0"/>
          <w:color w:val="auto"/>
          <w:sz w:val="22"/>
          <w:szCs w:val="22"/>
        </w:rPr>
        <w:t>Source: Author</w:t>
      </w:r>
    </w:p>
    <w:p w14:paraId="332C0A13" w14:textId="77777777" w:rsidR="00AD7A8E" w:rsidRPr="0016460E" w:rsidRDefault="00AD7A8E" w:rsidP="00CF01E1">
      <w:pPr>
        <w:jc w:val="left"/>
        <w:rPr>
          <w:rFonts w:ascii="Arial" w:hAnsi="Arial" w:cs="Arial"/>
        </w:rPr>
      </w:pPr>
    </w:p>
    <w:p w14:paraId="6C2A8417" w14:textId="77777777" w:rsidR="00AD7A8E" w:rsidRPr="0016460E" w:rsidRDefault="00AD7A8E" w:rsidP="00CF01E1">
      <w:pPr>
        <w:jc w:val="left"/>
        <w:rPr>
          <w:rFonts w:ascii="Arial" w:hAnsi="Arial" w:cs="Arial"/>
        </w:rPr>
      </w:pPr>
    </w:p>
    <w:p w14:paraId="29260404" w14:textId="77777777" w:rsidR="00AD7A8E" w:rsidRPr="0016460E" w:rsidRDefault="00AD7A8E" w:rsidP="00CF01E1">
      <w:pPr>
        <w:jc w:val="left"/>
        <w:rPr>
          <w:rFonts w:ascii="Arial" w:hAnsi="Arial" w:cs="Arial"/>
        </w:rPr>
      </w:pPr>
    </w:p>
    <w:p w14:paraId="45C0C91F" w14:textId="77777777" w:rsidR="00AD7A8E" w:rsidRPr="0016460E" w:rsidRDefault="00AD7A8E" w:rsidP="00CF01E1">
      <w:pPr>
        <w:jc w:val="left"/>
        <w:rPr>
          <w:rFonts w:ascii="Arial" w:hAnsi="Arial" w:cs="Arial"/>
        </w:rPr>
      </w:pPr>
    </w:p>
    <w:p w14:paraId="1A2AFE0F" w14:textId="77777777" w:rsidR="00AD7A8E" w:rsidRPr="0016460E" w:rsidRDefault="00AD7A8E" w:rsidP="00CF01E1">
      <w:pPr>
        <w:jc w:val="left"/>
        <w:rPr>
          <w:rFonts w:ascii="Arial" w:hAnsi="Arial" w:cs="Arial"/>
        </w:rPr>
      </w:pPr>
    </w:p>
    <w:p w14:paraId="739DC496" w14:textId="77777777" w:rsidR="00AD7A8E" w:rsidRPr="0016460E" w:rsidRDefault="00AD7A8E" w:rsidP="00CF01E1">
      <w:pPr>
        <w:jc w:val="left"/>
        <w:rPr>
          <w:rFonts w:ascii="Arial" w:hAnsi="Arial" w:cs="Arial"/>
        </w:rPr>
      </w:pPr>
    </w:p>
    <w:p w14:paraId="34109E92" w14:textId="77777777" w:rsidR="00AD7A8E" w:rsidRPr="0016460E" w:rsidRDefault="00AD7A8E" w:rsidP="00CF01E1">
      <w:pPr>
        <w:jc w:val="left"/>
        <w:rPr>
          <w:rFonts w:ascii="Arial" w:hAnsi="Arial" w:cs="Arial"/>
        </w:rPr>
      </w:pPr>
    </w:p>
    <w:p w14:paraId="2730FCDE" w14:textId="77777777" w:rsidR="00AD7A8E" w:rsidRPr="0016460E" w:rsidRDefault="00AD7A8E" w:rsidP="00CF01E1">
      <w:pPr>
        <w:jc w:val="left"/>
        <w:rPr>
          <w:rFonts w:ascii="Arial" w:hAnsi="Arial" w:cs="Arial"/>
        </w:rPr>
      </w:pPr>
    </w:p>
    <w:p w14:paraId="6A55651E" w14:textId="77777777" w:rsidR="003B54D0" w:rsidRPr="0016460E" w:rsidRDefault="003B54D0" w:rsidP="00CF01E1">
      <w:pPr>
        <w:jc w:val="left"/>
        <w:rPr>
          <w:rFonts w:ascii="Arial" w:hAnsi="Arial" w:cs="Arial"/>
        </w:rPr>
      </w:pPr>
    </w:p>
    <w:p w14:paraId="6A5F4415" w14:textId="77777777" w:rsidR="003B54D0" w:rsidRPr="0016460E" w:rsidRDefault="003B54D0" w:rsidP="00CF01E1">
      <w:pPr>
        <w:jc w:val="left"/>
        <w:rPr>
          <w:rFonts w:ascii="Arial" w:hAnsi="Arial" w:cs="Arial"/>
        </w:rPr>
      </w:pPr>
    </w:p>
    <w:p w14:paraId="6BD34EB0" w14:textId="77777777" w:rsidR="003B54D0" w:rsidRPr="0016460E" w:rsidRDefault="003B54D0" w:rsidP="00CF01E1">
      <w:pPr>
        <w:jc w:val="left"/>
        <w:rPr>
          <w:rFonts w:ascii="Arial" w:hAnsi="Arial" w:cs="Arial"/>
        </w:rPr>
      </w:pPr>
    </w:p>
    <w:p w14:paraId="300F1750" w14:textId="77777777" w:rsidR="00AD7A8E" w:rsidRPr="0016460E" w:rsidRDefault="00AD7A8E" w:rsidP="00CF01E1">
      <w:pPr>
        <w:jc w:val="left"/>
        <w:rPr>
          <w:rFonts w:ascii="Arial" w:hAnsi="Arial" w:cs="Arial"/>
        </w:rPr>
      </w:pPr>
    </w:p>
    <w:p w14:paraId="73B1FB8A" w14:textId="0E0BDB2A" w:rsidR="00755558" w:rsidRPr="0016460E" w:rsidRDefault="00755558" w:rsidP="00CF01E1">
      <w:pPr>
        <w:jc w:val="left"/>
        <w:rPr>
          <w:rFonts w:ascii="Arial" w:hAnsi="Arial" w:cs="Arial"/>
          <w:b/>
          <w:bCs/>
        </w:rPr>
      </w:pPr>
      <w:r w:rsidRPr="0016460E">
        <w:rPr>
          <w:rFonts w:ascii="Arial" w:hAnsi="Arial" w:cs="Arial"/>
          <w:b/>
          <w:bCs/>
        </w:rPr>
        <w:lastRenderedPageBreak/>
        <w:t>Theme Mapping Table</w:t>
      </w:r>
    </w:p>
    <w:p w14:paraId="186FA8EE" w14:textId="73051EF0" w:rsidR="002E7DEF" w:rsidRPr="0016460E" w:rsidRDefault="005500E8" w:rsidP="00CF01E1">
      <w:pPr>
        <w:jc w:val="left"/>
        <w:rPr>
          <w:rFonts w:ascii="Arial" w:hAnsi="Arial" w:cs="Arial"/>
        </w:rPr>
      </w:pPr>
      <w:r w:rsidRPr="0016460E">
        <w:rPr>
          <w:rFonts w:ascii="Arial" w:hAnsi="Arial" w:cs="Arial"/>
          <w:noProof/>
        </w:rPr>
        <w:drawing>
          <wp:inline distT="0" distB="0" distL="0" distR="0" wp14:anchorId="2680E350" wp14:editId="3EF787A8">
            <wp:extent cx="6031624" cy="3231515"/>
            <wp:effectExtent l="38100" t="0" r="26670" b="0"/>
            <wp:docPr id="174129146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E0B1B73" w14:textId="77777777" w:rsidR="00E259C0" w:rsidRPr="0016460E" w:rsidRDefault="00E259C0" w:rsidP="00F377CA">
      <w:pPr>
        <w:pStyle w:val="Caption"/>
        <w:spacing w:before="240" w:line="360" w:lineRule="auto"/>
        <w:jc w:val="center"/>
        <w:rPr>
          <w:rFonts w:ascii="Arial" w:hAnsi="Arial" w:cs="Arial"/>
          <w:b/>
          <w:bCs/>
          <w:i w:val="0"/>
          <w:iCs w:val="0"/>
          <w:color w:val="auto"/>
          <w:sz w:val="22"/>
          <w:szCs w:val="22"/>
        </w:rPr>
      </w:pPr>
      <w:bookmarkStart w:id="81" w:name="_Toc222997406"/>
      <w:r w:rsidRPr="0016460E">
        <w:rPr>
          <w:rFonts w:ascii="Arial" w:hAnsi="Arial" w:cs="Arial"/>
          <w:b/>
          <w:bCs/>
          <w:i w:val="0"/>
          <w:iCs w:val="0"/>
          <w:color w:val="auto"/>
          <w:sz w:val="22"/>
          <w:szCs w:val="22"/>
        </w:rPr>
        <w:t xml:space="preserve">Figure </w:t>
      </w:r>
      <w:r w:rsidRPr="0016460E">
        <w:rPr>
          <w:rFonts w:ascii="Arial" w:hAnsi="Arial" w:cs="Arial"/>
          <w:b/>
          <w:bCs/>
          <w:i w:val="0"/>
          <w:iCs w:val="0"/>
          <w:color w:val="auto"/>
          <w:sz w:val="22"/>
          <w:szCs w:val="22"/>
        </w:rPr>
        <w:fldChar w:fldCharType="begin"/>
      </w:r>
      <w:r w:rsidRPr="0016460E">
        <w:rPr>
          <w:rFonts w:ascii="Arial" w:hAnsi="Arial" w:cs="Arial"/>
          <w:b/>
          <w:bCs/>
          <w:i w:val="0"/>
          <w:iCs w:val="0"/>
          <w:color w:val="auto"/>
          <w:sz w:val="22"/>
          <w:szCs w:val="22"/>
        </w:rPr>
        <w:instrText xml:space="preserve"> SEQ Figure \* ARABIC </w:instrText>
      </w:r>
      <w:r w:rsidRPr="0016460E">
        <w:rPr>
          <w:rFonts w:ascii="Arial" w:hAnsi="Arial" w:cs="Arial"/>
          <w:b/>
          <w:bCs/>
          <w:i w:val="0"/>
          <w:iCs w:val="0"/>
          <w:color w:val="auto"/>
          <w:sz w:val="22"/>
          <w:szCs w:val="22"/>
        </w:rPr>
        <w:fldChar w:fldCharType="separate"/>
      </w:r>
      <w:r w:rsidRPr="0016460E">
        <w:rPr>
          <w:rFonts w:ascii="Arial" w:hAnsi="Arial" w:cs="Arial"/>
          <w:b/>
          <w:bCs/>
          <w:i w:val="0"/>
          <w:iCs w:val="0"/>
          <w:noProof/>
          <w:color w:val="auto"/>
          <w:sz w:val="22"/>
          <w:szCs w:val="22"/>
        </w:rPr>
        <w:t>1</w:t>
      </w:r>
      <w:r w:rsidRPr="0016460E">
        <w:rPr>
          <w:rFonts w:ascii="Arial" w:hAnsi="Arial" w:cs="Arial"/>
          <w:b/>
          <w:bCs/>
          <w:i w:val="0"/>
          <w:iCs w:val="0"/>
          <w:color w:val="auto"/>
          <w:sz w:val="22"/>
          <w:szCs w:val="22"/>
        </w:rPr>
        <w:fldChar w:fldCharType="end"/>
      </w:r>
      <w:r w:rsidRPr="0016460E">
        <w:rPr>
          <w:rFonts w:ascii="Arial" w:hAnsi="Arial" w:cs="Arial"/>
          <w:b/>
          <w:bCs/>
          <w:i w:val="0"/>
          <w:iCs w:val="0"/>
          <w:color w:val="auto"/>
          <w:sz w:val="22"/>
          <w:szCs w:val="22"/>
        </w:rPr>
        <w:t xml:space="preserve"> Theme Mapping Table</w:t>
      </w:r>
      <w:bookmarkEnd w:id="81"/>
    </w:p>
    <w:p w14:paraId="31A8E22F" w14:textId="14348626" w:rsidR="00756C4D" w:rsidRPr="0016460E" w:rsidRDefault="00E259C0" w:rsidP="00F377CA">
      <w:pPr>
        <w:pStyle w:val="Caption"/>
        <w:spacing w:before="240" w:line="360" w:lineRule="auto"/>
        <w:jc w:val="center"/>
        <w:rPr>
          <w:rFonts w:ascii="Arial" w:hAnsi="Arial" w:cs="Arial"/>
          <w:b/>
          <w:bCs/>
          <w:i w:val="0"/>
          <w:iCs w:val="0"/>
          <w:color w:val="auto"/>
          <w:sz w:val="22"/>
          <w:szCs w:val="22"/>
        </w:rPr>
      </w:pPr>
      <w:r w:rsidRPr="0016460E">
        <w:rPr>
          <w:rFonts w:ascii="Arial" w:hAnsi="Arial" w:cs="Arial"/>
          <w:b/>
          <w:bCs/>
          <w:i w:val="0"/>
          <w:iCs w:val="0"/>
          <w:color w:val="auto"/>
          <w:sz w:val="22"/>
          <w:szCs w:val="22"/>
        </w:rPr>
        <w:t>Source: Author</w:t>
      </w:r>
    </w:p>
    <w:sectPr w:rsidR="00756C4D" w:rsidRPr="001646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6B72F" w14:textId="77777777" w:rsidR="00F4359B" w:rsidRDefault="00F4359B" w:rsidP="00211184">
      <w:pPr>
        <w:spacing w:after="0" w:line="240" w:lineRule="auto"/>
      </w:pPr>
      <w:r>
        <w:separator/>
      </w:r>
    </w:p>
  </w:endnote>
  <w:endnote w:type="continuationSeparator" w:id="0">
    <w:p w14:paraId="2D836497" w14:textId="77777777" w:rsidR="00F4359B" w:rsidRDefault="00F4359B"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DE22C" w14:textId="77777777" w:rsidR="00F4359B" w:rsidRDefault="00F4359B" w:rsidP="00211184">
      <w:pPr>
        <w:spacing w:after="0" w:line="240" w:lineRule="auto"/>
      </w:pPr>
      <w:r>
        <w:separator/>
      </w:r>
    </w:p>
  </w:footnote>
  <w:footnote w:type="continuationSeparator" w:id="0">
    <w:p w14:paraId="27A2688B" w14:textId="77777777" w:rsidR="00F4359B" w:rsidRDefault="00F4359B"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84776"/>
    <w:multiLevelType w:val="multilevel"/>
    <w:tmpl w:val="7010A55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9FC2C47"/>
    <w:multiLevelType w:val="hybridMultilevel"/>
    <w:tmpl w:val="A53C8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3810DD"/>
    <w:multiLevelType w:val="multilevel"/>
    <w:tmpl w:val="7010A55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0E1277AB"/>
    <w:multiLevelType w:val="multilevel"/>
    <w:tmpl w:val="4E7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8E663CF"/>
    <w:multiLevelType w:val="multilevel"/>
    <w:tmpl w:val="9A7E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31"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150285"/>
    <w:multiLevelType w:val="hybridMultilevel"/>
    <w:tmpl w:val="F48E9170"/>
    <w:lvl w:ilvl="0" w:tplc="04090001">
      <w:start w:val="1"/>
      <w:numFmt w:val="bullet"/>
      <w:lvlText w:val=""/>
      <w:lvlJc w:val="left"/>
      <w:pPr>
        <w:ind w:left="720" w:hanging="360"/>
      </w:pPr>
      <w:rPr>
        <w:rFonts w:ascii="Symbol" w:hAnsi="Symbol" w:hint="default"/>
      </w:rPr>
    </w:lvl>
    <w:lvl w:ilvl="1" w:tplc="F72621EA">
      <w:start w:val="3"/>
      <w:numFmt w:val="bullet"/>
      <w:lvlText w:val="–"/>
      <w:lvlJc w:val="left"/>
      <w:pPr>
        <w:ind w:left="1440" w:hanging="360"/>
      </w:pPr>
      <w:rPr>
        <w:rFonts w:ascii="Aptos" w:eastAsiaTheme="majorEastAsia" w:hAnsi="Aptos" w:cstheme="maj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5D4C28"/>
    <w:multiLevelType w:val="multilevel"/>
    <w:tmpl w:val="18D89228"/>
    <w:lvl w:ilvl="0">
      <w:start w:val="1"/>
      <w:numFmt w:val="decimal"/>
      <w:lvlText w:val="%1"/>
      <w:lvlJc w:val="left"/>
      <w:pPr>
        <w:ind w:left="435" w:hanging="435"/>
      </w:pPr>
      <w:rPr>
        <w:rFonts w:cs="Arial" w:hint="default"/>
        <w:color w:val="auto"/>
        <w:sz w:val="28"/>
      </w:rPr>
    </w:lvl>
    <w:lvl w:ilvl="1">
      <w:start w:val="1"/>
      <w:numFmt w:val="decimal"/>
      <w:lvlText w:val="%1.%2"/>
      <w:lvlJc w:val="left"/>
      <w:pPr>
        <w:ind w:left="435" w:hanging="435"/>
      </w:pPr>
      <w:rPr>
        <w:rFonts w:cs="Arial" w:hint="default"/>
        <w:b/>
        <w:bCs/>
        <w:color w:val="auto"/>
        <w:sz w:val="28"/>
        <w:szCs w:val="28"/>
      </w:rPr>
    </w:lvl>
    <w:lvl w:ilvl="2">
      <w:start w:val="1"/>
      <w:numFmt w:val="decimal"/>
      <w:lvlText w:val="%1.%2.%3"/>
      <w:lvlJc w:val="left"/>
      <w:pPr>
        <w:ind w:left="720" w:hanging="720"/>
      </w:pPr>
      <w:rPr>
        <w:rFonts w:cs="Arial" w:hint="default"/>
        <w:color w:val="auto"/>
        <w:sz w:val="28"/>
      </w:rPr>
    </w:lvl>
    <w:lvl w:ilvl="3">
      <w:start w:val="1"/>
      <w:numFmt w:val="decimal"/>
      <w:lvlText w:val="%1.%2.%3.%4"/>
      <w:lvlJc w:val="left"/>
      <w:pPr>
        <w:ind w:left="720" w:hanging="720"/>
      </w:pPr>
      <w:rPr>
        <w:rFonts w:cs="Arial" w:hint="default"/>
        <w:color w:val="auto"/>
        <w:sz w:val="28"/>
      </w:rPr>
    </w:lvl>
    <w:lvl w:ilvl="4">
      <w:start w:val="1"/>
      <w:numFmt w:val="decimal"/>
      <w:lvlText w:val="%1.%2.%3.%4.%5"/>
      <w:lvlJc w:val="left"/>
      <w:pPr>
        <w:ind w:left="720" w:hanging="720"/>
      </w:pPr>
      <w:rPr>
        <w:rFonts w:cs="Arial" w:hint="default"/>
        <w:color w:val="auto"/>
        <w:sz w:val="28"/>
      </w:rPr>
    </w:lvl>
    <w:lvl w:ilvl="5">
      <w:start w:val="1"/>
      <w:numFmt w:val="decimal"/>
      <w:lvlText w:val="%1.%2.%3.%4.%5.%6"/>
      <w:lvlJc w:val="left"/>
      <w:pPr>
        <w:ind w:left="1080" w:hanging="1080"/>
      </w:pPr>
      <w:rPr>
        <w:rFonts w:cs="Arial" w:hint="default"/>
        <w:color w:val="auto"/>
        <w:sz w:val="28"/>
      </w:rPr>
    </w:lvl>
    <w:lvl w:ilvl="6">
      <w:start w:val="1"/>
      <w:numFmt w:val="decimal"/>
      <w:lvlText w:val="%1.%2.%3.%4.%5.%6.%7"/>
      <w:lvlJc w:val="left"/>
      <w:pPr>
        <w:ind w:left="1080" w:hanging="1080"/>
      </w:pPr>
      <w:rPr>
        <w:rFonts w:cs="Arial" w:hint="default"/>
        <w:color w:val="auto"/>
        <w:sz w:val="28"/>
      </w:rPr>
    </w:lvl>
    <w:lvl w:ilvl="7">
      <w:start w:val="1"/>
      <w:numFmt w:val="decimal"/>
      <w:lvlText w:val="%1.%2.%3.%4.%5.%6.%7.%8"/>
      <w:lvlJc w:val="left"/>
      <w:pPr>
        <w:ind w:left="1440" w:hanging="1440"/>
      </w:pPr>
      <w:rPr>
        <w:rFonts w:cs="Arial" w:hint="default"/>
        <w:color w:val="auto"/>
        <w:sz w:val="28"/>
      </w:rPr>
    </w:lvl>
    <w:lvl w:ilvl="8">
      <w:start w:val="1"/>
      <w:numFmt w:val="decimal"/>
      <w:lvlText w:val="%1.%2.%3.%4.%5.%6.%7.%8.%9"/>
      <w:lvlJc w:val="left"/>
      <w:pPr>
        <w:ind w:left="1440" w:hanging="1440"/>
      </w:pPr>
      <w:rPr>
        <w:rFonts w:cs="Arial" w:hint="default"/>
        <w:color w:val="auto"/>
        <w:sz w:val="28"/>
      </w:rPr>
    </w:lvl>
  </w:abstractNum>
  <w:abstractNum w:abstractNumId="4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454455"/>
    <w:multiLevelType w:val="multilevel"/>
    <w:tmpl w:val="6D10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3D0B82"/>
    <w:multiLevelType w:val="multilevel"/>
    <w:tmpl w:val="D1D2F220"/>
    <w:lvl w:ilvl="0">
      <w:start w:val="1"/>
      <w:numFmt w:val="bullet"/>
      <w:lvlText w:val=""/>
      <w:lvlJc w:val="left"/>
      <w:pPr>
        <w:ind w:left="435" w:hanging="435"/>
      </w:pPr>
      <w:rPr>
        <w:rFonts w:ascii="Symbol" w:hAnsi="Symbol" w:hint="default"/>
        <w:color w:val="auto"/>
        <w:sz w:val="28"/>
      </w:rPr>
    </w:lvl>
    <w:lvl w:ilvl="1">
      <w:start w:val="1"/>
      <w:numFmt w:val="decimal"/>
      <w:lvlText w:val="%1.%2"/>
      <w:lvlJc w:val="left"/>
      <w:pPr>
        <w:ind w:left="435" w:hanging="435"/>
      </w:pPr>
      <w:rPr>
        <w:rFonts w:cs="Arial" w:hint="default"/>
        <w:color w:val="auto"/>
        <w:sz w:val="28"/>
      </w:rPr>
    </w:lvl>
    <w:lvl w:ilvl="2">
      <w:start w:val="1"/>
      <w:numFmt w:val="decimal"/>
      <w:lvlText w:val="%1.%2.%3"/>
      <w:lvlJc w:val="left"/>
      <w:pPr>
        <w:ind w:left="720" w:hanging="720"/>
      </w:pPr>
      <w:rPr>
        <w:rFonts w:cs="Arial" w:hint="default"/>
        <w:color w:val="auto"/>
        <w:sz w:val="28"/>
      </w:rPr>
    </w:lvl>
    <w:lvl w:ilvl="3">
      <w:start w:val="1"/>
      <w:numFmt w:val="decimal"/>
      <w:lvlText w:val="%1.%2.%3.%4"/>
      <w:lvlJc w:val="left"/>
      <w:pPr>
        <w:ind w:left="720" w:hanging="720"/>
      </w:pPr>
      <w:rPr>
        <w:rFonts w:cs="Arial" w:hint="default"/>
        <w:color w:val="auto"/>
        <w:sz w:val="28"/>
      </w:rPr>
    </w:lvl>
    <w:lvl w:ilvl="4">
      <w:start w:val="1"/>
      <w:numFmt w:val="decimal"/>
      <w:lvlText w:val="%1.%2.%3.%4.%5"/>
      <w:lvlJc w:val="left"/>
      <w:pPr>
        <w:ind w:left="720" w:hanging="720"/>
      </w:pPr>
      <w:rPr>
        <w:rFonts w:cs="Arial" w:hint="default"/>
        <w:color w:val="auto"/>
        <w:sz w:val="28"/>
      </w:rPr>
    </w:lvl>
    <w:lvl w:ilvl="5">
      <w:start w:val="1"/>
      <w:numFmt w:val="decimal"/>
      <w:lvlText w:val="%1.%2.%3.%4.%5.%6"/>
      <w:lvlJc w:val="left"/>
      <w:pPr>
        <w:ind w:left="1080" w:hanging="1080"/>
      </w:pPr>
      <w:rPr>
        <w:rFonts w:cs="Arial" w:hint="default"/>
        <w:color w:val="auto"/>
        <w:sz w:val="28"/>
      </w:rPr>
    </w:lvl>
    <w:lvl w:ilvl="6">
      <w:start w:val="1"/>
      <w:numFmt w:val="decimal"/>
      <w:lvlText w:val="%1.%2.%3.%4.%5.%6.%7"/>
      <w:lvlJc w:val="left"/>
      <w:pPr>
        <w:ind w:left="1080" w:hanging="1080"/>
      </w:pPr>
      <w:rPr>
        <w:rFonts w:cs="Arial" w:hint="default"/>
        <w:color w:val="auto"/>
        <w:sz w:val="28"/>
      </w:rPr>
    </w:lvl>
    <w:lvl w:ilvl="7">
      <w:start w:val="1"/>
      <w:numFmt w:val="decimal"/>
      <w:lvlText w:val="%1.%2.%3.%4.%5.%6.%7.%8"/>
      <w:lvlJc w:val="left"/>
      <w:pPr>
        <w:ind w:left="1440" w:hanging="1440"/>
      </w:pPr>
      <w:rPr>
        <w:rFonts w:cs="Arial" w:hint="default"/>
        <w:color w:val="auto"/>
        <w:sz w:val="28"/>
      </w:rPr>
    </w:lvl>
    <w:lvl w:ilvl="8">
      <w:start w:val="1"/>
      <w:numFmt w:val="decimal"/>
      <w:lvlText w:val="%1.%2.%3.%4.%5.%6.%7.%8.%9"/>
      <w:lvlJc w:val="left"/>
      <w:pPr>
        <w:ind w:left="1440" w:hanging="1440"/>
      </w:pPr>
      <w:rPr>
        <w:rFonts w:cs="Arial" w:hint="default"/>
        <w:color w:val="auto"/>
        <w:sz w:val="28"/>
      </w:rPr>
    </w:lvl>
  </w:abstractNum>
  <w:abstractNum w:abstractNumId="55"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183646"/>
    <w:multiLevelType w:val="multilevel"/>
    <w:tmpl w:val="8EF2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3A7B84"/>
    <w:multiLevelType w:val="multilevel"/>
    <w:tmpl w:val="81E0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8637570"/>
    <w:multiLevelType w:val="multilevel"/>
    <w:tmpl w:val="531E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54949FD"/>
    <w:multiLevelType w:val="multilevel"/>
    <w:tmpl w:val="7010A55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6" w15:restartNumberingAfterBreak="0">
    <w:nsid w:val="465C6FED"/>
    <w:multiLevelType w:val="multilevel"/>
    <w:tmpl w:val="D1D2F220"/>
    <w:lvl w:ilvl="0">
      <w:start w:val="1"/>
      <w:numFmt w:val="bullet"/>
      <w:lvlText w:val=""/>
      <w:lvlJc w:val="left"/>
      <w:pPr>
        <w:ind w:left="435" w:hanging="435"/>
      </w:pPr>
      <w:rPr>
        <w:rFonts w:ascii="Symbol" w:hAnsi="Symbol" w:hint="default"/>
        <w:color w:val="auto"/>
        <w:sz w:val="28"/>
      </w:rPr>
    </w:lvl>
    <w:lvl w:ilvl="1">
      <w:start w:val="1"/>
      <w:numFmt w:val="decimal"/>
      <w:lvlText w:val="%1.%2"/>
      <w:lvlJc w:val="left"/>
      <w:pPr>
        <w:ind w:left="435" w:hanging="435"/>
      </w:pPr>
      <w:rPr>
        <w:rFonts w:cs="Arial" w:hint="default"/>
        <w:color w:val="auto"/>
        <w:sz w:val="28"/>
      </w:rPr>
    </w:lvl>
    <w:lvl w:ilvl="2">
      <w:start w:val="1"/>
      <w:numFmt w:val="decimal"/>
      <w:lvlText w:val="%1.%2.%3"/>
      <w:lvlJc w:val="left"/>
      <w:pPr>
        <w:ind w:left="720" w:hanging="720"/>
      </w:pPr>
      <w:rPr>
        <w:rFonts w:cs="Arial" w:hint="default"/>
        <w:color w:val="auto"/>
        <w:sz w:val="28"/>
      </w:rPr>
    </w:lvl>
    <w:lvl w:ilvl="3">
      <w:start w:val="1"/>
      <w:numFmt w:val="decimal"/>
      <w:lvlText w:val="%1.%2.%3.%4"/>
      <w:lvlJc w:val="left"/>
      <w:pPr>
        <w:ind w:left="720" w:hanging="720"/>
      </w:pPr>
      <w:rPr>
        <w:rFonts w:cs="Arial" w:hint="default"/>
        <w:color w:val="auto"/>
        <w:sz w:val="28"/>
      </w:rPr>
    </w:lvl>
    <w:lvl w:ilvl="4">
      <w:start w:val="1"/>
      <w:numFmt w:val="decimal"/>
      <w:lvlText w:val="%1.%2.%3.%4.%5"/>
      <w:lvlJc w:val="left"/>
      <w:pPr>
        <w:ind w:left="720" w:hanging="720"/>
      </w:pPr>
      <w:rPr>
        <w:rFonts w:cs="Arial" w:hint="default"/>
        <w:color w:val="auto"/>
        <w:sz w:val="28"/>
      </w:rPr>
    </w:lvl>
    <w:lvl w:ilvl="5">
      <w:start w:val="1"/>
      <w:numFmt w:val="decimal"/>
      <w:lvlText w:val="%1.%2.%3.%4.%5.%6"/>
      <w:lvlJc w:val="left"/>
      <w:pPr>
        <w:ind w:left="1080" w:hanging="1080"/>
      </w:pPr>
      <w:rPr>
        <w:rFonts w:cs="Arial" w:hint="default"/>
        <w:color w:val="auto"/>
        <w:sz w:val="28"/>
      </w:rPr>
    </w:lvl>
    <w:lvl w:ilvl="6">
      <w:start w:val="1"/>
      <w:numFmt w:val="decimal"/>
      <w:lvlText w:val="%1.%2.%3.%4.%5.%6.%7"/>
      <w:lvlJc w:val="left"/>
      <w:pPr>
        <w:ind w:left="1080" w:hanging="1080"/>
      </w:pPr>
      <w:rPr>
        <w:rFonts w:cs="Arial" w:hint="default"/>
        <w:color w:val="auto"/>
        <w:sz w:val="28"/>
      </w:rPr>
    </w:lvl>
    <w:lvl w:ilvl="7">
      <w:start w:val="1"/>
      <w:numFmt w:val="decimal"/>
      <w:lvlText w:val="%1.%2.%3.%4.%5.%6.%7.%8"/>
      <w:lvlJc w:val="left"/>
      <w:pPr>
        <w:ind w:left="1440" w:hanging="1440"/>
      </w:pPr>
      <w:rPr>
        <w:rFonts w:cs="Arial" w:hint="default"/>
        <w:color w:val="auto"/>
        <w:sz w:val="28"/>
      </w:rPr>
    </w:lvl>
    <w:lvl w:ilvl="8">
      <w:start w:val="1"/>
      <w:numFmt w:val="decimal"/>
      <w:lvlText w:val="%1.%2.%3.%4.%5.%6.%7.%8.%9"/>
      <w:lvlJc w:val="left"/>
      <w:pPr>
        <w:ind w:left="1440" w:hanging="1440"/>
      </w:pPr>
      <w:rPr>
        <w:rFonts w:cs="Arial" w:hint="default"/>
        <w:color w:val="auto"/>
        <w:sz w:val="28"/>
      </w:rPr>
    </w:lvl>
  </w:abstractNum>
  <w:abstractNum w:abstractNumId="87"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1CF4B93"/>
    <w:multiLevelType w:val="multilevel"/>
    <w:tmpl w:val="20C6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38D7D60"/>
    <w:multiLevelType w:val="multilevel"/>
    <w:tmpl w:val="4352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15:restartNumberingAfterBreak="0">
    <w:nsid w:val="626C0D3B"/>
    <w:multiLevelType w:val="multilevel"/>
    <w:tmpl w:val="BB647908"/>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0"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1"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8C80715"/>
    <w:multiLevelType w:val="multilevel"/>
    <w:tmpl w:val="7010A55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3"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B8B05E1"/>
    <w:multiLevelType w:val="multilevel"/>
    <w:tmpl w:val="7010A55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8"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9" w15:restartNumberingAfterBreak="0">
    <w:nsid w:val="7A3178E0"/>
    <w:multiLevelType w:val="hybridMultilevel"/>
    <w:tmpl w:val="91448792"/>
    <w:lvl w:ilvl="0" w:tplc="E6307F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1" w15:restartNumberingAfterBreak="0">
    <w:nsid w:val="7BCE5470"/>
    <w:multiLevelType w:val="multilevel"/>
    <w:tmpl w:val="1ACA0698"/>
    <w:lvl w:ilvl="0">
      <w:start w:val="2"/>
      <w:numFmt w:val="decimal"/>
      <w:lvlText w:val="%1."/>
      <w:lvlJc w:val="left"/>
      <w:pPr>
        <w:ind w:left="420" w:hanging="420"/>
      </w:pPr>
      <w:rPr>
        <w:rFonts w:cs="Arial" w:hint="default"/>
        <w:color w:val="auto"/>
        <w:sz w:val="32"/>
        <w:szCs w:val="40"/>
      </w:rPr>
    </w:lvl>
    <w:lvl w:ilvl="1">
      <w:start w:val="1"/>
      <w:numFmt w:val="decimal"/>
      <w:lvlText w:val="%1.%2."/>
      <w:lvlJc w:val="left"/>
      <w:pPr>
        <w:ind w:left="420" w:hanging="420"/>
      </w:pPr>
      <w:rPr>
        <w:rFonts w:cs="Arial" w:hint="default"/>
        <w:b/>
        <w:bCs/>
        <w:color w:val="auto"/>
        <w:sz w:val="28"/>
        <w:szCs w:val="28"/>
      </w:rPr>
    </w:lvl>
    <w:lvl w:ilvl="2">
      <w:start w:val="1"/>
      <w:numFmt w:val="decimal"/>
      <w:lvlText w:val="%1.%2.%3."/>
      <w:lvlJc w:val="left"/>
      <w:pPr>
        <w:ind w:left="720" w:hanging="720"/>
      </w:pPr>
      <w:rPr>
        <w:rFonts w:cs="Arial" w:hint="default"/>
        <w:color w:val="auto"/>
        <w:sz w:val="24"/>
      </w:rPr>
    </w:lvl>
    <w:lvl w:ilvl="3">
      <w:start w:val="1"/>
      <w:numFmt w:val="decimal"/>
      <w:lvlText w:val="%1.%2.%3.%4."/>
      <w:lvlJc w:val="left"/>
      <w:pPr>
        <w:ind w:left="720" w:hanging="720"/>
      </w:pPr>
      <w:rPr>
        <w:rFonts w:cs="Arial" w:hint="default"/>
        <w:color w:val="auto"/>
        <w:sz w:val="24"/>
      </w:rPr>
    </w:lvl>
    <w:lvl w:ilvl="4">
      <w:start w:val="1"/>
      <w:numFmt w:val="decimal"/>
      <w:lvlText w:val="%1.%2.%3.%4.%5."/>
      <w:lvlJc w:val="left"/>
      <w:pPr>
        <w:ind w:left="720" w:hanging="720"/>
      </w:pPr>
      <w:rPr>
        <w:rFonts w:cs="Arial" w:hint="default"/>
        <w:color w:val="auto"/>
        <w:sz w:val="24"/>
      </w:rPr>
    </w:lvl>
    <w:lvl w:ilvl="5">
      <w:start w:val="1"/>
      <w:numFmt w:val="decimal"/>
      <w:lvlText w:val="%1.%2.%3.%4.%5.%6."/>
      <w:lvlJc w:val="left"/>
      <w:pPr>
        <w:ind w:left="1080" w:hanging="1080"/>
      </w:pPr>
      <w:rPr>
        <w:rFonts w:cs="Arial" w:hint="default"/>
        <w:color w:val="auto"/>
        <w:sz w:val="24"/>
      </w:rPr>
    </w:lvl>
    <w:lvl w:ilvl="6">
      <w:start w:val="1"/>
      <w:numFmt w:val="decimal"/>
      <w:lvlText w:val="%1.%2.%3.%4.%5.%6.%7."/>
      <w:lvlJc w:val="left"/>
      <w:pPr>
        <w:ind w:left="1080" w:hanging="1080"/>
      </w:pPr>
      <w:rPr>
        <w:rFonts w:cs="Arial" w:hint="default"/>
        <w:color w:val="auto"/>
        <w:sz w:val="24"/>
      </w:rPr>
    </w:lvl>
    <w:lvl w:ilvl="7">
      <w:start w:val="1"/>
      <w:numFmt w:val="decimal"/>
      <w:lvlText w:val="%1.%2.%3.%4.%5.%6.%7.%8."/>
      <w:lvlJc w:val="left"/>
      <w:pPr>
        <w:ind w:left="1080" w:hanging="1080"/>
      </w:pPr>
      <w:rPr>
        <w:rFonts w:cs="Arial" w:hint="default"/>
        <w:color w:val="auto"/>
        <w:sz w:val="24"/>
      </w:rPr>
    </w:lvl>
    <w:lvl w:ilvl="8">
      <w:start w:val="1"/>
      <w:numFmt w:val="decimal"/>
      <w:lvlText w:val="%1.%2.%3.%4.%5.%6.%7.%8.%9."/>
      <w:lvlJc w:val="left"/>
      <w:pPr>
        <w:ind w:left="1440" w:hanging="1440"/>
      </w:pPr>
      <w:rPr>
        <w:rFonts w:cs="Arial" w:hint="default"/>
        <w:color w:val="auto"/>
        <w:sz w:val="24"/>
      </w:rPr>
    </w:lvl>
  </w:abstractNum>
  <w:abstractNum w:abstractNumId="162"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EEB5157"/>
    <w:multiLevelType w:val="multilevel"/>
    <w:tmpl w:val="9BBE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41"/>
  </w:num>
  <w:num w:numId="2" w16cid:durableId="1790927071">
    <w:abstractNumId w:val="30"/>
  </w:num>
  <w:num w:numId="3" w16cid:durableId="1092819689">
    <w:abstractNumId w:val="153"/>
  </w:num>
  <w:num w:numId="4" w16cid:durableId="1500121260">
    <w:abstractNumId w:val="90"/>
  </w:num>
  <w:num w:numId="5" w16cid:durableId="438111508">
    <w:abstractNumId w:val="143"/>
  </w:num>
  <w:num w:numId="6" w16cid:durableId="106121269">
    <w:abstractNumId w:val="24"/>
  </w:num>
  <w:num w:numId="7" w16cid:durableId="1859468656">
    <w:abstractNumId w:val="160"/>
  </w:num>
  <w:num w:numId="8" w16cid:durableId="407923627">
    <w:abstractNumId w:val="157"/>
  </w:num>
  <w:num w:numId="9" w16cid:durableId="1173763238">
    <w:abstractNumId w:val="110"/>
  </w:num>
  <w:num w:numId="10" w16cid:durableId="515197422">
    <w:abstractNumId w:val="79"/>
  </w:num>
  <w:num w:numId="11" w16cid:durableId="650984044">
    <w:abstractNumId w:val="19"/>
  </w:num>
  <w:num w:numId="12" w16cid:durableId="676225712">
    <w:abstractNumId w:val="147"/>
  </w:num>
  <w:num w:numId="13" w16cid:durableId="654647421">
    <w:abstractNumId w:val="108"/>
  </w:num>
  <w:num w:numId="14" w16cid:durableId="972827862">
    <w:abstractNumId w:val="112"/>
  </w:num>
  <w:num w:numId="15" w16cid:durableId="73359902">
    <w:abstractNumId w:val="77"/>
  </w:num>
  <w:num w:numId="16" w16cid:durableId="1233615214">
    <w:abstractNumId w:val="15"/>
  </w:num>
  <w:num w:numId="17" w16cid:durableId="1037585576">
    <w:abstractNumId w:val="155"/>
  </w:num>
  <w:num w:numId="18" w16cid:durableId="1454127918">
    <w:abstractNumId w:val="131"/>
  </w:num>
  <w:num w:numId="19" w16cid:durableId="1655717882">
    <w:abstractNumId w:val="49"/>
  </w:num>
  <w:num w:numId="20" w16cid:durableId="679818721">
    <w:abstractNumId w:val="9"/>
  </w:num>
  <w:num w:numId="21" w16cid:durableId="820851363">
    <w:abstractNumId w:val="4"/>
  </w:num>
  <w:num w:numId="22" w16cid:durableId="1752123437">
    <w:abstractNumId w:val="95"/>
  </w:num>
  <w:num w:numId="23" w16cid:durableId="776406381">
    <w:abstractNumId w:val="13"/>
  </w:num>
  <w:num w:numId="24" w16cid:durableId="2003772795">
    <w:abstractNumId w:val="162"/>
  </w:num>
  <w:num w:numId="25" w16cid:durableId="471214588">
    <w:abstractNumId w:val="12"/>
  </w:num>
  <w:num w:numId="26" w16cid:durableId="747188340">
    <w:abstractNumId w:val="141"/>
  </w:num>
  <w:num w:numId="27" w16cid:durableId="1617635105">
    <w:abstractNumId w:val="29"/>
  </w:num>
  <w:num w:numId="28" w16cid:durableId="1919750537">
    <w:abstractNumId w:val="149"/>
  </w:num>
  <w:num w:numId="29" w16cid:durableId="1917666381">
    <w:abstractNumId w:val="6"/>
  </w:num>
  <w:num w:numId="30" w16cid:durableId="836925604">
    <w:abstractNumId w:val="130"/>
  </w:num>
  <w:num w:numId="31" w16cid:durableId="881479433">
    <w:abstractNumId w:val="113"/>
  </w:num>
  <w:num w:numId="32" w16cid:durableId="164788852">
    <w:abstractNumId w:val="118"/>
  </w:num>
  <w:num w:numId="33" w16cid:durableId="735323509">
    <w:abstractNumId w:val="21"/>
  </w:num>
  <w:num w:numId="34" w16cid:durableId="1000431254">
    <w:abstractNumId w:val="76"/>
  </w:num>
  <w:num w:numId="35" w16cid:durableId="434404662">
    <w:abstractNumId w:val="34"/>
  </w:num>
  <w:num w:numId="36" w16cid:durableId="792409853">
    <w:abstractNumId w:val="88"/>
  </w:num>
  <w:num w:numId="37" w16cid:durableId="70469880">
    <w:abstractNumId w:val="93"/>
  </w:num>
  <w:num w:numId="38" w16cid:durableId="1255548974">
    <w:abstractNumId w:val="83"/>
  </w:num>
  <w:num w:numId="39" w16cid:durableId="509951972">
    <w:abstractNumId w:val="60"/>
  </w:num>
  <w:num w:numId="40" w16cid:durableId="1491873496">
    <w:abstractNumId w:val="102"/>
  </w:num>
  <w:num w:numId="41" w16cid:durableId="1277179892">
    <w:abstractNumId w:val="117"/>
  </w:num>
  <w:num w:numId="42" w16cid:durableId="1137721610">
    <w:abstractNumId w:val="94"/>
  </w:num>
  <w:num w:numId="43" w16cid:durableId="1569337486">
    <w:abstractNumId w:val="163"/>
  </w:num>
  <w:num w:numId="44" w16cid:durableId="1771851078">
    <w:abstractNumId w:val="7"/>
  </w:num>
  <w:num w:numId="45" w16cid:durableId="1096747610">
    <w:abstractNumId w:val="33"/>
  </w:num>
  <w:num w:numId="46" w16cid:durableId="1853105471">
    <w:abstractNumId w:val="133"/>
  </w:num>
  <w:num w:numId="47" w16cid:durableId="2016615092">
    <w:abstractNumId w:val="89"/>
  </w:num>
  <w:num w:numId="48" w16cid:durableId="439030946">
    <w:abstractNumId w:val="114"/>
  </w:num>
  <w:num w:numId="49" w16cid:durableId="315690756">
    <w:abstractNumId w:val="61"/>
  </w:num>
  <w:num w:numId="50" w16cid:durableId="1252278660">
    <w:abstractNumId w:val="18"/>
  </w:num>
  <w:num w:numId="51" w16cid:durableId="1719351677">
    <w:abstractNumId w:val="122"/>
  </w:num>
  <w:num w:numId="52" w16cid:durableId="1107427397">
    <w:abstractNumId w:val="39"/>
  </w:num>
  <w:num w:numId="53" w16cid:durableId="371266753">
    <w:abstractNumId w:val="115"/>
  </w:num>
  <w:num w:numId="54" w16cid:durableId="491869272">
    <w:abstractNumId w:val="47"/>
  </w:num>
  <w:num w:numId="55" w16cid:durableId="1351251430">
    <w:abstractNumId w:val="120"/>
  </w:num>
  <w:num w:numId="56" w16cid:durableId="1368607436">
    <w:abstractNumId w:val="152"/>
  </w:num>
  <w:num w:numId="57" w16cid:durableId="1588029100">
    <w:abstractNumId w:val="158"/>
  </w:num>
  <w:num w:numId="58" w16cid:durableId="415832180">
    <w:abstractNumId w:val="144"/>
  </w:num>
  <w:num w:numId="59" w16cid:durableId="1178735139">
    <w:abstractNumId w:val="78"/>
  </w:num>
  <w:num w:numId="60" w16cid:durableId="721834200">
    <w:abstractNumId w:val="91"/>
  </w:num>
  <w:num w:numId="61" w16cid:durableId="686251813">
    <w:abstractNumId w:val="3"/>
  </w:num>
  <w:num w:numId="62" w16cid:durableId="1960641414">
    <w:abstractNumId w:val="20"/>
  </w:num>
  <w:num w:numId="63" w16cid:durableId="39089564">
    <w:abstractNumId w:val="82"/>
  </w:num>
  <w:num w:numId="64" w16cid:durableId="1192718157">
    <w:abstractNumId w:val="32"/>
  </w:num>
  <w:num w:numId="65" w16cid:durableId="1777825955">
    <w:abstractNumId w:val="124"/>
  </w:num>
  <w:num w:numId="66" w16cid:durableId="286199487">
    <w:abstractNumId w:val="42"/>
  </w:num>
  <w:num w:numId="67" w16cid:durableId="1119490663">
    <w:abstractNumId w:val="100"/>
  </w:num>
  <w:num w:numId="68" w16cid:durableId="1353922786">
    <w:abstractNumId w:val="55"/>
  </w:num>
  <w:num w:numId="69" w16cid:durableId="492723980">
    <w:abstractNumId w:val="106"/>
  </w:num>
  <w:num w:numId="70" w16cid:durableId="526941613">
    <w:abstractNumId w:val="56"/>
  </w:num>
  <w:num w:numId="71" w16cid:durableId="320043301">
    <w:abstractNumId w:val="104"/>
  </w:num>
  <w:num w:numId="72" w16cid:durableId="2037610982">
    <w:abstractNumId w:val="8"/>
  </w:num>
  <w:num w:numId="73" w16cid:durableId="1079794559">
    <w:abstractNumId w:val="72"/>
  </w:num>
  <w:num w:numId="74" w16cid:durableId="503403534">
    <w:abstractNumId w:val="58"/>
  </w:num>
  <w:num w:numId="75" w16cid:durableId="194734275">
    <w:abstractNumId w:val="17"/>
  </w:num>
  <w:num w:numId="76" w16cid:durableId="424033359">
    <w:abstractNumId w:val="81"/>
  </w:num>
  <w:num w:numId="77" w16cid:durableId="1335066293">
    <w:abstractNumId w:val="137"/>
  </w:num>
  <w:num w:numId="78" w16cid:durableId="662587085">
    <w:abstractNumId w:val="63"/>
  </w:num>
  <w:num w:numId="79" w16cid:durableId="2071072074">
    <w:abstractNumId w:val="129"/>
  </w:num>
  <w:num w:numId="80" w16cid:durableId="1573662111">
    <w:abstractNumId w:val="154"/>
  </w:num>
  <w:num w:numId="81" w16cid:durableId="131678057">
    <w:abstractNumId w:val="145"/>
  </w:num>
  <w:num w:numId="82" w16cid:durableId="2103643901">
    <w:abstractNumId w:val="128"/>
  </w:num>
  <w:num w:numId="83" w16cid:durableId="99565733">
    <w:abstractNumId w:val="45"/>
  </w:num>
  <w:num w:numId="84" w16cid:durableId="834734195">
    <w:abstractNumId w:val="31"/>
  </w:num>
  <w:num w:numId="85" w16cid:durableId="1810784339">
    <w:abstractNumId w:val="111"/>
  </w:num>
  <w:num w:numId="86" w16cid:durableId="294062445">
    <w:abstractNumId w:val="107"/>
  </w:num>
  <w:num w:numId="87" w16cid:durableId="461116587">
    <w:abstractNumId w:val="119"/>
  </w:num>
  <w:num w:numId="88" w16cid:durableId="1771701466">
    <w:abstractNumId w:val="22"/>
  </w:num>
  <w:num w:numId="89" w16cid:durableId="458109583">
    <w:abstractNumId w:val="62"/>
  </w:num>
  <w:num w:numId="90" w16cid:durableId="1118372837">
    <w:abstractNumId w:val="127"/>
  </w:num>
  <w:num w:numId="91" w16cid:durableId="928196919">
    <w:abstractNumId w:val="65"/>
  </w:num>
  <w:num w:numId="92" w16cid:durableId="540751746">
    <w:abstractNumId w:val="16"/>
  </w:num>
  <w:num w:numId="93" w16cid:durableId="1732345686">
    <w:abstractNumId w:val="48"/>
  </w:num>
  <w:num w:numId="94" w16cid:durableId="1491748033">
    <w:abstractNumId w:val="126"/>
  </w:num>
  <w:num w:numId="95" w16cid:durableId="670565925">
    <w:abstractNumId w:val="28"/>
  </w:num>
  <w:num w:numId="96" w16cid:durableId="920025912">
    <w:abstractNumId w:val="35"/>
  </w:num>
  <w:num w:numId="97" w16cid:durableId="385184188">
    <w:abstractNumId w:val="27"/>
  </w:num>
  <w:num w:numId="98" w16cid:durableId="433670804">
    <w:abstractNumId w:val="134"/>
  </w:num>
  <w:num w:numId="99" w16cid:durableId="1986471659">
    <w:abstractNumId w:val="99"/>
  </w:num>
  <w:num w:numId="100" w16cid:durableId="384569146">
    <w:abstractNumId w:val="80"/>
  </w:num>
  <w:num w:numId="101" w16cid:durableId="211696971">
    <w:abstractNumId w:val="43"/>
  </w:num>
  <w:num w:numId="102" w16cid:durableId="1773429901">
    <w:abstractNumId w:val="75"/>
  </w:num>
  <w:num w:numId="103" w16cid:durableId="1313095327">
    <w:abstractNumId w:val="59"/>
  </w:num>
  <w:num w:numId="104" w16cid:durableId="520290349">
    <w:abstractNumId w:val="44"/>
  </w:num>
  <w:num w:numId="105" w16cid:durableId="1512571936">
    <w:abstractNumId w:val="142"/>
  </w:num>
  <w:num w:numId="106" w16cid:durableId="804733676">
    <w:abstractNumId w:val="50"/>
  </w:num>
  <w:num w:numId="107" w16cid:durableId="488864096">
    <w:abstractNumId w:val="138"/>
  </w:num>
  <w:num w:numId="108" w16cid:durableId="1599749197">
    <w:abstractNumId w:val="74"/>
  </w:num>
  <w:num w:numId="109" w16cid:durableId="1729497930">
    <w:abstractNumId w:val="68"/>
  </w:num>
  <w:num w:numId="110" w16cid:durableId="202600046">
    <w:abstractNumId w:val="97"/>
  </w:num>
  <w:num w:numId="111" w16cid:durableId="705715569">
    <w:abstractNumId w:val="66"/>
  </w:num>
  <w:num w:numId="112" w16cid:durableId="1726679607">
    <w:abstractNumId w:val="37"/>
  </w:num>
  <w:num w:numId="113" w16cid:durableId="1630209448">
    <w:abstractNumId w:val="84"/>
  </w:num>
  <w:num w:numId="114" w16cid:durableId="928663234">
    <w:abstractNumId w:val="105"/>
  </w:num>
  <w:num w:numId="115" w16cid:durableId="1492596474">
    <w:abstractNumId w:val="109"/>
  </w:num>
  <w:num w:numId="116" w16cid:durableId="801120737">
    <w:abstractNumId w:val="92"/>
  </w:num>
  <w:num w:numId="117" w16cid:durableId="214050367">
    <w:abstractNumId w:val="140"/>
  </w:num>
  <w:num w:numId="118" w16cid:durableId="119765671">
    <w:abstractNumId w:val="53"/>
  </w:num>
  <w:num w:numId="119" w16cid:durableId="655495887">
    <w:abstractNumId w:val="57"/>
  </w:num>
  <w:num w:numId="120" w16cid:durableId="329139902">
    <w:abstractNumId w:val="64"/>
  </w:num>
  <w:num w:numId="121" w16cid:durableId="2017072952">
    <w:abstractNumId w:val="121"/>
  </w:num>
  <w:num w:numId="122" w16cid:durableId="58405484">
    <w:abstractNumId w:val="52"/>
  </w:num>
  <w:num w:numId="123" w16cid:durableId="1817530714">
    <w:abstractNumId w:val="23"/>
  </w:num>
  <w:num w:numId="124" w16cid:durableId="2141336387">
    <w:abstractNumId w:val="98"/>
  </w:num>
  <w:num w:numId="125" w16cid:durableId="1325282792">
    <w:abstractNumId w:val="5"/>
  </w:num>
  <w:num w:numId="126" w16cid:durableId="1319654748">
    <w:abstractNumId w:val="125"/>
  </w:num>
  <w:num w:numId="127" w16cid:durableId="1431050858">
    <w:abstractNumId w:val="71"/>
  </w:num>
  <w:num w:numId="128" w16cid:durableId="1905674203">
    <w:abstractNumId w:val="151"/>
  </w:num>
  <w:num w:numId="129" w16cid:durableId="1172839593">
    <w:abstractNumId w:val="96"/>
  </w:num>
  <w:num w:numId="130" w16cid:durableId="556555801">
    <w:abstractNumId w:val="1"/>
  </w:num>
  <w:num w:numId="131" w16cid:durableId="1903828627">
    <w:abstractNumId w:val="26"/>
  </w:num>
  <w:num w:numId="132" w16cid:durableId="281425930">
    <w:abstractNumId w:val="87"/>
  </w:num>
  <w:num w:numId="133" w16cid:durableId="218833604">
    <w:abstractNumId w:val="36"/>
  </w:num>
  <w:num w:numId="134" w16cid:durableId="1947999269">
    <w:abstractNumId w:val="150"/>
  </w:num>
  <w:num w:numId="135" w16cid:durableId="1491553762">
    <w:abstractNumId w:val="69"/>
  </w:num>
  <w:num w:numId="136" w16cid:durableId="965625632">
    <w:abstractNumId w:val="136"/>
  </w:num>
  <w:num w:numId="137" w16cid:durableId="1420058146">
    <w:abstractNumId w:val="116"/>
  </w:num>
  <w:num w:numId="138" w16cid:durableId="829950104">
    <w:abstractNumId w:val="146"/>
  </w:num>
  <w:num w:numId="139" w16cid:durableId="1481145624">
    <w:abstractNumId w:val="165"/>
  </w:num>
  <w:num w:numId="140" w16cid:durableId="29957555">
    <w:abstractNumId w:val="156"/>
  </w:num>
  <w:num w:numId="141" w16cid:durableId="1042821728">
    <w:abstractNumId w:val="139"/>
  </w:num>
  <w:num w:numId="142" w16cid:durableId="1995062474">
    <w:abstractNumId w:val="0"/>
  </w:num>
  <w:num w:numId="143" w16cid:durableId="633143735">
    <w:abstractNumId w:val="148"/>
  </w:num>
  <w:num w:numId="144" w16cid:durableId="1100951892">
    <w:abstractNumId w:val="40"/>
  </w:num>
  <w:num w:numId="145" w16cid:durableId="880169423">
    <w:abstractNumId w:val="164"/>
  </w:num>
  <w:num w:numId="146" w16cid:durableId="8921736">
    <w:abstractNumId w:val="67"/>
  </w:num>
  <w:num w:numId="147" w16cid:durableId="647705730">
    <w:abstractNumId w:val="38"/>
  </w:num>
  <w:num w:numId="148" w16cid:durableId="1512180679">
    <w:abstractNumId w:val="10"/>
  </w:num>
  <w:num w:numId="149" w16cid:durableId="11617290">
    <w:abstractNumId w:val="46"/>
  </w:num>
  <w:num w:numId="150" w16cid:durableId="683481168">
    <w:abstractNumId w:val="86"/>
  </w:num>
  <w:num w:numId="151" w16cid:durableId="1101729116">
    <w:abstractNumId w:val="54"/>
  </w:num>
  <w:num w:numId="152" w16cid:durableId="1256937953">
    <w:abstractNumId w:val="161"/>
  </w:num>
  <w:num w:numId="153" w16cid:durableId="1159082424">
    <w:abstractNumId w:val="123"/>
  </w:num>
  <w:num w:numId="154" w16cid:durableId="950862669">
    <w:abstractNumId w:val="2"/>
  </w:num>
  <w:num w:numId="155" w16cid:durableId="621154025">
    <w:abstractNumId w:val="85"/>
  </w:num>
  <w:num w:numId="156" w16cid:durableId="36248663">
    <w:abstractNumId w:val="159"/>
  </w:num>
  <w:num w:numId="157" w16cid:durableId="1607881090">
    <w:abstractNumId w:val="132"/>
  </w:num>
  <w:num w:numId="158" w16cid:durableId="801533785">
    <w:abstractNumId w:val="11"/>
  </w:num>
  <w:num w:numId="159" w16cid:durableId="1541438194">
    <w:abstractNumId w:val="135"/>
  </w:num>
  <w:num w:numId="160" w16cid:durableId="651325399">
    <w:abstractNumId w:val="14"/>
  </w:num>
  <w:num w:numId="161" w16cid:durableId="197932508">
    <w:abstractNumId w:val="51"/>
  </w:num>
  <w:num w:numId="162" w16cid:durableId="1229875821">
    <w:abstractNumId w:val="103"/>
  </w:num>
  <w:num w:numId="163" w16cid:durableId="1824423289">
    <w:abstractNumId w:val="25"/>
  </w:num>
  <w:num w:numId="164" w16cid:durableId="473065235">
    <w:abstractNumId w:val="101"/>
  </w:num>
  <w:num w:numId="165" w16cid:durableId="426735054">
    <w:abstractNumId w:val="70"/>
  </w:num>
  <w:num w:numId="166" w16cid:durableId="1273127145">
    <w:abstractNumId w:val="7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43B"/>
    <w:rsid w:val="00000779"/>
    <w:rsid w:val="00003E6A"/>
    <w:rsid w:val="000051A5"/>
    <w:rsid w:val="000100AD"/>
    <w:rsid w:val="00011CDE"/>
    <w:rsid w:val="0001587B"/>
    <w:rsid w:val="0001608D"/>
    <w:rsid w:val="00021535"/>
    <w:rsid w:val="00021B33"/>
    <w:rsid w:val="00023D18"/>
    <w:rsid w:val="00025378"/>
    <w:rsid w:val="0002579C"/>
    <w:rsid w:val="000264A2"/>
    <w:rsid w:val="00030F55"/>
    <w:rsid w:val="00033B9A"/>
    <w:rsid w:val="00035317"/>
    <w:rsid w:val="00035989"/>
    <w:rsid w:val="0003648C"/>
    <w:rsid w:val="000400E4"/>
    <w:rsid w:val="00040DE4"/>
    <w:rsid w:val="00042563"/>
    <w:rsid w:val="000439CD"/>
    <w:rsid w:val="00046F62"/>
    <w:rsid w:val="00047E70"/>
    <w:rsid w:val="00051808"/>
    <w:rsid w:val="000556C9"/>
    <w:rsid w:val="00063B4C"/>
    <w:rsid w:val="00066284"/>
    <w:rsid w:val="00066C63"/>
    <w:rsid w:val="0007006F"/>
    <w:rsid w:val="000722B0"/>
    <w:rsid w:val="00074912"/>
    <w:rsid w:val="000750C9"/>
    <w:rsid w:val="00075A97"/>
    <w:rsid w:val="00077E53"/>
    <w:rsid w:val="00080078"/>
    <w:rsid w:val="00081F81"/>
    <w:rsid w:val="00082ADD"/>
    <w:rsid w:val="0008418B"/>
    <w:rsid w:val="00085687"/>
    <w:rsid w:val="00086EAD"/>
    <w:rsid w:val="0008702A"/>
    <w:rsid w:val="00087C72"/>
    <w:rsid w:val="00090701"/>
    <w:rsid w:val="0009351A"/>
    <w:rsid w:val="000971AC"/>
    <w:rsid w:val="000974C6"/>
    <w:rsid w:val="00097A26"/>
    <w:rsid w:val="000A2EB8"/>
    <w:rsid w:val="000A64B4"/>
    <w:rsid w:val="000A66EB"/>
    <w:rsid w:val="000A66F0"/>
    <w:rsid w:val="000A7358"/>
    <w:rsid w:val="000B51A7"/>
    <w:rsid w:val="000B6AE6"/>
    <w:rsid w:val="000B6EF9"/>
    <w:rsid w:val="000B7AA2"/>
    <w:rsid w:val="000C014A"/>
    <w:rsid w:val="000C0EB9"/>
    <w:rsid w:val="000C18CF"/>
    <w:rsid w:val="000C22BA"/>
    <w:rsid w:val="000C501A"/>
    <w:rsid w:val="000C6EE0"/>
    <w:rsid w:val="000D05D8"/>
    <w:rsid w:val="000D0641"/>
    <w:rsid w:val="000D2239"/>
    <w:rsid w:val="000D2B00"/>
    <w:rsid w:val="000D3811"/>
    <w:rsid w:val="000D402A"/>
    <w:rsid w:val="000D4D7C"/>
    <w:rsid w:val="000E0AB6"/>
    <w:rsid w:val="000E112E"/>
    <w:rsid w:val="000E270C"/>
    <w:rsid w:val="000E638D"/>
    <w:rsid w:val="000E6C9B"/>
    <w:rsid w:val="000F06C6"/>
    <w:rsid w:val="000F1049"/>
    <w:rsid w:val="000F255F"/>
    <w:rsid w:val="000F2C6D"/>
    <w:rsid w:val="000F3374"/>
    <w:rsid w:val="000F41C2"/>
    <w:rsid w:val="000F4A02"/>
    <w:rsid w:val="000F50F0"/>
    <w:rsid w:val="000F60A1"/>
    <w:rsid w:val="000F6826"/>
    <w:rsid w:val="00104930"/>
    <w:rsid w:val="001071A9"/>
    <w:rsid w:val="001071C4"/>
    <w:rsid w:val="0011008F"/>
    <w:rsid w:val="001119CB"/>
    <w:rsid w:val="00114662"/>
    <w:rsid w:val="00121CF6"/>
    <w:rsid w:val="00123349"/>
    <w:rsid w:val="0012345E"/>
    <w:rsid w:val="00124220"/>
    <w:rsid w:val="00125D42"/>
    <w:rsid w:val="0012722A"/>
    <w:rsid w:val="00131021"/>
    <w:rsid w:val="00132610"/>
    <w:rsid w:val="00132E80"/>
    <w:rsid w:val="001367A6"/>
    <w:rsid w:val="0013703F"/>
    <w:rsid w:val="00141AD9"/>
    <w:rsid w:val="0014242B"/>
    <w:rsid w:val="00145221"/>
    <w:rsid w:val="0015207D"/>
    <w:rsid w:val="001545FB"/>
    <w:rsid w:val="00156120"/>
    <w:rsid w:val="00157E62"/>
    <w:rsid w:val="001601E6"/>
    <w:rsid w:val="00160A9E"/>
    <w:rsid w:val="00161226"/>
    <w:rsid w:val="0016183C"/>
    <w:rsid w:val="00161BD1"/>
    <w:rsid w:val="0016460E"/>
    <w:rsid w:val="00172E06"/>
    <w:rsid w:val="0017348F"/>
    <w:rsid w:val="00177134"/>
    <w:rsid w:val="00177CA6"/>
    <w:rsid w:val="0018252C"/>
    <w:rsid w:val="001838A4"/>
    <w:rsid w:val="001911C8"/>
    <w:rsid w:val="00194263"/>
    <w:rsid w:val="001957AD"/>
    <w:rsid w:val="0019629A"/>
    <w:rsid w:val="00197907"/>
    <w:rsid w:val="001A7795"/>
    <w:rsid w:val="001B0E9E"/>
    <w:rsid w:val="001B4E4D"/>
    <w:rsid w:val="001B5048"/>
    <w:rsid w:val="001B6E43"/>
    <w:rsid w:val="001B70A6"/>
    <w:rsid w:val="001B728F"/>
    <w:rsid w:val="001B7905"/>
    <w:rsid w:val="001C04CD"/>
    <w:rsid w:val="001C107B"/>
    <w:rsid w:val="001C3AF6"/>
    <w:rsid w:val="001C50DF"/>
    <w:rsid w:val="001C6535"/>
    <w:rsid w:val="001C784E"/>
    <w:rsid w:val="001C798F"/>
    <w:rsid w:val="001D008B"/>
    <w:rsid w:val="001D1485"/>
    <w:rsid w:val="001D5B35"/>
    <w:rsid w:val="001E0DFA"/>
    <w:rsid w:val="001E1494"/>
    <w:rsid w:val="001E16B9"/>
    <w:rsid w:val="001E36E7"/>
    <w:rsid w:val="001E4A41"/>
    <w:rsid w:val="001E4BBD"/>
    <w:rsid w:val="001E6426"/>
    <w:rsid w:val="001E7CD2"/>
    <w:rsid w:val="001F0363"/>
    <w:rsid w:val="001F19A6"/>
    <w:rsid w:val="001F325E"/>
    <w:rsid w:val="001F653A"/>
    <w:rsid w:val="00202905"/>
    <w:rsid w:val="002043F1"/>
    <w:rsid w:val="002058D0"/>
    <w:rsid w:val="00206411"/>
    <w:rsid w:val="00210DD5"/>
    <w:rsid w:val="00211184"/>
    <w:rsid w:val="00211A28"/>
    <w:rsid w:val="00212B51"/>
    <w:rsid w:val="00213259"/>
    <w:rsid w:val="0021364B"/>
    <w:rsid w:val="00215D17"/>
    <w:rsid w:val="00221110"/>
    <w:rsid w:val="00221E4E"/>
    <w:rsid w:val="002259D8"/>
    <w:rsid w:val="00226DB6"/>
    <w:rsid w:val="00232B2D"/>
    <w:rsid w:val="002340BB"/>
    <w:rsid w:val="00234B2A"/>
    <w:rsid w:val="00235656"/>
    <w:rsid w:val="00235737"/>
    <w:rsid w:val="00235B93"/>
    <w:rsid w:val="0023685F"/>
    <w:rsid w:val="002368E7"/>
    <w:rsid w:val="00236924"/>
    <w:rsid w:val="0024111A"/>
    <w:rsid w:val="0024459C"/>
    <w:rsid w:val="0024797A"/>
    <w:rsid w:val="00247B56"/>
    <w:rsid w:val="0025020C"/>
    <w:rsid w:val="00250243"/>
    <w:rsid w:val="00256951"/>
    <w:rsid w:val="00260DE1"/>
    <w:rsid w:val="00263960"/>
    <w:rsid w:val="00265C92"/>
    <w:rsid w:val="002715FA"/>
    <w:rsid w:val="0027396A"/>
    <w:rsid w:val="00274408"/>
    <w:rsid w:val="00274D24"/>
    <w:rsid w:val="00275708"/>
    <w:rsid w:val="00276B32"/>
    <w:rsid w:val="00280C95"/>
    <w:rsid w:val="00281A9E"/>
    <w:rsid w:val="00282E04"/>
    <w:rsid w:val="00283911"/>
    <w:rsid w:val="00283F75"/>
    <w:rsid w:val="00284266"/>
    <w:rsid w:val="00284F25"/>
    <w:rsid w:val="0028549A"/>
    <w:rsid w:val="002865F5"/>
    <w:rsid w:val="00292A36"/>
    <w:rsid w:val="00292DD6"/>
    <w:rsid w:val="00294E08"/>
    <w:rsid w:val="002961B3"/>
    <w:rsid w:val="00296703"/>
    <w:rsid w:val="00297BC6"/>
    <w:rsid w:val="002A1CEC"/>
    <w:rsid w:val="002A774F"/>
    <w:rsid w:val="002B44E4"/>
    <w:rsid w:val="002B6E64"/>
    <w:rsid w:val="002C02E0"/>
    <w:rsid w:val="002C12CD"/>
    <w:rsid w:val="002C162A"/>
    <w:rsid w:val="002C1A3A"/>
    <w:rsid w:val="002C25C0"/>
    <w:rsid w:val="002C3B13"/>
    <w:rsid w:val="002C4039"/>
    <w:rsid w:val="002C6A01"/>
    <w:rsid w:val="002C7C75"/>
    <w:rsid w:val="002D1366"/>
    <w:rsid w:val="002D64A3"/>
    <w:rsid w:val="002D687F"/>
    <w:rsid w:val="002D7D8D"/>
    <w:rsid w:val="002E00F4"/>
    <w:rsid w:val="002E7DEF"/>
    <w:rsid w:val="002F3DE7"/>
    <w:rsid w:val="002F4639"/>
    <w:rsid w:val="002F4E34"/>
    <w:rsid w:val="002F5E53"/>
    <w:rsid w:val="002F6548"/>
    <w:rsid w:val="0030107C"/>
    <w:rsid w:val="00302C70"/>
    <w:rsid w:val="00306067"/>
    <w:rsid w:val="003071DF"/>
    <w:rsid w:val="00310FC2"/>
    <w:rsid w:val="003114D1"/>
    <w:rsid w:val="00311C68"/>
    <w:rsid w:val="00312A5A"/>
    <w:rsid w:val="00312EB6"/>
    <w:rsid w:val="003135AD"/>
    <w:rsid w:val="003160B8"/>
    <w:rsid w:val="00317A0C"/>
    <w:rsid w:val="00317D25"/>
    <w:rsid w:val="00320A17"/>
    <w:rsid w:val="00323C06"/>
    <w:rsid w:val="00327152"/>
    <w:rsid w:val="0033022D"/>
    <w:rsid w:val="00331453"/>
    <w:rsid w:val="003314EE"/>
    <w:rsid w:val="00333B39"/>
    <w:rsid w:val="003340C8"/>
    <w:rsid w:val="003347CD"/>
    <w:rsid w:val="00335096"/>
    <w:rsid w:val="00335DDE"/>
    <w:rsid w:val="00337EF1"/>
    <w:rsid w:val="00341C34"/>
    <w:rsid w:val="00342701"/>
    <w:rsid w:val="00346D78"/>
    <w:rsid w:val="003501FC"/>
    <w:rsid w:val="003507BA"/>
    <w:rsid w:val="00350D5C"/>
    <w:rsid w:val="003510C8"/>
    <w:rsid w:val="00351AB1"/>
    <w:rsid w:val="00353020"/>
    <w:rsid w:val="00354476"/>
    <w:rsid w:val="0035731A"/>
    <w:rsid w:val="00357875"/>
    <w:rsid w:val="00361215"/>
    <w:rsid w:val="003627CF"/>
    <w:rsid w:val="00363B41"/>
    <w:rsid w:val="00365252"/>
    <w:rsid w:val="00365C15"/>
    <w:rsid w:val="003661EA"/>
    <w:rsid w:val="00370783"/>
    <w:rsid w:val="00371E00"/>
    <w:rsid w:val="00377F27"/>
    <w:rsid w:val="003802F6"/>
    <w:rsid w:val="003807FC"/>
    <w:rsid w:val="00382CD2"/>
    <w:rsid w:val="003833D4"/>
    <w:rsid w:val="00384842"/>
    <w:rsid w:val="00386C95"/>
    <w:rsid w:val="0039191E"/>
    <w:rsid w:val="00391FAF"/>
    <w:rsid w:val="00393F39"/>
    <w:rsid w:val="00396DCE"/>
    <w:rsid w:val="003A25EB"/>
    <w:rsid w:val="003A653A"/>
    <w:rsid w:val="003A66FD"/>
    <w:rsid w:val="003A73BB"/>
    <w:rsid w:val="003A786F"/>
    <w:rsid w:val="003B06A8"/>
    <w:rsid w:val="003B0E67"/>
    <w:rsid w:val="003B1497"/>
    <w:rsid w:val="003B1E32"/>
    <w:rsid w:val="003B2119"/>
    <w:rsid w:val="003B3D66"/>
    <w:rsid w:val="003B54D0"/>
    <w:rsid w:val="003C3F17"/>
    <w:rsid w:val="003C5B91"/>
    <w:rsid w:val="003C723B"/>
    <w:rsid w:val="003C730D"/>
    <w:rsid w:val="003D111F"/>
    <w:rsid w:val="003D21A5"/>
    <w:rsid w:val="003D22C6"/>
    <w:rsid w:val="003D2B0C"/>
    <w:rsid w:val="003D4C08"/>
    <w:rsid w:val="003D559A"/>
    <w:rsid w:val="003D566F"/>
    <w:rsid w:val="003D5DCD"/>
    <w:rsid w:val="003E1CBA"/>
    <w:rsid w:val="003E33B6"/>
    <w:rsid w:val="003E4535"/>
    <w:rsid w:val="003E7BE2"/>
    <w:rsid w:val="003F3353"/>
    <w:rsid w:val="003F4945"/>
    <w:rsid w:val="00400529"/>
    <w:rsid w:val="004008A0"/>
    <w:rsid w:val="00400C89"/>
    <w:rsid w:val="00402077"/>
    <w:rsid w:val="00404CEA"/>
    <w:rsid w:val="0040518B"/>
    <w:rsid w:val="00411767"/>
    <w:rsid w:val="00413B7C"/>
    <w:rsid w:val="00414780"/>
    <w:rsid w:val="00414826"/>
    <w:rsid w:val="00415419"/>
    <w:rsid w:val="00415CF9"/>
    <w:rsid w:val="00423AEC"/>
    <w:rsid w:val="0042517C"/>
    <w:rsid w:val="004268B3"/>
    <w:rsid w:val="00427679"/>
    <w:rsid w:val="004276E3"/>
    <w:rsid w:val="004301FA"/>
    <w:rsid w:val="00430AC9"/>
    <w:rsid w:val="004310CA"/>
    <w:rsid w:val="0043126C"/>
    <w:rsid w:val="0043132A"/>
    <w:rsid w:val="00434213"/>
    <w:rsid w:val="00435A21"/>
    <w:rsid w:val="00440EB1"/>
    <w:rsid w:val="004431A3"/>
    <w:rsid w:val="004468CB"/>
    <w:rsid w:val="00446DD3"/>
    <w:rsid w:val="004479FD"/>
    <w:rsid w:val="004504E0"/>
    <w:rsid w:val="00450685"/>
    <w:rsid w:val="00451BE0"/>
    <w:rsid w:val="0045547A"/>
    <w:rsid w:val="00455C9A"/>
    <w:rsid w:val="004600E3"/>
    <w:rsid w:val="004615B8"/>
    <w:rsid w:val="00461634"/>
    <w:rsid w:val="00465B43"/>
    <w:rsid w:val="004669DC"/>
    <w:rsid w:val="00470421"/>
    <w:rsid w:val="00472D45"/>
    <w:rsid w:val="004748BC"/>
    <w:rsid w:val="00475137"/>
    <w:rsid w:val="0047615E"/>
    <w:rsid w:val="00476B40"/>
    <w:rsid w:val="00476DE3"/>
    <w:rsid w:val="00476FF5"/>
    <w:rsid w:val="00485FB5"/>
    <w:rsid w:val="0049088A"/>
    <w:rsid w:val="00490A63"/>
    <w:rsid w:val="004914F8"/>
    <w:rsid w:val="00497B8C"/>
    <w:rsid w:val="004A2DFD"/>
    <w:rsid w:val="004A4F6C"/>
    <w:rsid w:val="004B3267"/>
    <w:rsid w:val="004B4BB9"/>
    <w:rsid w:val="004B60F2"/>
    <w:rsid w:val="004B696B"/>
    <w:rsid w:val="004B6B5C"/>
    <w:rsid w:val="004B7A54"/>
    <w:rsid w:val="004C08C9"/>
    <w:rsid w:val="004C0EE6"/>
    <w:rsid w:val="004C1289"/>
    <w:rsid w:val="004C33B7"/>
    <w:rsid w:val="004C3CB9"/>
    <w:rsid w:val="004C6C33"/>
    <w:rsid w:val="004C6E15"/>
    <w:rsid w:val="004D0AA8"/>
    <w:rsid w:val="004D14EC"/>
    <w:rsid w:val="004D3E6D"/>
    <w:rsid w:val="004D4021"/>
    <w:rsid w:val="004D6A76"/>
    <w:rsid w:val="004D729D"/>
    <w:rsid w:val="004D7B41"/>
    <w:rsid w:val="004E0216"/>
    <w:rsid w:val="004E3AE2"/>
    <w:rsid w:val="004E6EF1"/>
    <w:rsid w:val="004F171A"/>
    <w:rsid w:val="004F196D"/>
    <w:rsid w:val="004F2843"/>
    <w:rsid w:val="004F6840"/>
    <w:rsid w:val="004F780D"/>
    <w:rsid w:val="00502DC8"/>
    <w:rsid w:val="005036C0"/>
    <w:rsid w:val="00503ACD"/>
    <w:rsid w:val="005047EF"/>
    <w:rsid w:val="00504C0E"/>
    <w:rsid w:val="0050647D"/>
    <w:rsid w:val="00506FF8"/>
    <w:rsid w:val="0050728D"/>
    <w:rsid w:val="005079D9"/>
    <w:rsid w:val="005119DE"/>
    <w:rsid w:val="00511B83"/>
    <w:rsid w:val="00514BA8"/>
    <w:rsid w:val="00515672"/>
    <w:rsid w:val="00515988"/>
    <w:rsid w:val="00516455"/>
    <w:rsid w:val="005179A7"/>
    <w:rsid w:val="005230D6"/>
    <w:rsid w:val="00523A08"/>
    <w:rsid w:val="00523F08"/>
    <w:rsid w:val="00524144"/>
    <w:rsid w:val="00532AD7"/>
    <w:rsid w:val="00537B4A"/>
    <w:rsid w:val="005416FB"/>
    <w:rsid w:val="005429AF"/>
    <w:rsid w:val="00544552"/>
    <w:rsid w:val="005446BF"/>
    <w:rsid w:val="00545B76"/>
    <w:rsid w:val="00546203"/>
    <w:rsid w:val="005500E8"/>
    <w:rsid w:val="00550CE3"/>
    <w:rsid w:val="0055147E"/>
    <w:rsid w:val="00560999"/>
    <w:rsid w:val="00560A30"/>
    <w:rsid w:val="00562064"/>
    <w:rsid w:val="005700DA"/>
    <w:rsid w:val="00573B21"/>
    <w:rsid w:val="00574BA2"/>
    <w:rsid w:val="00581142"/>
    <w:rsid w:val="00582A73"/>
    <w:rsid w:val="0058511C"/>
    <w:rsid w:val="00587CC0"/>
    <w:rsid w:val="005905E4"/>
    <w:rsid w:val="00591C77"/>
    <w:rsid w:val="00592894"/>
    <w:rsid w:val="00594B6B"/>
    <w:rsid w:val="00596461"/>
    <w:rsid w:val="005974C3"/>
    <w:rsid w:val="00597B9F"/>
    <w:rsid w:val="005A08A8"/>
    <w:rsid w:val="005A0A1E"/>
    <w:rsid w:val="005A0DD8"/>
    <w:rsid w:val="005A2161"/>
    <w:rsid w:val="005A2795"/>
    <w:rsid w:val="005A4822"/>
    <w:rsid w:val="005A5431"/>
    <w:rsid w:val="005A7518"/>
    <w:rsid w:val="005B0CE2"/>
    <w:rsid w:val="005B16DA"/>
    <w:rsid w:val="005B3EDE"/>
    <w:rsid w:val="005B52F2"/>
    <w:rsid w:val="005B5867"/>
    <w:rsid w:val="005B5D67"/>
    <w:rsid w:val="005B6E67"/>
    <w:rsid w:val="005B7992"/>
    <w:rsid w:val="005B7B3F"/>
    <w:rsid w:val="005C5202"/>
    <w:rsid w:val="005C5E68"/>
    <w:rsid w:val="005C5E80"/>
    <w:rsid w:val="005C72F3"/>
    <w:rsid w:val="005D0E36"/>
    <w:rsid w:val="005D10E8"/>
    <w:rsid w:val="005D3F4F"/>
    <w:rsid w:val="005D751C"/>
    <w:rsid w:val="005D7A1E"/>
    <w:rsid w:val="005E1650"/>
    <w:rsid w:val="005E2F9D"/>
    <w:rsid w:val="005E724D"/>
    <w:rsid w:val="005F0345"/>
    <w:rsid w:val="005F6E0A"/>
    <w:rsid w:val="005F7688"/>
    <w:rsid w:val="006022E1"/>
    <w:rsid w:val="00603647"/>
    <w:rsid w:val="00603B21"/>
    <w:rsid w:val="00604A87"/>
    <w:rsid w:val="006110BC"/>
    <w:rsid w:val="006167F0"/>
    <w:rsid w:val="00616A25"/>
    <w:rsid w:val="0061758E"/>
    <w:rsid w:val="00621776"/>
    <w:rsid w:val="00621872"/>
    <w:rsid w:val="00623792"/>
    <w:rsid w:val="0062617D"/>
    <w:rsid w:val="0062639F"/>
    <w:rsid w:val="0062700B"/>
    <w:rsid w:val="00627E4C"/>
    <w:rsid w:val="006316E0"/>
    <w:rsid w:val="00631DB0"/>
    <w:rsid w:val="006324F4"/>
    <w:rsid w:val="0063432F"/>
    <w:rsid w:val="00636D9A"/>
    <w:rsid w:val="0063785F"/>
    <w:rsid w:val="00640A71"/>
    <w:rsid w:val="006420DF"/>
    <w:rsid w:val="00644964"/>
    <w:rsid w:val="00645CD6"/>
    <w:rsid w:val="00646453"/>
    <w:rsid w:val="006507BE"/>
    <w:rsid w:val="0065135D"/>
    <w:rsid w:val="006516DA"/>
    <w:rsid w:val="00655595"/>
    <w:rsid w:val="00660B0E"/>
    <w:rsid w:val="006621D1"/>
    <w:rsid w:val="00663F25"/>
    <w:rsid w:val="00666DC2"/>
    <w:rsid w:val="0067049D"/>
    <w:rsid w:val="00671654"/>
    <w:rsid w:val="00673AC1"/>
    <w:rsid w:val="00674247"/>
    <w:rsid w:val="00675BF7"/>
    <w:rsid w:val="00675C6D"/>
    <w:rsid w:val="006801A5"/>
    <w:rsid w:val="0068422C"/>
    <w:rsid w:val="006911F8"/>
    <w:rsid w:val="00691BE3"/>
    <w:rsid w:val="00692FE5"/>
    <w:rsid w:val="006A1D3C"/>
    <w:rsid w:val="006A2047"/>
    <w:rsid w:val="006A3F0D"/>
    <w:rsid w:val="006A438F"/>
    <w:rsid w:val="006A4515"/>
    <w:rsid w:val="006A4E1B"/>
    <w:rsid w:val="006A654E"/>
    <w:rsid w:val="006B0744"/>
    <w:rsid w:val="006B09CF"/>
    <w:rsid w:val="006B1843"/>
    <w:rsid w:val="006B220F"/>
    <w:rsid w:val="006B37E2"/>
    <w:rsid w:val="006B43C7"/>
    <w:rsid w:val="006B5708"/>
    <w:rsid w:val="006B7BEF"/>
    <w:rsid w:val="006C02BD"/>
    <w:rsid w:val="006C0CDD"/>
    <w:rsid w:val="006C281F"/>
    <w:rsid w:val="006C2A01"/>
    <w:rsid w:val="006C4CC0"/>
    <w:rsid w:val="006C6D32"/>
    <w:rsid w:val="006C78AA"/>
    <w:rsid w:val="006D5B3E"/>
    <w:rsid w:val="006D656F"/>
    <w:rsid w:val="006E034A"/>
    <w:rsid w:val="006E22C9"/>
    <w:rsid w:val="006E3FA5"/>
    <w:rsid w:val="006E45E7"/>
    <w:rsid w:val="006F04D4"/>
    <w:rsid w:val="006F27E3"/>
    <w:rsid w:val="006F4AB2"/>
    <w:rsid w:val="006F5775"/>
    <w:rsid w:val="006F625B"/>
    <w:rsid w:val="006F6C1C"/>
    <w:rsid w:val="00700761"/>
    <w:rsid w:val="0070173E"/>
    <w:rsid w:val="00703C2F"/>
    <w:rsid w:val="00705F49"/>
    <w:rsid w:val="007063BA"/>
    <w:rsid w:val="00707CB0"/>
    <w:rsid w:val="00707D24"/>
    <w:rsid w:val="00713AE1"/>
    <w:rsid w:val="00715590"/>
    <w:rsid w:val="00716873"/>
    <w:rsid w:val="00716F5C"/>
    <w:rsid w:val="00717480"/>
    <w:rsid w:val="007223B4"/>
    <w:rsid w:val="00722705"/>
    <w:rsid w:val="007235F3"/>
    <w:rsid w:val="0072417F"/>
    <w:rsid w:val="007249DF"/>
    <w:rsid w:val="0072650F"/>
    <w:rsid w:val="0072725D"/>
    <w:rsid w:val="0073088C"/>
    <w:rsid w:val="00730C3C"/>
    <w:rsid w:val="00730E84"/>
    <w:rsid w:val="007310BD"/>
    <w:rsid w:val="007313A5"/>
    <w:rsid w:val="0073280B"/>
    <w:rsid w:val="00732FEA"/>
    <w:rsid w:val="0073671D"/>
    <w:rsid w:val="007367A5"/>
    <w:rsid w:val="007369E4"/>
    <w:rsid w:val="00737F3E"/>
    <w:rsid w:val="00750B3F"/>
    <w:rsid w:val="00750B5B"/>
    <w:rsid w:val="0075178D"/>
    <w:rsid w:val="007522A6"/>
    <w:rsid w:val="00753D12"/>
    <w:rsid w:val="007548A6"/>
    <w:rsid w:val="00754A1A"/>
    <w:rsid w:val="00755558"/>
    <w:rsid w:val="00756C4D"/>
    <w:rsid w:val="00756D6D"/>
    <w:rsid w:val="0075733E"/>
    <w:rsid w:val="0076238C"/>
    <w:rsid w:val="007636D1"/>
    <w:rsid w:val="00763B63"/>
    <w:rsid w:val="00763E6A"/>
    <w:rsid w:val="00767438"/>
    <w:rsid w:val="00770135"/>
    <w:rsid w:val="00770148"/>
    <w:rsid w:val="0077163A"/>
    <w:rsid w:val="00772525"/>
    <w:rsid w:val="007733C7"/>
    <w:rsid w:val="00773A82"/>
    <w:rsid w:val="00773A87"/>
    <w:rsid w:val="0077419A"/>
    <w:rsid w:val="007752AC"/>
    <w:rsid w:val="00776352"/>
    <w:rsid w:val="007768CF"/>
    <w:rsid w:val="007811A2"/>
    <w:rsid w:val="007831DD"/>
    <w:rsid w:val="00783DD5"/>
    <w:rsid w:val="007846ED"/>
    <w:rsid w:val="007847F2"/>
    <w:rsid w:val="00785380"/>
    <w:rsid w:val="00785752"/>
    <w:rsid w:val="00787725"/>
    <w:rsid w:val="00787AE7"/>
    <w:rsid w:val="0079024D"/>
    <w:rsid w:val="00790AD9"/>
    <w:rsid w:val="007935D7"/>
    <w:rsid w:val="00795A35"/>
    <w:rsid w:val="00796A90"/>
    <w:rsid w:val="007A13FD"/>
    <w:rsid w:val="007A59C8"/>
    <w:rsid w:val="007A67CD"/>
    <w:rsid w:val="007A712E"/>
    <w:rsid w:val="007B036C"/>
    <w:rsid w:val="007B04F5"/>
    <w:rsid w:val="007B1F71"/>
    <w:rsid w:val="007B28E2"/>
    <w:rsid w:val="007B38CD"/>
    <w:rsid w:val="007B42D6"/>
    <w:rsid w:val="007B4AAB"/>
    <w:rsid w:val="007B74DF"/>
    <w:rsid w:val="007C246B"/>
    <w:rsid w:val="007C3B3C"/>
    <w:rsid w:val="007C3CC8"/>
    <w:rsid w:val="007C4672"/>
    <w:rsid w:val="007C54E2"/>
    <w:rsid w:val="007C685B"/>
    <w:rsid w:val="007D074E"/>
    <w:rsid w:val="007D0C7C"/>
    <w:rsid w:val="007D1119"/>
    <w:rsid w:val="007D2BE7"/>
    <w:rsid w:val="007D3905"/>
    <w:rsid w:val="007D3DD9"/>
    <w:rsid w:val="007D46C7"/>
    <w:rsid w:val="007D495A"/>
    <w:rsid w:val="007D50E8"/>
    <w:rsid w:val="007D6FD0"/>
    <w:rsid w:val="007D71D0"/>
    <w:rsid w:val="007E0397"/>
    <w:rsid w:val="007E2471"/>
    <w:rsid w:val="007E2590"/>
    <w:rsid w:val="007E2BA5"/>
    <w:rsid w:val="007E4646"/>
    <w:rsid w:val="007E47A1"/>
    <w:rsid w:val="007E55A1"/>
    <w:rsid w:val="007E6AF5"/>
    <w:rsid w:val="007E6E8D"/>
    <w:rsid w:val="007F17CE"/>
    <w:rsid w:val="007F1FC2"/>
    <w:rsid w:val="007F3D50"/>
    <w:rsid w:val="007F43B3"/>
    <w:rsid w:val="007F43EB"/>
    <w:rsid w:val="007F47B0"/>
    <w:rsid w:val="007F4D66"/>
    <w:rsid w:val="007F583B"/>
    <w:rsid w:val="007F5D82"/>
    <w:rsid w:val="007F6020"/>
    <w:rsid w:val="007F737C"/>
    <w:rsid w:val="007F7847"/>
    <w:rsid w:val="007F7A33"/>
    <w:rsid w:val="00801305"/>
    <w:rsid w:val="00802323"/>
    <w:rsid w:val="00804271"/>
    <w:rsid w:val="00804B94"/>
    <w:rsid w:val="00805E37"/>
    <w:rsid w:val="00805F17"/>
    <w:rsid w:val="0080605A"/>
    <w:rsid w:val="00806E53"/>
    <w:rsid w:val="00807B11"/>
    <w:rsid w:val="008110B8"/>
    <w:rsid w:val="0081392A"/>
    <w:rsid w:val="00814245"/>
    <w:rsid w:val="008145B4"/>
    <w:rsid w:val="008151FA"/>
    <w:rsid w:val="00817E94"/>
    <w:rsid w:val="00820ACC"/>
    <w:rsid w:val="008217DC"/>
    <w:rsid w:val="00821C58"/>
    <w:rsid w:val="008227D0"/>
    <w:rsid w:val="0082325A"/>
    <w:rsid w:val="00823626"/>
    <w:rsid w:val="0082455E"/>
    <w:rsid w:val="0082760D"/>
    <w:rsid w:val="00832C19"/>
    <w:rsid w:val="00835094"/>
    <w:rsid w:val="008359B2"/>
    <w:rsid w:val="00840AF6"/>
    <w:rsid w:val="008428A9"/>
    <w:rsid w:val="00842936"/>
    <w:rsid w:val="00852BB5"/>
    <w:rsid w:val="0085383B"/>
    <w:rsid w:val="00853FF1"/>
    <w:rsid w:val="00855ACD"/>
    <w:rsid w:val="00863638"/>
    <w:rsid w:val="00865485"/>
    <w:rsid w:val="00865BF1"/>
    <w:rsid w:val="008661C3"/>
    <w:rsid w:val="008662D4"/>
    <w:rsid w:val="008676A1"/>
    <w:rsid w:val="00871977"/>
    <w:rsid w:val="00872B44"/>
    <w:rsid w:val="00874E56"/>
    <w:rsid w:val="00875251"/>
    <w:rsid w:val="00875CF6"/>
    <w:rsid w:val="00876178"/>
    <w:rsid w:val="00880784"/>
    <w:rsid w:val="00880B2D"/>
    <w:rsid w:val="00880C31"/>
    <w:rsid w:val="008816FE"/>
    <w:rsid w:val="00881863"/>
    <w:rsid w:val="00882175"/>
    <w:rsid w:val="008825BD"/>
    <w:rsid w:val="00883AB0"/>
    <w:rsid w:val="0089047B"/>
    <w:rsid w:val="00890C9D"/>
    <w:rsid w:val="00890E7E"/>
    <w:rsid w:val="00892564"/>
    <w:rsid w:val="00894108"/>
    <w:rsid w:val="008A5A3C"/>
    <w:rsid w:val="008A646F"/>
    <w:rsid w:val="008A7A53"/>
    <w:rsid w:val="008A7CD0"/>
    <w:rsid w:val="008B0D11"/>
    <w:rsid w:val="008B12AA"/>
    <w:rsid w:val="008B1DFA"/>
    <w:rsid w:val="008B1EEE"/>
    <w:rsid w:val="008B2790"/>
    <w:rsid w:val="008B33B4"/>
    <w:rsid w:val="008B3BD1"/>
    <w:rsid w:val="008B5868"/>
    <w:rsid w:val="008B6C87"/>
    <w:rsid w:val="008B7AEF"/>
    <w:rsid w:val="008C2236"/>
    <w:rsid w:val="008C2449"/>
    <w:rsid w:val="008C38C3"/>
    <w:rsid w:val="008C5273"/>
    <w:rsid w:val="008C63AC"/>
    <w:rsid w:val="008D0518"/>
    <w:rsid w:val="008D05B0"/>
    <w:rsid w:val="008D087B"/>
    <w:rsid w:val="008D11D7"/>
    <w:rsid w:val="008D2A62"/>
    <w:rsid w:val="008D6741"/>
    <w:rsid w:val="008D6F0F"/>
    <w:rsid w:val="008E2370"/>
    <w:rsid w:val="008E62DE"/>
    <w:rsid w:val="008E7B2E"/>
    <w:rsid w:val="008F2171"/>
    <w:rsid w:val="008F45B8"/>
    <w:rsid w:val="00900D9C"/>
    <w:rsid w:val="00902DA5"/>
    <w:rsid w:val="0090508C"/>
    <w:rsid w:val="009060DD"/>
    <w:rsid w:val="009118C7"/>
    <w:rsid w:val="009118D9"/>
    <w:rsid w:val="009135C5"/>
    <w:rsid w:val="0091614C"/>
    <w:rsid w:val="00916814"/>
    <w:rsid w:val="00920361"/>
    <w:rsid w:val="0092170D"/>
    <w:rsid w:val="0092296E"/>
    <w:rsid w:val="00922AFB"/>
    <w:rsid w:val="00923847"/>
    <w:rsid w:val="0092428C"/>
    <w:rsid w:val="00924E89"/>
    <w:rsid w:val="0092612C"/>
    <w:rsid w:val="009325CE"/>
    <w:rsid w:val="009336BE"/>
    <w:rsid w:val="00933870"/>
    <w:rsid w:val="00934566"/>
    <w:rsid w:val="00934A7F"/>
    <w:rsid w:val="009354B5"/>
    <w:rsid w:val="0093593C"/>
    <w:rsid w:val="00935CB5"/>
    <w:rsid w:val="009375BE"/>
    <w:rsid w:val="00937851"/>
    <w:rsid w:val="00941C9A"/>
    <w:rsid w:val="00943E70"/>
    <w:rsid w:val="009477AD"/>
    <w:rsid w:val="00947C28"/>
    <w:rsid w:val="00947E10"/>
    <w:rsid w:val="00950A36"/>
    <w:rsid w:val="0095437B"/>
    <w:rsid w:val="00954758"/>
    <w:rsid w:val="00954DB6"/>
    <w:rsid w:val="009554F4"/>
    <w:rsid w:val="00955CF9"/>
    <w:rsid w:val="00957068"/>
    <w:rsid w:val="00957517"/>
    <w:rsid w:val="00961869"/>
    <w:rsid w:val="00961FBF"/>
    <w:rsid w:val="009623E1"/>
    <w:rsid w:val="00962B4B"/>
    <w:rsid w:val="00963E21"/>
    <w:rsid w:val="00966D97"/>
    <w:rsid w:val="00966F7A"/>
    <w:rsid w:val="009713B8"/>
    <w:rsid w:val="00971613"/>
    <w:rsid w:val="009727F1"/>
    <w:rsid w:val="00974635"/>
    <w:rsid w:val="0097488D"/>
    <w:rsid w:val="00975A94"/>
    <w:rsid w:val="0097783A"/>
    <w:rsid w:val="00977CBF"/>
    <w:rsid w:val="00977CF9"/>
    <w:rsid w:val="009808D4"/>
    <w:rsid w:val="00980925"/>
    <w:rsid w:val="009814E4"/>
    <w:rsid w:val="00981C35"/>
    <w:rsid w:val="00982AC9"/>
    <w:rsid w:val="009847C5"/>
    <w:rsid w:val="0098604A"/>
    <w:rsid w:val="00986C58"/>
    <w:rsid w:val="00987009"/>
    <w:rsid w:val="009871EA"/>
    <w:rsid w:val="00990F43"/>
    <w:rsid w:val="00991796"/>
    <w:rsid w:val="00993AA2"/>
    <w:rsid w:val="00994615"/>
    <w:rsid w:val="00995444"/>
    <w:rsid w:val="0099549A"/>
    <w:rsid w:val="0099565B"/>
    <w:rsid w:val="009959E1"/>
    <w:rsid w:val="00995C0E"/>
    <w:rsid w:val="009960EE"/>
    <w:rsid w:val="009977E2"/>
    <w:rsid w:val="009A35CC"/>
    <w:rsid w:val="009A40D1"/>
    <w:rsid w:val="009A5490"/>
    <w:rsid w:val="009A55A2"/>
    <w:rsid w:val="009A64E5"/>
    <w:rsid w:val="009A744F"/>
    <w:rsid w:val="009B0E68"/>
    <w:rsid w:val="009B1399"/>
    <w:rsid w:val="009B177B"/>
    <w:rsid w:val="009B3497"/>
    <w:rsid w:val="009B3E00"/>
    <w:rsid w:val="009B619F"/>
    <w:rsid w:val="009B7A61"/>
    <w:rsid w:val="009C02ED"/>
    <w:rsid w:val="009C4806"/>
    <w:rsid w:val="009C633C"/>
    <w:rsid w:val="009C6AFF"/>
    <w:rsid w:val="009C7549"/>
    <w:rsid w:val="009D06C5"/>
    <w:rsid w:val="009D1EA8"/>
    <w:rsid w:val="009D4994"/>
    <w:rsid w:val="009D534C"/>
    <w:rsid w:val="009D66EE"/>
    <w:rsid w:val="009D6FCF"/>
    <w:rsid w:val="009D728C"/>
    <w:rsid w:val="009D748B"/>
    <w:rsid w:val="009E0D07"/>
    <w:rsid w:val="009E1A2E"/>
    <w:rsid w:val="009E3888"/>
    <w:rsid w:val="009E3A32"/>
    <w:rsid w:val="009E3C5E"/>
    <w:rsid w:val="009E5B14"/>
    <w:rsid w:val="009E5FAB"/>
    <w:rsid w:val="009E626D"/>
    <w:rsid w:val="009F0FB5"/>
    <w:rsid w:val="009F1519"/>
    <w:rsid w:val="009F3AB0"/>
    <w:rsid w:val="009F5A95"/>
    <w:rsid w:val="009F6FB7"/>
    <w:rsid w:val="009F7D05"/>
    <w:rsid w:val="00A005E6"/>
    <w:rsid w:val="00A00A82"/>
    <w:rsid w:val="00A029CA"/>
    <w:rsid w:val="00A03A21"/>
    <w:rsid w:val="00A07B36"/>
    <w:rsid w:val="00A10A86"/>
    <w:rsid w:val="00A1206B"/>
    <w:rsid w:val="00A12892"/>
    <w:rsid w:val="00A138DA"/>
    <w:rsid w:val="00A22A00"/>
    <w:rsid w:val="00A26C51"/>
    <w:rsid w:val="00A31553"/>
    <w:rsid w:val="00A31F0F"/>
    <w:rsid w:val="00A41F06"/>
    <w:rsid w:val="00A41F64"/>
    <w:rsid w:val="00A41F6D"/>
    <w:rsid w:val="00A42E7C"/>
    <w:rsid w:val="00A45C9E"/>
    <w:rsid w:val="00A46B2A"/>
    <w:rsid w:val="00A51BF1"/>
    <w:rsid w:val="00A53B84"/>
    <w:rsid w:val="00A60F96"/>
    <w:rsid w:val="00A6462E"/>
    <w:rsid w:val="00A6631D"/>
    <w:rsid w:val="00A67042"/>
    <w:rsid w:val="00A73A85"/>
    <w:rsid w:val="00A85830"/>
    <w:rsid w:val="00A865FF"/>
    <w:rsid w:val="00A870F9"/>
    <w:rsid w:val="00A9014A"/>
    <w:rsid w:val="00A90A7A"/>
    <w:rsid w:val="00A94A0A"/>
    <w:rsid w:val="00A94D51"/>
    <w:rsid w:val="00A95266"/>
    <w:rsid w:val="00A955CC"/>
    <w:rsid w:val="00A9650D"/>
    <w:rsid w:val="00A977FE"/>
    <w:rsid w:val="00A97C48"/>
    <w:rsid w:val="00AA12EF"/>
    <w:rsid w:val="00AA15FD"/>
    <w:rsid w:val="00AA1624"/>
    <w:rsid w:val="00AA1D06"/>
    <w:rsid w:val="00AA214D"/>
    <w:rsid w:val="00AA24B9"/>
    <w:rsid w:val="00AA3ABE"/>
    <w:rsid w:val="00AA437C"/>
    <w:rsid w:val="00AA5CC3"/>
    <w:rsid w:val="00AA672E"/>
    <w:rsid w:val="00AA67E2"/>
    <w:rsid w:val="00AA7D77"/>
    <w:rsid w:val="00AB23E8"/>
    <w:rsid w:val="00AB4E72"/>
    <w:rsid w:val="00AB78F0"/>
    <w:rsid w:val="00AC0F0A"/>
    <w:rsid w:val="00AC10C7"/>
    <w:rsid w:val="00AC11AB"/>
    <w:rsid w:val="00AC428B"/>
    <w:rsid w:val="00AC493A"/>
    <w:rsid w:val="00AC6164"/>
    <w:rsid w:val="00AC7594"/>
    <w:rsid w:val="00AC7652"/>
    <w:rsid w:val="00AD3D2D"/>
    <w:rsid w:val="00AD438C"/>
    <w:rsid w:val="00AD61B0"/>
    <w:rsid w:val="00AD61C7"/>
    <w:rsid w:val="00AD7A8E"/>
    <w:rsid w:val="00AE2186"/>
    <w:rsid w:val="00AE254D"/>
    <w:rsid w:val="00AE2DE8"/>
    <w:rsid w:val="00AE5A98"/>
    <w:rsid w:val="00AE7BC1"/>
    <w:rsid w:val="00AF10AE"/>
    <w:rsid w:val="00AF4574"/>
    <w:rsid w:val="00AF61D4"/>
    <w:rsid w:val="00AF6D30"/>
    <w:rsid w:val="00AF7568"/>
    <w:rsid w:val="00AF7E07"/>
    <w:rsid w:val="00B003AE"/>
    <w:rsid w:val="00B01396"/>
    <w:rsid w:val="00B01C71"/>
    <w:rsid w:val="00B04D9D"/>
    <w:rsid w:val="00B05F2E"/>
    <w:rsid w:val="00B06618"/>
    <w:rsid w:val="00B0739D"/>
    <w:rsid w:val="00B1189B"/>
    <w:rsid w:val="00B129E4"/>
    <w:rsid w:val="00B12ECC"/>
    <w:rsid w:val="00B13621"/>
    <w:rsid w:val="00B13985"/>
    <w:rsid w:val="00B15469"/>
    <w:rsid w:val="00B167AC"/>
    <w:rsid w:val="00B17296"/>
    <w:rsid w:val="00B20D67"/>
    <w:rsid w:val="00B2418B"/>
    <w:rsid w:val="00B244E7"/>
    <w:rsid w:val="00B24715"/>
    <w:rsid w:val="00B26458"/>
    <w:rsid w:val="00B26973"/>
    <w:rsid w:val="00B26A1C"/>
    <w:rsid w:val="00B26B15"/>
    <w:rsid w:val="00B30BEF"/>
    <w:rsid w:val="00B326BB"/>
    <w:rsid w:val="00B332C8"/>
    <w:rsid w:val="00B3450F"/>
    <w:rsid w:val="00B35164"/>
    <w:rsid w:val="00B35842"/>
    <w:rsid w:val="00B369FF"/>
    <w:rsid w:val="00B36DA1"/>
    <w:rsid w:val="00B37068"/>
    <w:rsid w:val="00B40599"/>
    <w:rsid w:val="00B43A79"/>
    <w:rsid w:val="00B4444A"/>
    <w:rsid w:val="00B44E2F"/>
    <w:rsid w:val="00B45037"/>
    <w:rsid w:val="00B4648E"/>
    <w:rsid w:val="00B47F8A"/>
    <w:rsid w:val="00B5100D"/>
    <w:rsid w:val="00B51212"/>
    <w:rsid w:val="00B52802"/>
    <w:rsid w:val="00B53154"/>
    <w:rsid w:val="00B54CE6"/>
    <w:rsid w:val="00B553BB"/>
    <w:rsid w:val="00B55A2B"/>
    <w:rsid w:val="00B575E2"/>
    <w:rsid w:val="00B57C66"/>
    <w:rsid w:val="00B60B83"/>
    <w:rsid w:val="00B654F1"/>
    <w:rsid w:val="00B65D00"/>
    <w:rsid w:val="00B65DD9"/>
    <w:rsid w:val="00B65FEC"/>
    <w:rsid w:val="00B66355"/>
    <w:rsid w:val="00B67D84"/>
    <w:rsid w:val="00B7073C"/>
    <w:rsid w:val="00B7228D"/>
    <w:rsid w:val="00B72545"/>
    <w:rsid w:val="00B74494"/>
    <w:rsid w:val="00B75875"/>
    <w:rsid w:val="00B7794E"/>
    <w:rsid w:val="00B81D28"/>
    <w:rsid w:val="00B83D81"/>
    <w:rsid w:val="00B83DDB"/>
    <w:rsid w:val="00B8514F"/>
    <w:rsid w:val="00B85517"/>
    <w:rsid w:val="00B858A1"/>
    <w:rsid w:val="00B90230"/>
    <w:rsid w:val="00B90987"/>
    <w:rsid w:val="00B912E3"/>
    <w:rsid w:val="00B91AE0"/>
    <w:rsid w:val="00B93F5C"/>
    <w:rsid w:val="00B94891"/>
    <w:rsid w:val="00B9506B"/>
    <w:rsid w:val="00B950FE"/>
    <w:rsid w:val="00B95948"/>
    <w:rsid w:val="00BA09D2"/>
    <w:rsid w:val="00BA1E75"/>
    <w:rsid w:val="00BA4EE0"/>
    <w:rsid w:val="00BA4FC8"/>
    <w:rsid w:val="00BA6C2D"/>
    <w:rsid w:val="00BA764F"/>
    <w:rsid w:val="00BB0A8D"/>
    <w:rsid w:val="00BB174A"/>
    <w:rsid w:val="00BB1CC7"/>
    <w:rsid w:val="00BB2827"/>
    <w:rsid w:val="00BB335F"/>
    <w:rsid w:val="00BB65AC"/>
    <w:rsid w:val="00BB7836"/>
    <w:rsid w:val="00BC0578"/>
    <w:rsid w:val="00BC13CE"/>
    <w:rsid w:val="00BC1B47"/>
    <w:rsid w:val="00BC2959"/>
    <w:rsid w:val="00BC2AEF"/>
    <w:rsid w:val="00BC4ED9"/>
    <w:rsid w:val="00BC554E"/>
    <w:rsid w:val="00BD1AFE"/>
    <w:rsid w:val="00BD2909"/>
    <w:rsid w:val="00BD2B6E"/>
    <w:rsid w:val="00BD2B7D"/>
    <w:rsid w:val="00BD3194"/>
    <w:rsid w:val="00BD4BCC"/>
    <w:rsid w:val="00BD4F11"/>
    <w:rsid w:val="00BD5B5D"/>
    <w:rsid w:val="00BE1FC4"/>
    <w:rsid w:val="00BE5B61"/>
    <w:rsid w:val="00BE5F0F"/>
    <w:rsid w:val="00BF0C6E"/>
    <w:rsid w:val="00BF13C2"/>
    <w:rsid w:val="00BF2653"/>
    <w:rsid w:val="00BF63FA"/>
    <w:rsid w:val="00BF7401"/>
    <w:rsid w:val="00C00159"/>
    <w:rsid w:val="00C02BBF"/>
    <w:rsid w:val="00C036EA"/>
    <w:rsid w:val="00C03DB9"/>
    <w:rsid w:val="00C03EEE"/>
    <w:rsid w:val="00C04A97"/>
    <w:rsid w:val="00C10632"/>
    <w:rsid w:val="00C107D7"/>
    <w:rsid w:val="00C11B6F"/>
    <w:rsid w:val="00C14C0B"/>
    <w:rsid w:val="00C1760C"/>
    <w:rsid w:val="00C17A49"/>
    <w:rsid w:val="00C22167"/>
    <w:rsid w:val="00C22B75"/>
    <w:rsid w:val="00C22FC8"/>
    <w:rsid w:val="00C2348C"/>
    <w:rsid w:val="00C240F0"/>
    <w:rsid w:val="00C2429D"/>
    <w:rsid w:val="00C24974"/>
    <w:rsid w:val="00C24FB7"/>
    <w:rsid w:val="00C2526D"/>
    <w:rsid w:val="00C2660C"/>
    <w:rsid w:val="00C267A2"/>
    <w:rsid w:val="00C3394E"/>
    <w:rsid w:val="00C344C5"/>
    <w:rsid w:val="00C350E4"/>
    <w:rsid w:val="00C453D0"/>
    <w:rsid w:val="00C47668"/>
    <w:rsid w:val="00C51187"/>
    <w:rsid w:val="00C52F56"/>
    <w:rsid w:val="00C53FC2"/>
    <w:rsid w:val="00C54D1A"/>
    <w:rsid w:val="00C57102"/>
    <w:rsid w:val="00C57CA9"/>
    <w:rsid w:val="00C60C85"/>
    <w:rsid w:val="00C62CD8"/>
    <w:rsid w:val="00C67537"/>
    <w:rsid w:val="00C7301D"/>
    <w:rsid w:val="00C740D2"/>
    <w:rsid w:val="00C763F9"/>
    <w:rsid w:val="00C7644A"/>
    <w:rsid w:val="00C811C3"/>
    <w:rsid w:val="00C848A9"/>
    <w:rsid w:val="00C84D85"/>
    <w:rsid w:val="00C85B10"/>
    <w:rsid w:val="00C85C14"/>
    <w:rsid w:val="00C861C6"/>
    <w:rsid w:val="00C8732B"/>
    <w:rsid w:val="00C875B9"/>
    <w:rsid w:val="00C87B46"/>
    <w:rsid w:val="00C90730"/>
    <w:rsid w:val="00C9078D"/>
    <w:rsid w:val="00C91479"/>
    <w:rsid w:val="00C91B43"/>
    <w:rsid w:val="00C9354F"/>
    <w:rsid w:val="00C94CCE"/>
    <w:rsid w:val="00C956CD"/>
    <w:rsid w:val="00C9578C"/>
    <w:rsid w:val="00C959FE"/>
    <w:rsid w:val="00C96F10"/>
    <w:rsid w:val="00C97DAE"/>
    <w:rsid w:val="00CA0FB3"/>
    <w:rsid w:val="00CA16C2"/>
    <w:rsid w:val="00CA2C4C"/>
    <w:rsid w:val="00CA3F75"/>
    <w:rsid w:val="00CA53C3"/>
    <w:rsid w:val="00CA6212"/>
    <w:rsid w:val="00CA70BB"/>
    <w:rsid w:val="00CB3AF6"/>
    <w:rsid w:val="00CB3C13"/>
    <w:rsid w:val="00CB5C01"/>
    <w:rsid w:val="00CB6D11"/>
    <w:rsid w:val="00CB7514"/>
    <w:rsid w:val="00CC0FEF"/>
    <w:rsid w:val="00CC1C5E"/>
    <w:rsid w:val="00CC6030"/>
    <w:rsid w:val="00CC61DC"/>
    <w:rsid w:val="00CC6F07"/>
    <w:rsid w:val="00CC6FD2"/>
    <w:rsid w:val="00CE0E14"/>
    <w:rsid w:val="00CE355B"/>
    <w:rsid w:val="00CE3FD1"/>
    <w:rsid w:val="00CE5499"/>
    <w:rsid w:val="00CE61F0"/>
    <w:rsid w:val="00CE620E"/>
    <w:rsid w:val="00CE70EF"/>
    <w:rsid w:val="00CE72A9"/>
    <w:rsid w:val="00CE7328"/>
    <w:rsid w:val="00CF01E1"/>
    <w:rsid w:val="00CF1ED5"/>
    <w:rsid w:val="00CF2215"/>
    <w:rsid w:val="00CF2C57"/>
    <w:rsid w:val="00CF79D1"/>
    <w:rsid w:val="00D01930"/>
    <w:rsid w:val="00D03452"/>
    <w:rsid w:val="00D12A0E"/>
    <w:rsid w:val="00D13341"/>
    <w:rsid w:val="00D1364D"/>
    <w:rsid w:val="00D13A82"/>
    <w:rsid w:val="00D13CCA"/>
    <w:rsid w:val="00D13DB7"/>
    <w:rsid w:val="00D158F2"/>
    <w:rsid w:val="00D17C16"/>
    <w:rsid w:val="00D23298"/>
    <w:rsid w:val="00D32BFD"/>
    <w:rsid w:val="00D334DF"/>
    <w:rsid w:val="00D33C3B"/>
    <w:rsid w:val="00D34FF6"/>
    <w:rsid w:val="00D35455"/>
    <w:rsid w:val="00D364A2"/>
    <w:rsid w:val="00D405EB"/>
    <w:rsid w:val="00D41A57"/>
    <w:rsid w:val="00D41DEA"/>
    <w:rsid w:val="00D43189"/>
    <w:rsid w:val="00D43FA8"/>
    <w:rsid w:val="00D45290"/>
    <w:rsid w:val="00D45AAE"/>
    <w:rsid w:val="00D45B52"/>
    <w:rsid w:val="00D51EF6"/>
    <w:rsid w:val="00D5203A"/>
    <w:rsid w:val="00D53E47"/>
    <w:rsid w:val="00D55397"/>
    <w:rsid w:val="00D574A8"/>
    <w:rsid w:val="00D65DD8"/>
    <w:rsid w:val="00D66889"/>
    <w:rsid w:val="00D67996"/>
    <w:rsid w:val="00D71A68"/>
    <w:rsid w:val="00D7471D"/>
    <w:rsid w:val="00D74C6F"/>
    <w:rsid w:val="00D802E9"/>
    <w:rsid w:val="00D8321E"/>
    <w:rsid w:val="00D844BB"/>
    <w:rsid w:val="00D907E9"/>
    <w:rsid w:val="00D90F76"/>
    <w:rsid w:val="00D9320B"/>
    <w:rsid w:val="00D93DB3"/>
    <w:rsid w:val="00D9557D"/>
    <w:rsid w:val="00D9570D"/>
    <w:rsid w:val="00D9772A"/>
    <w:rsid w:val="00DA0F7F"/>
    <w:rsid w:val="00DA2AE5"/>
    <w:rsid w:val="00DA2E11"/>
    <w:rsid w:val="00DA33E6"/>
    <w:rsid w:val="00DA3B43"/>
    <w:rsid w:val="00DA40E5"/>
    <w:rsid w:val="00DA7264"/>
    <w:rsid w:val="00DB0513"/>
    <w:rsid w:val="00DB10AD"/>
    <w:rsid w:val="00DB171F"/>
    <w:rsid w:val="00DB5AEE"/>
    <w:rsid w:val="00DB6C0A"/>
    <w:rsid w:val="00DB71AC"/>
    <w:rsid w:val="00DB7754"/>
    <w:rsid w:val="00DC00D1"/>
    <w:rsid w:val="00DC0D9E"/>
    <w:rsid w:val="00DC2E53"/>
    <w:rsid w:val="00DC356D"/>
    <w:rsid w:val="00DC534E"/>
    <w:rsid w:val="00DC62A5"/>
    <w:rsid w:val="00DC6870"/>
    <w:rsid w:val="00DD02A4"/>
    <w:rsid w:val="00DD02E9"/>
    <w:rsid w:val="00DD55CC"/>
    <w:rsid w:val="00DD5CEC"/>
    <w:rsid w:val="00DD64DA"/>
    <w:rsid w:val="00DD73FF"/>
    <w:rsid w:val="00DE0C04"/>
    <w:rsid w:val="00DE1A02"/>
    <w:rsid w:val="00DE262D"/>
    <w:rsid w:val="00DE3EDB"/>
    <w:rsid w:val="00DE7351"/>
    <w:rsid w:val="00DF06A0"/>
    <w:rsid w:val="00DF0BD8"/>
    <w:rsid w:val="00DF0C13"/>
    <w:rsid w:val="00DF4A0B"/>
    <w:rsid w:val="00DF4C86"/>
    <w:rsid w:val="00E007C8"/>
    <w:rsid w:val="00E0135A"/>
    <w:rsid w:val="00E01CFA"/>
    <w:rsid w:val="00E02280"/>
    <w:rsid w:val="00E03E4F"/>
    <w:rsid w:val="00E05747"/>
    <w:rsid w:val="00E05921"/>
    <w:rsid w:val="00E05C6C"/>
    <w:rsid w:val="00E06D4C"/>
    <w:rsid w:val="00E124D6"/>
    <w:rsid w:val="00E14C90"/>
    <w:rsid w:val="00E157E1"/>
    <w:rsid w:val="00E2182C"/>
    <w:rsid w:val="00E22594"/>
    <w:rsid w:val="00E225FD"/>
    <w:rsid w:val="00E232EF"/>
    <w:rsid w:val="00E23942"/>
    <w:rsid w:val="00E259C0"/>
    <w:rsid w:val="00E26419"/>
    <w:rsid w:val="00E325CF"/>
    <w:rsid w:val="00E355FB"/>
    <w:rsid w:val="00E40573"/>
    <w:rsid w:val="00E40B0D"/>
    <w:rsid w:val="00E425F5"/>
    <w:rsid w:val="00E4649F"/>
    <w:rsid w:val="00E47EC0"/>
    <w:rsid w:val="00E47ED3"/>
    <w:rsid w:val="00E531F9"/>
    <w:rsid w:val="00E55430"/>
    <w:rsid w:val="00E559D5"/>
    <w:rsid w:val="00E55F48"/>
    <w:rsid w:val="00E56F79"/>
    <w:rsid w:val="00E60447"/>
    <w:rsid w:val="00E60B40"/>
    <w:rsid w:val="00E64428"/>
    <w:rsid w:val="00E65B8E"/>
    <w:rsid w:val="00E65C6C"/>
    <w:rsid w:val="00E7004D"/>
    <w:rsid w:val="00E71420"/>
    <w:rsid w:val="00E72266"/>
    <w:rsid w:val="00E72AE2"/>
    <w:rsid w:val="00E72DEF"/>
    <w:rsid w:val="00E7315C"/>
    <w:rsid w:val="00E73231"/>
    <w:rsid w:val="00E74E97"/>
    <w:rsid w:val="00E75B8C"/>
    <w:rsid w:val="00E81962"/>
    <w:rsid w:val="00E846CF"/>
    <w:rsid w:val="00E84831"/>
    <w:rsid w:val="00E85A90"/>
    <w:rsid w:val="00E8758D"/>
    <w:rsid w:val="00E90CDC"/>
    <w:rsid w:val="00E94173"/>
    <w:rsid w:val="00E948A6"/>
    <w:rsid w:val="00E94C8D"/>
    <w:rsid w:val="00E94DA0"/>
    <w:rsid w:val="00E96471"/>
    <w:rsid w:val="00EA0340"/>
    <w:rsid w:val="00EA0BA4"/>
    <w:rsid w:val="00EA2EDB"/>
    <w:rsid w:val="00EA4D0C"/>
    <w:rsid w:val="00EA4DAB"/>
    <w:rsid w:val="00EA53E8"/>
    <w:rsid w:val="00EA5CC3"/>
    <w:rsid w:val="00EA5E56"/>
    <w:rsid w:val="00EA71B4"/>
    <w:rsid w:val="00EB0030"/>
    <w:rsid w:val="00EB05CF"/>
    <w:rsid w:val="00EB1DE5"/>
    <w:rsid w:val="00EB6DEB"/>
    <w:rsid w:val="00EC12A7"/>
    <w:rsid w:val="00EC468C"/>
    <w:rsid w:val="00EC68A8"/>
    <w:rsid w:val="00EC6C5B"/>
    <w:rsid w:val="00EC77E0"/>
    <w:rsid w:val="00ED1773"/>
    <w:rsid w:val="00ED1BD2"/>
    <w:rsid w:val="00ED3A67"/>
    <w:rsid w:val="00ED5203"/>
    <w:rsid w:val="00ED678B"/>
    <w:rsid w:val="00ED7ADE"/>
    <w:rsid w:val="00EE05E2"/>
    <w:rsid w:val="00EE0EBB"/>
    <w:rsid w:val="00EE2620"/>
    <w:rsid w:val="00EE29A6"/>
    <w:rsid w:val="00EE2CB7"/>
    <w:rsid w:val="00EE31BB"/>
    <w:rsid w:val="00EE538E"/>
    <w:rsid w:val="00EE7DBB"/>
    <w:rsid w:val="00EF2EE0"/>
    <w:rsid w:val="00EF3088"/>
    <w:rsid w:val="00EF3884"/>
    <w:rsid w:val="00EF3D5C"/>
    <w:rsid w:val="00EF55E5"/>
    <w:rsid w:val="00EF6341"/>
    <w:rsid w:val="00F02D39"/>
    <w:rsid w:val="00F0438F"/>
    <w:rsid w:val="00F0560A"/>
    <w:rsid w:val="00F11055"/>
    <w:rsid w:val="00F158D7"/>
    <w:rsid w:val="00F165A8"/>
    <w:rsid w:val="00F17CDA"/>
    <w:rsid w:val="00F17E80"/>
    <w:rsid w:val="00F20EE5"/>
    <w:rsid w:val="00F27A2E"/>
    <w:rsid w:val="00F31733"/>
    <w:rsid w:val="00F32836"/>
    <w:rsid w:val="00F33D96"/>
    <w:rsid w:val="00F34110"/>
    <w:rsid w:val="00F3413D"/>
    <w:rsid w:val="00F34190"/>
    <w:rsid w:val="00F34A56"/>
    <w:rsid w:val="00F377CA"/>
    <w:rsid w:val="00F401D4"/>
    <w:rsid w:val="00F404EE"/>
    <w:rsid w:val="00F405B4"/>
    <w:rsid w:val="00F4359B"/>
    <w:rsid w:val="00F438D7"/>
    <w:rsid w:val="00F44833"/>
    <w:rsid w:val="00F44D4D"/>
    <w:rsid w:val="00F45047"/>
    <w:rsid w:val="00F479AE"/>
    <w:rsid w:val="00F51078"/>
    <w:rsid w:val="00F51E84"/>
    <w:rsid w:val="00F544B0"/>
    <w:rsid w:val="00F56684"/>
    <w:rsid w:val="00F5681E"/>
    <w:rsid w:val="00F56A77"/>
    <w:rsid w:val="00F627AE"/>
    <w:rsid w:val="00F62DC1"/>
    <w:rsid w:val="00F63306"/>
    <w:rsid w:val="00F6496C"/>
    <w:rsid w:val="00F66E17"/>
    <w:rsid w:val="00F67C87"/>
    <w:rsid w:val="00F71805"/>
    <w:rsid w:val="00F73CC1"/>
    <w:rsid w:val="00F74195"/>
    <w:rsid w:val="00F74276"/>
    <w:rsid w:val="00F74A5D"/>
    <w:rsid w:val="00F750FF"/>
    <w:rsid w:val="00F806BC"/>
    <w:rsid w:val="00F81C82"/>
    <w:rsid w:val="00F8220D"/>
    <w:rsid w:val="00F831DA"/>
    <w:rsid w:val="00F84C23"/>
    <w:rsid w:val="00F86216"/>
    <w:rsid w:val="00F86482"/>
    <w:rsid w:val="00F87479"/>
    <w:rsid w:val="00F91482"/>
    <w:rsid w:val="00F92533"/>
    <w:rsid w:val="00F93BE2"/>
    <w:rsid w:val="00F95D67"/>
    <w:rsid w:val="00F97766"/>
    <w:rsid w:val="00F97A5C"/>
    <w:rsid w:val="00FA2B2E"/>
    <w:rsid w:val="00FA6448"/>
    <w:rsid w:val="00FA6686"/>
    <w:rsid w:val="00FA700A"/>
    <w:rsid w:val="00FB03AA"/>
    <w:rsid w:val="00FB2160"/>
    <w:rsid w:val="00FB265C"/>
    <w:rsid w:val="00FB3240"/>
    <w:rsid w:val="00FB4082"/>
    <w:rsid w:val="00FB5030"/>
    <w:rsid w:val="00FB7AEF"/>
    <w:rsid w:val="00FC081F"/>
    <w:rsid w:val="00FC2CBF"/>
    <w:rsid w:val="00FC2CE9"/>
    <w:rsid w:val="00FC3CE5"/>
    <w:rsid w:val="00FD048B"/>
    <w:rsid w:val="00FD2912"/>
    <w:rsid w:val="00FD3D89"/>
    <w:rsid w:val="00FD3DE0"/>
    <w:rsid w:val="00FD595F"/>
    <w:rsid w:val="00FD609B"/>
    <w:rsid w:val="00FD67C0"/>
    <w:rsid w:val="00FD7729"/>
    <w:rsid w:val="00FD7C22"/>
    <w:rsid w:val="00FE0699"/>
    <w:rsid w:val="00FE4736"/>
    <w:rsid w:val="00FE5C58"/>
    <w:rsid w:val="00FE6EDE"/>
    <w:rsid w:val="00FF5B40"/>
    <w:rsid w:val="00FF61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F2E"/>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table" w:styleId="PlainTable1">
    <w:name w:val="Plain Table 1"/>
    <w:basedOn w:val="TableNormal"/>
    <w:uiPriority w:val="41"/>
    <w:rsid w:val="00503A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017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0173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7017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924E89"/>
    <w:pPr>
      <w:spacing w:after="200" w:line="240" w:lineRule="auto"/>
    </w:pPr>
    <w:rPr>
      <w:i/>
      <w:iCs/>
      <w:color w:val="44546A" w:themeColor="text2"/>
      <w:sz w:val="18"/>
      <w:szCs w:val="18"/>
    </w:rPr>
  </w:style>
  <w:style w:type="table" w:styleId="PlainTable4">
    <w:name w:val="Plain Table 4"/>
    <w:basedOn w:val="TableNormal"/>
    <w:uiPriority w:val="44"/>
    <w:rsid w:val="0071559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1E16B9"/>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1E16B9"/>
    <w:pPr>
      <w:spacing w:after="100"/>
    </w:pPr>
  </w:style>
  <w:style w:type="paragraph" w:styleId="TOC2">
    <w:name w:val="toc 2"/>
    <w:basedOn w:val="Normal"/>
    <w:next w:val="Normal"/>
    <w:autoRedefine/>
    <w:uiPriority w:val="39"/>
    <w:unhideWhenUsed/>
    <w:rsid w:val="001E16B9"/>
    <w:pPr>
      <w:spacing w:after="100"/>
      <w:ind w:left="220"/>
    </w:pPr>
  </w:style>
  <w:style w:type="paragraph" w:styleId="TOC3">
    <w:name w:val="toc 3"/>
    <w:basedOn w:val="Normal"/>
    <w:next w:val="Normal"/>
    <w:autoRedefine/>
    <w:uiPriority w:val="39"/>
    <w:unhideWhenUsed/>
    <w:rsid w:val="001E16B9"/>
    <w:pPr>
      <w:spacing w:after="100"/>
      <w:ind w:left="440"/>
    </w:pPr>
  </w:style>
  <w:style w:type="paragraph" w:styleId="TableofFigures">
    <w:name w:val="table of figures"/>
    <w:basedOn w:val="Normal"/>
    <w:next w:val="Normal"/>
    <w:uiPriority w:val="99"/>
    <w:unhideWhenUsed/>
    <w:rsid w:val="007F3D5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US"/>
            <a:t>All sources were properly cited and referenced in line with academic conventions.</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US"/>
            <a:t>No primary data were collected in this study.</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US"/>
            <a:t>Only peer-reviewed and methodologically robust sources were included.</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US"/>
            <a:t>The research adhered to legal and regulatory frameworks governing secondary data use.</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US"/>
            <a:t>Informed consent was not directly required as no primary research was conducted.</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059AE0B1-ED5E-4F3B-9109-C3F817520770}">
      <dgm:prSet/>
      <dgm:spPr/>
      <dgm:t>
        <a:bodyPr/>
        <a:lstStyle/>
        <a:p>
          <a:pPr>
            <a:buFont typeface="Arial" panose="020B0604020202020204" pitchFamily="34" charset="0"/>
            <a:buChar char="•"/>
          </a:pPr>
          <a:r>
            <a:rPr lang="en-US"/>
            <a:t>Sensitive or identifiable information reported in secondary sources was not misused.</a:t>
          </a:r>
        </a:p>
      </dgm:t>
    </dgm:pt>
    <dgm:pt modelId="{C803DBB9-6174-4B57-815F-70EBDF1A3995}" type="parTrans" cxnId="{120066BF-CDE4-40AB-A07C-733C0845B1DD}">
      <dgm:prSet/>
      <dgm:spPr/>
      <dgm:t>
        <a:bodyPr/>
        <a:lstStyle/>
        <a:p>
          <a:endParaRPr lang="en-US"/>
        </a:p>
      </dgm:t>
    </dgm:pt>
    <dgm:pt modelId="{9D8F7B0B-8A8F-4C2C-A689-7B762E926F9D}" type="sibTrans" cxnId="{120066BF-CDE4-40AB-A07C-733C0845B1DD}">
      <dgm:prSet/>
      <dgm:spPr/>
      <dgm:t>
        <a:bodyPr/>
        <a:lstStyle/>
        <a:p>
          <a:endParaRPr lang="en-US"/>
        </a:p>
      </dgm:t>
    </dgm:pt>
    <dgm:pt modelId="{5F1CBB7D-B414-4BB7-A134-92AE06B7ABE2}">
      <dgm:prSet/>
      <dgm:spPr/>
      <dgm:t>
        <a:bodyPr/>
        <a:lstStyle/>
        <a:p>
          <a:pPr>
            <a:lnSpc>
              <a:spcPct val="150000"/>
            </a:lnSpc>
          </a:pPr>
          <a:r>
            <a:rPr lang="en-US"/>
            <a:t>Each study was assessed for quality, relevance, and credibility</a:t>
          </a:r>
          <a:endParaRPr lang="en-GB">
            <a:latin typeface="Aptos" panose="020B0004020202020204" pitchFamily="34" charset="0"/>
          </a:endParaRPr>
        </a:p>
      </dgm:t>
    </dgm:pt>
    <dgm:pt modelId="{CD44026A-E278-4FCA-A4D4-DC8270D6A84E}" type="parTrans" cxnId="{A5F7B949-B7E3-465D-9AF5-3A2FE06F9432}">
      <dgm:prSet/>
      <dgm:spPr/>
      <dgm:t>
        <a:bodyPr/>
        <a:lstStyle/>
        <a:p>
          <a:endParaRPr lang="en-US"/>
        </a:p>
      </dgm:t>
    </dgm:pt>
    <dgm:pt modelId="{1E198022-53F8-4E43-B823-591BE47E6317}" type="sibTrans" cxnId="{A5F7B949-B7E3-465D-9AF5-3A2FE06F9432}">
      <dgm:prSet/>
      <dgm:spPr/>
      <dgm:t>
        <a:bodyPr/>
        <a:lstStyle/>
        <a:p>
          <a:endParaRPr lang="en-US"/>
        </a:p>
      </dgm:t>
    </dgm:pt>
    <dgm:pt modelId="{6BBDDC15-FB4C-4C30-A4FE-08BD22F89A46}">
      <dgm:prSet/>
      <dgm:spPr/>
      <dgm:t>
        <a:bodyPr/>
        <a:lstStyle/>
        <a:p>
          <a:pPr>
            <a:buFont typeface="Arial" panose="020B0604020202020204" pitchFamily="34" charset="0"/>
            <a:buChar char="•"/>
          </a:pPr>
          <a:r>
            <a:rPr lang="en-US"/>
            <a:t>Data protection standards, including GDPR, were considered.</a:t>
          </a:r>
        </a:p>
      </dgm:t>
    </dgm:pt>
    <dgm:pt modelId="{C3CCEFDB-D7A1-497A-9FF4-2E0E29E265B3}" type="parTrans" cxnId="{874B672A-E32A-4894-BDEF-5D74E508104D}">
      <dgm:prSet/>
      <dgm:spPr/>
      <dgm:t>
        <a:bodyPr/>
        <a:lstStyle/>
        <a:p>
          <a:endParaRPr lang="en-US"/>
        </a:p>
      </dgm:t>
    </dgm:pt>
    <dgm:pt modelId="{285B3577-7D40-4625-830C-72E7CE9572B1}" type="sibTrans" cxnId="{874B672A-E32A-4894-BDEF-5D74E508104D}">
      <dgm:prSet/>
      <dgm:spPr/>
      <dgm:t>
        <a:bodyPr/>
        <a:lstStyle/>
        <a:p>
          <a:endParaRPr lang="en-US"/>
        </a:p>
      </dgm:t>
    </dgm:pt>
    <dgm:pt modelId="{8A1D9F40-1A37-49A7-9C7B-546BB3F09E5D}">
      <dgm:prSet/>
      <dgm:spPr/>
      <dgm:t>
        <a:bodyPr/>
        <a:lstStyle/>
        <a:p>
          <a:pPr>
            <a:buFont typeface="Arial" panose="020B0604020202020204" pitchFamily="34" charset="0"/>
            <a:buChar char="•"/>
          </a:pPr>
          <a:r>
            <a:rPr lang="en-US"/>
            <a:t>All secondary sources were based on studies where participants had provided informed consent.</a:t>
          </a:r>
          <a:r>
            <a:rPr lang="en-GB" b="0" i="0">
              <a:latin typeface="Aptos" panose="020B0004020202020204" pitchFamily="34" charset="0"/>
            </a:rPr>
            <a:t> </a:t>
          </a:r>
          <a:endParaRPr lang="en-US"/>
        </a:p>
      </dgm:t>
    </dgm:pt>
    <dgm:pt modelId="{62C5E36D-CBE3-49FD-9570-7DF2753ECE6A}" type="parTrans" cxnId="{E08DE427-2C81-4661-A5CC-AF0786C924B4}">
      <dgm:prSet/>
      <dgm:spPr/>
      <dgm:t>
        <a:bodyPr/>
        <a:lstStyle/>
        <a:p>
          <a:endParaRPr lang="en-US"/>
        </a:p>
      </dgm:t>
    </dgm:pt>
    <dgm:pt modelId="{3A8753F5-BC21-48EF-B658-F1CD01A3A935}" type="sibTrans" cxnId="{E08DE427-2C81-4661-A5CC-AF0786C924B4}">
      <dgm:prSet/>
      <dgm:spPr/>
      <dgm:t>
        <a:bodyPr/>
        <a:lstStyle/>
        <a:p>
          <a:endParaRPr lang="en-US"/>
        </a:p>
      </dgm:t>
    </dgm:pt>
    <dgm:pt modelId="{22828A03-5438-44A6-B709-8FC8341CD785}">
      <dgm:prSet/>
      <dgm:spPr/>
      <dgm:t>
        <a:bodyPr/>
        <a:lstStyle/>
        <a:p>
          <a:pPr>
            <a:lnSpc>
              <a:spcPct val="150000"/>
            </a:lnSpc>
          </a:pPr>
          <a:r>
            <a:rPr lang="en-US"/>
            <a:t>Original authors were acknowledged to avoid plagiarism.</a:t>
          </a:r>
          <a:endParaRPr lang="en-GB" dirty="0">
            <a:latin typeface="Aptos" panose="020B0004020202020204" pitchFamily="34" charset="0"/>
          </a:endParaRPr>
        </a:p>
      </dgm:t>
    </dgm:pt>
    <dgm:pt modelId="{B73F0D88-00DF-4023-A71E-EE2F1F706C03}" type="sibTrans" cxnId="{3DE62BFD-3C29-4EE5-B8B0-E9347416249A}">
      <dgm:prSet/>
      <dgm:spPr/>
      <dgm:t>
        <a:bodyPr/>
        <a:lstStyle/>
        <a:p>
          <a:endParaRPr lang="en-US"/>
        </a:p>
      </dgm:t>
    </dgm:pt>
    <dgm:pt modelId="{3A2A8582-592C-490B-A5F0-258A63141C9E}" type="parTrans" cxnId="{3DE62BFD-3C29-4EE5-B8B0-E9347416249A}">
      <dgm:prSet/>
      <dgm:spPr/>
      <dgm:t>
        <a:bodyPr/>
        <a:lstStyle/>
        <a:p>
          <a:endParaRPr lang="en-US"/>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custLinFactNeighborX="8136">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3597391F-08DC-4A79-ADDF-B6376081A1FD}" type="presOf" srcId="{8A1D9F40-1A37-49A7-9C7B-546BB3F09E5D}" destId="{3FAC58C7-563C-4DE2-B8E2-03C2F5DF4A75}" srcOrd="0" destOrd="1" presId="urn:microsoft.com/office/officeart/2005/8/layout/hList1"/>
    <dgm:cxn modelId="{E08DE427-2C81-4661-A5CC-AF0786C924B4}" srcId="{F5AC5549-675B-444B-905D-2F1D9FDC1779}" destId="{8A1D9F40-1A37-49A7-9C7B-546BB3F09E5D}" srcOrd="1" destOrd="0" parTransId="{62C5E36D-CBE3-49FD-9570-7DF2753ECE6A}" sibTransId="{3A8753F5-BC21-48EF-B658-F1CD01A3A935}"/>
    <dgm:cxn modelId="{874B672A-E32A-4894-BDEF-5D74E508104D}" srcId="{DED7677A-A811-4E99-A359-AF267F66CB3B}" destId="{6BBDDC15-FB4C-4C30-A4FE-08BD22F89A46}" srcOrd="1" destOrd="0" parTransId="{C3CCEFDB-D7A1-497A-9FF4-2E0E29E265B3}" sibTransId="{285B3577-7D40-4625-830C-72E7CE9572B1}"/>
    <dgm:cxn modelId="{1D62A42B-CDC2-44AE-81FD-1CD0168AE2F7}" type="presOf" srcId="{059AE0B1-ED5E-4F3B-9109-C3F817520770}" destId="{D9C43641-36D4-43D5-A2FD-0F9F6D2C43BC}" srcOrd="0" destOrd="1" presId="urn:microsoft.com/office/officeart/2005/8/layout/hList1"/>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A5F7B949-B7E3-465D-9AF5-3A2FE06F9432}" srcId="{5674B894-A55E-4559-8EA7-028C3F32E4B2}" destId="{5F1CBB7D-B414-4BB7-A134-92AE06B7ABE2}" srcOrd="1" destOrd="0" parTransId="{CD44026A-E278-4FCA-A4D4-DC8270D6A84E}" sibTransId="{1E198022-53F8-4E43-B823-591BE47E6317}"/>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7D46C073-2E58-4E93-AED6-A30E2C763C66}" type="presOf" srcId="{22828A03-5438-44A6-B709-8FC8341CD785}" destId="{0916EB88-9427-4C81-A0D0-B1BC4D25BFB9}" srcOrd="0" destOrd="1"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5B92AA8E-6153-4534-8AC3-D52E9B268396}" type="presOf" srcId="{6BBDDC15-FB4C-4C30-A4FE-08BD22F89A46}" destId="{0426731F-8A3C-42F1-804E-8F6D7BF28D02}" srcOrd="0" destOrd="1" presId="urn:microsoft.com/office/officeart/2005/8/layout/hList1"/>
    <dgm:cxn modelId="{BE8BA2AF-7358-466A-818A-8E689518B231}" type="presOf" srcId="{DED7677A-A811-4E99-A359-AF267F66CB3B}" destId="{4B0BA49E-53FB-4A48-8A53-1DCC68267D3A}" srcOrd="0" destOrd="0" presId="urn:microsoft.com/office/officeart/2005/8/layout/hList1"/>
    <dgm:cxn modelId="{120066BF-CDE4-40AB-A07C-733C0845B1DD}" srcId="{D2F35989-0D76-4707-8851-E95507DAC780}" destId="{059AE0B1-ED5E-4F3B-9109-C3F817520770}" srcOrd="1" destOrd="0" parTransId="{C803DBB9-6174-4B57-815F-70EBDF1A3995}" sibTransId="{9D8F7B0B-8A8F-4C2C-A689-7B762E926F9D}"/>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97D50F5-68DA-413A-B81E-06165503AE7C}" type="presOf" srcId="{5F1CBB7D-B414-4BB7-A134-92AE06B7ABE2}" destId="{B4F89DDA-DC7D-4C4E-967D-E22B07A05DB1}" srcOrd="0" destOrd="1"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3DE62BFD-3C29-4EE5-B8B0-E9347416249A}" srcId="{D895BCAF-11FD-4161-9460-71155FF594D5}" destId="{22828A03-5438-44A6-B709-8FC8341CD785}" srcOrd="1" destOrd="0" parTransId="{3A2A8582-592C-490B-A5F0-258A63141C9E}" sibTransId="{B73F0D88-00DF-4023-A71E-EE2F1F706C03}"/>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01ADBD-6470-41F5-A267-E5E572D06C33}"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620724E8-EB90-461E-B973-F1A95866AA18}">
      <dgm:prSet phldrT="[Text]"/>
      <dgm:spPr/>
      <dgm:t>
        <a:bodyPr/>
        <a:lstStyle/>
        <a:p>
          <a:pPr algn="ctr">
            <a:buNone/>
          </a:pPr>
          <a:r>
            <a:rPr lang="en-US" b="1"/>
            <a:t>Theme 1: Clinical Effectiveness and Symptom Reduction</a:t>
          </a:r>
          <a:endParaRPr lang="en-US"/>
        </a:p>
      </dgm:t>
    </dgm:pt>
    <dgm:pt modelId="{84745CCD-DB2B-4EDC-BBF0-70A98C0377D6}" type="parTrans" cxnId="{8F20AFCE-6921-4991-83FF-FF964A29AE21}">
      <dgm:prSet/>
      <dgm:spPr/>
      <dgm:t>
        <a:bodyPr/>
        <a:lstStyle/>
        <a:p>
          <a:pPr algn="ctr"/>
          <a:endParaRPr lang="en-US"/>
        </a:p>
      </dgm:t>
    </dgm:pt>
    <dgm:pt modelId="{2FCBD066-A61C-4406-A862-0A47A8DAE25A}" type="sibTrans" cxnId="{8F20AFCE-6921-4991-83FF-FF964A29AE21}">
      <dgm:prSet/>
      <dgm:spPr/>
      <dgm:t>
        <a:bodyPr/>
        <a:lstStyle/>
        <a:p>
          <a:pPr algn="ctr"/>
          <a:endParaRPr lang="en-US"/>
        </a:p>
      </dgm:t>
    </dgm:pt>
    <dgm:pt modelId="{AFBBC243-DFE4-4592-ACE4-41B16B7F1564}">
      <dgm:prSet phldrT="[Text]"/>
      <dgm:spPr/>
      <dgm:t>
        <a:bodyPr/>
        <a:lstStyle/>
        <a:p>
          <a:pPr algn="l">
            <a:buNone/>
          </a:pPr>
          <a:r>
            <a:rPr lang="en-US" b="1"/>
            <a:t>Bress et al. (2024)</a:t>
          </a:r>
          <a:r>
            <a:rPr lang="en-US"/>
            <a:t> – RCT showing moderate reductions in anxiety symptoms.</a:t>
          </a:r>
        </a:p>
      </dgm:t>
    </dgm:pt>
    <dgm:pt modelId="{14427E4A-FFCD-47C4-BC4C-B8581688A374}" type="parTrans" cxnId="{3CDF5739-B260-4A56-9B16-5A0E4BDF0CCD}">
      <dgm:prSet/>
      <dgm:spPr/>
      <dgm:t>
        <a:bodyPr/>
        <a:lstStyle/>
        <a:p>
          <a:pPr algn="ctr"/>
          <a:endParaRPr lang="en-US"/>
        </a:p>
      </dgm:t>
    </dgm:pt>
    <dgm:pt modelId="{45B46679-9DFD-44CB-A66F-F6EF4D405E11}" type="sibTrans" cxnId="{3CDF5739-B260-4A56-9B16-5A0E4BDF0CCD}">
      <dgm:prSet/>
      <dgm:spPr/>
      <dgm:t>
        <a:bodyPr/>
        <a:lstStyle/>
        <a:p>
          <a:pPr algn="ctr"/>
          <a:endParaRPr lang="en-US"/>
        </a:p>
      </dgm:t>
    </dgm:pt>
    <dgm:pt modelId="{BAD2F89F-2270-4E40-B847-A87036CF9894}">
      <dgm:prSet phldrT="[Text]"/>
      <dgm:spPr/>
      <dgm:t>
        <a:bodyPr/>
        <a:lstStyle/>
        <a:p>
          <a:pPr algn="ctr">
            <a:buNone/>
          </a:pPr>
          <a:r>
            <a:rPr lang="en-US" b="1"/>
            <a:t>Theme 2: User Engagement, Retention and Accessibility</a:t>
          </a:r>
          <a:endParaRPr lang="en-US"/>
        </a:p>
      </dgm:t>
    </dgm:pt>
    <dgm:pt modelId="{5E0D13C3-AD9A-4B90-B814-F9F202D21D9A}" type="parTrans" cxnId="{EAAB3354-1662-4A53-AD43-601C74A8B92D}">
      <dgm:prSet/>
      <dgm:spPr/>
      <dgm:t>
        <a:bodyPr/>
        <a:lstStyle/>
        <a:p>
          <a:pPr algn="ctr"/>
          <a:endParaRPr lang="en-US"/>
        </a:p>
      </dgm:t>
    </dgm:pt>
    <dgm:pt modelId="{57F98DAD-B6D5-41C3-9AC0-B9DD04F0EF86}" type="sibTrans" cxnId="{EAAB3354-1662-4A53-AD43-601C74A8B92D}">
      <dgm:prSet/>
      <dgm:spPr/>
      <dgm:t>
        <a:bodyPr/>
        <a:lstStyle/>
        <a:p>
          <a:pPr algn="ctr"/>
          <a:endParaRPr lang="en-US"/>
        </a:p>
      </dgm:t>
    </dgm:pt>
    <dgm:pt modelId="{C04F1F88-DB91-416E-8407-32927667632D}">
      <dgm:prSet phldrT="[Text]"/>
      <dgm:spPr/>
      <dgm:t>
        <a:bodyPr/>
        <a:lstStyle/>
        <a:p>
          <a:pPr algn="l">
            <a:buNone/>
          </a:pPr>
          <a:r>
            <a:rPr lang="en-US" b="1"/>
            <a:t>Baumel et al. (2019)</a:t>
          </a:r>
          <a:r>
            <a:rPr lang="en-US"/>
            <a:t> – Very short real-world app usage.</a:t>
          </a:r>
        </a:p>
      </dgm:t>
    </dgm:pt>
    <dgm:pt modelId="{4BEE481F-A53B-4302-A035-A9A16386EBE1}" type="parTrans" cxnId="{9123D1C9-5B31-4653-B556-3D72DEB3289B}">
      <dgm:prSet/>
      <dgm:spPr/>
      <dgm:t>
        <a:bodyPr/>
        <a:lstStyle/>
        <a:p>
          <a:pPr algn="ctr"/>
          <a:endParaRPr lang="en-US"/>
        </a:p>
      </dgm:t>
    </dgm:pt>
    <dgm:pt modelId="{E6E96F8E-417A-40DA-836A-122A93B9FE3E}" type="sibTrans" cxnId="{9123D1C9-5B31-4653-B556-3D72DEB3289B}">
      <dgm:prSet/>
      <dgm:spPr/>
      <dgm:t>
        <a:bodyPr/>
        <a:lstStyle/>
        <a:p>
          <a:pPr algn="ctr"/>
          <a:endParaRPr lang="en-US"/>
        </a:p>
      </dgm:t>
    </dgm:pt>
    <dgm:pt modelId="{42923614-5DEA-4171-A08A-26C190768204}">
      <dgm:prSet phldrT="[Text]"/>
      <dgm:spPr/>
      <dgm:t>
        <a:bodyPr/>
        <a:lstStyle/>
        <a:p>
          <a:pPr algn="ctr">
            <a:buNone/>
          </a:pPr>
          <a:r>
            <a:rPr lang="en-US" b="1"/>
            <a:t>Theme 3: Ethical, Regulatory and Clinical Integration Challenges</a:t>
          </a:r>
          <a:endParaRPr lang="en-US"/>
        </a:p>
      </dgm:t>
    </dgm:pt>
    <dgm:pt modelId="{42E47C4B-D7BC-4178-9AD0-17FCA94A098C}" type="parTrans" cxnId="{CAA0DD9E-C5D5-45C7-BD3F-9089F41B343C}">
      <dgm:prSet/>
      <dgm:spPr/>
      <dgm:t>
        <a:bodyPr/>
        <a:lstStyle/>
        <a:p>
          <a:pPr algn="ctr"/>
          <a:endParaRPr lang="en-US"/>
        </a:p>
      </dgm:t>
    </dgm:pt>
    <dgm:pt modelId="{26ED0B15-DDE8-4EED-9D74-402093ED6362}" type="sibTrans" cxnId="{CAA0DD9E-C5D5-45C7-BD3F-9089F41B343C}">
      <dgm:prSet/>
      <dgm:spPr/>
      <dgm:t>
        <a:bodyPr/>
        <a:lstStyle/>
        <a:p>
          <a:pPr algn="ctr"/>
          <a:endParaRPr lang="en-US"/>
        </a:p>
      </dgm:t>
    </dgm:pt>
    <dgm:pt modelId="{F28D4060-D1F8-46E7-9176-A880886B6A16}">
      <dgm:prSet phldrT="[Text]"/>
      <dgm:spPr/>
      <dgm:t>
        <a:bodyPr/>
        <a:lstStyle/>
        <a:p>
          <a:pPr algn="l">
            <a:buNone/>
          </a:pPr>
          <a:r>
            <a:rPr lang="en-US" b="1"/>
            <a:t>Huckvale et al. (2019)</a:t>
          </a:r>
          <a:r>
            <a:rPr lang="en-US"/>
            <a:t> – Widespread third-party data sharing.</a:t>
          </a:r>
        </a:p>
      </dgm:t>
    </dgm:pt>
    <dgm:pt modelId="{29543043-359A-4BCF-8DDB-D0931778E84F}" type="parTrans" cxnId="{69A38B96-A5E6-4FDD-84E2-48A77E5E274E}">
      <dgm:prSet/>
      <dgm:spPr/>
      <dgm:t>
        <a:bodyPr/>
        <a:lstStyle/>
        <a:p>
          <a:pPr algn="ctr"/>
          <a:endParaRPr lang="en-US"/>
        </a:p>
      </dgm:t>
    </dgm:pt>
    <dgm:pt modelId="{3FE0E247-E9D8-4BB1-B906-11DA337BC597}" type="sibTrans" cxnId="{69A38B96-A5E6-4FDD-84E2-48A77E5E274E}">
      <dgm:prSet/>
      <dgm:spPr/>
      <dgm:t>
        <a:bodyPr/>
        <a:lstStyle/>
        <a:p>
          <a:pPr algn="ctr"/>
          <a:endParaRPr lang="en-US"/>
        </a:p>
      </dgm:t>
    </dgm:pt>
    <dgm:pt modelId="{4B3B9D9D-AFB9-4964-A69B-CEF5C4A9BBE4}">
      <dgm:prSet/>
      <dgm:spPr/>
      <dgm:t>
        <a:bodyPr/>
        <a:lstStyle/>
        <a:p>
          <a:pPr algn="l">
            <a:buNone/>
          </a:pPr>
          <a:r>
            <a:rPr lang="en-US" b="1"/>
            <a:t>Shahsavar &amp; Choudhury (2025)</a:t>
          </a:r>
          <a:r>
            <a:rPr lang="en-US"/>
            <a:t> – Systematic review reporting small–moderate improvements with limited long-term data.</a:t>
          </a:r>
        </a:p>
      </dgm:t>
    </dgm:pt>
    <dgm:pt modelId="{EF942169-E868-4928-B09D-C6DEDC0A3406}" type="parTrans" cxnId="{C68DADD7-2BA7-4657-BEC4-0B55F2C545AF}">
      <dgm:prSet/>
      <dgm:spPr/>
      <dgm:t>
        <a:bodyPr/>
        <a:lstStyle/>
        <a:p>
          <a:pPr algn="ctr"/>
          <a:endParaRPr lang="en-US"/>
        </a:p>
      </dgm:t>
    </dgm:pt>
    <dgm:pt modelId="{EB1216DE-052B-4B6B-AE38-5416A5C7CAE5}" type="sibTrans" cxnId="{C68DADD7-2BA7-4657-BEC4-0B55F2C545AF}">
      <dgm:prSet/>
      <dgm:spPr/>
      <dgm:t>
        <a:bodyPr/>
        <a:lstStyle/>
        <a:p>
          <a:pPr algn="ctr"/>
          <a:endParaRPr lang="en-US"/>
        </a:p>
      </dgm:t>
    </dgm:pt>
    <dgm:pt modelId="{5D2A3AB1-82BC-49AD-A8FD-E80DEB95CBDB}">
      <dgm:prSet/>
      <dgm:spPr/>
      <dgm:t>
        <a:bodyPr/>
        <a:lstStyle/>
        <a:p>
          <a:pPr algn="l">
            <a:buNone/>
          </a:pPr>
          <a:r>
            <a:rPr lang="en-US" b="1"/>
            <a:t>Almuqrin et al. (2025)</a:t>
          </a:r>
          <a:r>
            <a:rPr lang="en-US"/>
            <a:t> – Highlighted need for stronger clinical validation.</a:t>
          </a:r>
        </a:p>
      </dgm:t>
    </dgm:pt>
    <dgm:pt modelId="{D2E32D56-60CC-43AC-A93B-63C77F5D68AE}" type="parTrans" cxnId="{C9E7AC43-0B15-46DF-A089-D29955E368EC}">
      <dgm:prSet/>
      <dgm:spPr/>
      <dgm:t>
        <a:bodyPr/>
        <a:lstStyle/>
        <a:p>
          <a:pPr algn="ctr"/>
          <a:endParaRPr lang="en-US"/>
        </a:p>
      </dgm:t>
    </dgm:pt>
    <dgm:pt modelId="{94406098-464D-4654-ABF2-0213C10FD4D5}" type="sibTrans" cxnId="{C9E7AC43-0B15-46DF-A089-D29955E368EC}">
      <dgm:prSet/>
      <dgm:spPr/>
      <dgm:t>
        <a:bodyPr/>
        <a:lstStyle/>
        <a:p>
          <a:pPr algn="ctr"/>
          <a:endParaRPr lang="en-US"/>
        </a:p>
      </dgm:t>
    </dgm:pt>
    <dgm:pt modelId="{1F03489E-FEF7-4562-9FA1-B8ECF06B8C3A}">
      <dgm:prSet/>
      <dgm:spPr/>
      <dgm:t>
        <a:bodyPr/>
        <a:lstStyle/>
        <a:p>
          <a:pPr algn="l">
            <a:buNone/>
          </a:pPr>
          <a:r>
            <a:rPr lang="en-US" b="1"/>
            <a:t>MindSpot (Australia)</a:t>
          </a:r>
          <a:r>
            <a:rPr lang="en-US"/>
            <a:t> – Large-scale service showing significant symptom reductions.</a:t>
          </a:r>
        </a:p>
      </dgm:t>
    </dgm:pt>
    <dgm:pt modelId="{71146312-0B4B-4A17-829B-8C57D280AB52}" type="parTrans" cxnId="{82490DF5-2C34-4592-B32B-CAF784497521}">
      <dgm:prSet/>
      <dgm:spPr/>
      <dgm:t>
        <a:bodyPr/>
        <a:lstStyle/>
        <a:p>
          <a:pPr algn="ctr"/>
          <a:endParaRPr lang="en-US"/>
        </a:p>
      </dgm:t>
    </dgm:pt>
    <dgm:pt modelId="{290ACE48-9925-4EA2-BB2F-4E26F00A429D}" type="sibTrans" cxnId="{82490DF5-2C34-4592-B32B-CAF784497521}">
      <dgm:prSet/>
      <dgm:spPr/>
      <dgm:t>
        <a:bodyPr/>
        <a:lstStyle/>
        <a:p>
          <a:pPr algn="ctr"/>
          <a:endParaRPr lang="en-US"/>
        </a:p>
      </dgm:t>
    </dgm:pt>
    <dgm:pt modelId="{F873EAE3-E765-4558-BDA3-0AE11B079427}">
      <dgm:prSet/>
      <dgm:spPr/>
      <dgm:t>
        <a:bodyPr/>
        <a:lstStyle/>
        <a:p>
          <a:pPr algn="l">
            <a:buNone/>
          </a:pPr>
          <a:r>
            <a:rPr lang="en-US" b="1"/>
            <a:t>Boucher &amp; Raiker (2024)</a:t>
          </a:r>
          <a:r>
            <a:rPr lang="en-US"/>
            <a:t> – High dropout and inconsistent engagement.</a:t>
          </a:r>
        </a:p>
      </dgm:t>
    </dgm:pt>
    <dgm:pt modelId="{A16A34A4-8D6F-4449-902A-AA0B6D160E34}" type="parTrans" cxnId="{685D6060-69E5-4DB7-B471-5977018F4EB6}">
      <dgm:prSet/>
      <dgm:spPr/>
      <dgm:t>
        <a:bodyPr/>
        <a:lstStyle/>
        <a:p>
          <a:pPr algn="ctr"/>
          <a:endParaRPr lang="en-US"/>
        </a:p>
      </dgm:t>
    </dgm:pt>
    <dgm:pt modelId="{CE98017C-BD3B-4D52-9A9C-E333BBB0CEE5}" type="sibTrans" cxnId="{685D6060-69E5-4DB7-B471-5977018F4EB6}">
      <dgm:prSet/>
      <dgm:spPr/>
      <dgm:t>
        <a:bodyPr/>
        <a:lstStyle/>
        <a:p>
          <a:pPr algn="ctr"/>
          <a:endParaRPr lang="en-US"/>
        </a:p>
      </dgm:t>
    </dgm:pt>
    <dgm:pt modelId="{6C797FA2-FF50-4D6B-A050-FAEFB47FC34E}">
      <dgm:prSet/>
      <dgm:spPr/>
      <dgm:t>
        <a:bodyPr/>
        <a:lstStyle/>
        <a:p>
          <a:pPr algn="l">
            <a:buNone/>
          </a:pPr>
          <a:r>
            <a:rPr lang="en-US" b="1"/>
            <a:t>Lipschitz et al. (2023)</a:t>
          </a:r>
          <a:r>
            <a:rPr lang="en-US"/>
            <a:t> – Multi-level predictors of engagement.</a:t>
          </a:r>
        </a:p>
      </dgm:t>
    </dgm:pt>
    <dgm:pt modelId="{688C8E9A-CF17-4F45-A8B7-FE3D08E82C35}" type="parTrans" cxnId="{50B13CE6-0FA5-42D8-8819-A9275CF9F4B3}">
      <dgm:prSet/>
      <dgm:spPr/>
      <dgm:t>
        <a:bodyPr/>
        <a:lstStyle/>
        <a:p>
          <a:pPr algn="ctr"/>
          <a:endParaRPr lang="en-US"/>
        </a:p>
      </dgm:t>
    </dgm:pt>
    <dgm:pt modelId="{BEC771E3-6498-44D0-AD01-27D991141EB0}" type="sibTrans" cxnId="{50B13CE6-0FA5-42D8-8819-A9275CF9F4B3}">
      <dgm:prSet/>
      <dgm:spPr/>
      <dgm:t>
        <a:bodyPr/>
        <a:lstStyle/>
        <a:p>
          <a:pPr algn="ctr"/>
          <a:endParaRPr lang="en-US"/>
        </a:p>
      </dgm:t>
    </dgm:pt>
    <dgm:pt modelId="{9D6FBE25-109D-4C62-A92F-654994DDDE6C}">
      <dgm:prSet/>
      <dgm:spPr/>
      <dgm:t>
        <a:bodyPr/>
        <a:lstStyle/>
        <a:p>
          <a:pPr algn="l">
            <a:buNone/>
          </a:pPr>
          <a:r>
            <a:rPr lang="en-US" b="1"/>
            <a:t>Bear et al. (2024)</a:t>
          </a:r>
          <a:r>
            <a:rPr lang="en-US"/>
            <a:t> – Barriers among marginalised youth (privacy, access, cultural fit).</a:t>
          </a:r>
        </a:p>
      </dgm:t>
    </dgm:pt>
    <dgm:pt modelId="{489F9716-C83E-4E8B-B177-D3EDB8F232F9}" type="parTrans" cxnId="{D383D5D1-AE93-40E5-AECB-BAA710CDF9E3}">
      <dgm:prSet/>
      <dgm:spPr/>
      <dgm:t>
        <a:bodyPr/>
        <a:lstStyle/>
        <a:p>
          <a:pPr algn="ctr"/>
          <a:endParaRPr lang="en-US"/>
        </a:p>
      </dgm:t>
    </dgm:pt>
    <dgm:pt modelId="{A0A684E2-0ED2-45B5-8DC5-8B92CE4D3225}" type="sibTrans" cxnId="{D383D5D1-AE93-40E5-AECB-BAA710CDF9E3}">
      <dgm:prSet/>
      <dgm:spPr/>
      <dgm:t>
        <a:bodyPr/>
        <a:lstStyle/>
        <a:p>
          <a:pPr algn="ctr"/>
          <a:endParaRPr lang="en-US"/>
        </a:p>
      </dgm:t>
    </dgm:pt>
    <dgm:pt modelId="{91119570-5772-43B7-A428-905B8154811C}">
      <dgm:prSet/>
      <dgm:spPr/>
      <dgm:t>
        <a:bodyPr/>
        <a:lstStyle/>
        <a:p>
          <a:pPr algn="l">
            <a:buNone/>
          </a:pPr>
          <a:r>
            <a:rPr lang="en-US" b="1"/>
            <a:t>SPARX (New Zealand)</a:t>
          </a:r>
          <a:r>
            <a:rPr lang="en-US"/>
            <a:t> – Improved engagement when human support included.</a:t>
          </a:r>
        </a:p>
      </dgm:t>
    </dgm:pt>
    <dgm:pt modelId="{68F6BE4C-EE6E-44D8-808D-CDFC3FC24C58}" type="parTrans" cxnId="{EFB10D54-ECE7-4781-8548-D7F78E34D9DE}">
      <dgm:prSet/>
      <dgm:spPr/>
      <dgm:t>
        <a:bodyPr/>
        <a:lstStyle/>
        <a:p>
          <a:pPr algn="ctr"/>
          <a:endParaRPr lang="en-US"/>
        </a:p>
      </dgm:t>
    </dgm:pt>
    <dgm:pt modelId="{07AB7DE2-511E-4A31-9524-A907B056D3E4}" type="sibTrans" cxnId="{EFB10D54-ECE7-4781-8548-D7F78E34D9DE}">
      <dgm:prSet/>
      <dgm:spPr/>
      <dgm:t>
        <a:bodyPr/>
        <a:lstStyle/>
        <a:p>
          <a:pPr algn="ctr"/>
          <a:endParaRPr lang="en-US"/>
        </a:p>
      </dgm:t>
    </dgm:pt>
    <dgm:pt modelId="{4B2B43D7-3E96-46D8-806C-1E84B9532D60}">
      <dgm:prSet/>
      <dgm:spPr/>
      <dgm:t>
        <a:bodyPr/>
        <a:lstStyle/>
        <a:p>
          <a:pPr algn="l">
            <a:buNone/>
          </a:pPr>
          <a:r>
            <a:rPr lang="en-US" b="1"/>
            <a:t>Tangari et al. (2021)</a:t>
          </a:r>
          <a:r>
            <a:rPr lang="en-US"/>
            <a:t> – Inconsistent privacy standards.</a:t>
          </a:r>
        </a:p>
      </dgm:t>
    </dgm:pt>
    <dgm:pt modelId="{EA508BB0-E671-4DE1-84DC-1E8347AAC353}" type="parTrans" cxnId="{4F6620B5-4E8D-43F2-8C9D-BBE1E39B779C}">
      <dgm:prSet/>
      <dgm:spPr/>
      <dgm:t>
        <a:bodyPr/>
        <a:lstStyle/>
        <a:p>
          <a:pPr algn="ctr"/>
          <a:endParaRPr lang="en-US"/>
        </a:p>
      </dgm:t>
    </dgm:pt>
    <dgm:pt modelId="{58859E42-6B93-4F40-92F6-4D039421193F}" type="sibTrans" cxnId="{4F6620B5-4E8D-43F2-8C9D-BBE1E39B779C}">
      <dgm:prSet/>
      <dgm:spPr/>
      <dgm:t>
        <a:bodyPr/>
        <a:lstStyle/>
        <a:p>
          <a:pPr algn="ctr"/>
          <a:endParaRPr lang="en-US"/>
        </a:p>
      </dgm:t>
    </dgm:pt>
    <dgm:pt modelId="{F55E5747-D0B7-46FC-902D-D64AAE474026}">
      <dgm:prSet/>
      <dgm:spPr/>
      <dgm:t>
        <a:bodyPr/>
        <a:lstStyle/>
        <a:p>
          <a:pPr algn="l">
            <a:buNone/>
          </a:pPr>
          <a:r>
            <a:rPr lang="en-US" b="1"/>
            <a:t>Adverse events meta-analysis (2024)</a:t>
          </a:r>
          <a:r>
            <a:rPr lang="en-US"/>
            <a:t> – Under-reporting of harms.</a:t>
          </a:r>
        </a:p>
      </dgm:t>
    </dgm:pt>
    <dgm:pt modelId="{0397F212-55FD-42A3-B254-3E2942FFE5B0}" type="parTrans" cxnId="{4164313F-5627-4EA2-BEE0-25637EC98B24}">
      <dgm:prSet/>
      <dgm:spPr/>
      <dgm:t>
        <a:bodyPr/>
        <a:lstStyle/>
        <a:p>
          <a:pPr algn="ctr"/>
          <a:endParaRPr lang="en-US"/>
        </a:p>
      </dgm:t>
    </dgm:pt>
    <dgm:pt modelId="{83621A81-9459-434D-83C0-0BF78A689E0A}" type="sibTrans" cxnId="{4164313F-5627-4EA2-BEE0-25637EC98B24}">
      <dgm:prSet/>
      <dgm:spPr/>
      <dgm:t>
        <a:bodyPr/>
        <a:lstStyle/>
        <a:p>
          <a:pPr algn="ctr"/>
          <a:endParaRPr lang="en-US"/>
        </a:p>
      </dgm:t>
    </dgm:pt>
    <dgm:pt modelId="{94288ACA-5C98-48A0-8654-209B44D0531E}">
      <dgm:prSet/>
      <dgm:spPr/>
      <dgm:t>
        <a:bodyPr/>
        <a:lstStyle/>
        <a:p>
          <a:pPr algn="l">
            <a:buNone/>
          </a:pPr>
          <a:r>
            <a:rPr lang="en-US" b="1"/>
            <a:t>WHO (2020–2025) &amp; NHS DTAC</a:t>
          </a:r>
          <a:r>
            <a:rPr lang="en-US"/>
            <a:t> – Governance and safety frameworks.</a:t>
          </a:r>
        </a:p>
      </dgm:t>
    </dgm:pt>
    <dgm:pt modelId="{CE1D8391-95A3-4BFD-ACCB-5EBB3AAC4973}" type="parTrans" cxnId="{AF45E7F1-711D-4B96-BAE2-6BF5B0D62815}">
      <dgm:prSet/>
      <dgm:spPr/>
      <dgm:t>
        <a:bodyPr/>
        <a:lstStyle/>
        <a:p>
          <a:pPr algn="ctr"/>
          <a:endParaRPr lang="en-US"/>
        </a:p>
      </dgm:t>
    </dgm:pt>
    <dgm:pt modelId="{4783253B-FD11-43A2-AEDF-5EE7EA8A25A2}" type="sibTrans" cxnId="{AF45E7F1-711D-4B96-BAE2-6BF5B0D62815}">
      <dgm:prSet/>
      <dgm:spPr/>
      <dgm:t>
        <a:bodyPr/>
        <a:lstStyle/>
        <a:p>
          <a:pPr algn="ctr"/>
          <a:endParaRPr lang="en-US"/>
        </a:p>
      </dgm:t>
    </dgm:pt>
    <dgm:pt modelId="{E443C6D2-0325-4799-BC7F-82AA41357197}" type="pres">
      <dgm:prSet presAssocID="{CD01ADBD-6470-41F5-A267-E5E572D06C33}" presName="Name0" presStyleCnt="0">
        <dgm:presLayoutVars>
          <dgm:dir/>
          <dgm:animLvl val="lvl"/>
          <dgm:resizeHandles val="exact"/>
        </dgm:presLayoutVars>
      </dgm:prSet>
      <dgm:spPr/>
    </dgm:pt>
    <dgm:pt modelId="{E9A27D9A-FE02-4499-A3C2-86F903DE3EFF}" type="pres">
      <dgm:prSet presAssocID="{620724E8-EB90-461E-B973-F1A95866AA18}" presName="composite" presStyleCnt="0"/>
      <dgm:spPr/>
    </dgm:pt>
    <dgm:pt modelId="{3E05071B-F330-44FF-BB0A-1AA13A688BE4}" type="pres">
      <dgm:prSet presAssocID="{620724E8-EB90-461E-B973-F1A95866AA18}" presName="parTx" presStyleLbl="alignNode1" presStyleIdx="0" presStyleCnt="3">
        <dgm:presLayoutVars>
          <dgm:chMax val="0"/>
          <dgm:chPref val="0"/>
          <dgm:bulletEnabled val="1"/>
        </dgm:presLayoutVars>
      </dgm:prSet>
      <dgm:spPr/>
    </dgm:pt>
    <dgm:pt modelId="{CBCB0836-6F04-4D58-8700-00857FC39A9A}" type="pres">
      <dgm:prSet presAssocID="{620724E8-EB90-461E-B973-F1A95866AA18}" presName="desTx" presStyleLbl="alignAccFollowNode1" presStyleIdx="0" presStyleCnt="3">
        <dgm:presLayoutVars>
          <dgm:bulletEnabled val="1"/>
        </dgm:presLayoutVars>
      </dgm:prSet>
      <dgm:spPr/>
    </dgm:pt>
    <dgm:pt modelId="{CE3EF553-0412-489D-9AC2-0CEA934FB316}" type="pres">
      <dgm:prSet presAssocID="{2FCBD066-A61C-4406-A862-0A47A8DAE25A}" presName="space" presStyleCnt="0"/>
      <dgm:spPr/>
    </dgm:pt>
    <dgm:pt modelId="{F843CBB6-4107-4964-8095-BA13D0F66947}" type="pres">
      <dgm:prSet presAssocID="{BAD2F89F-2270-4E40-B847-A87036CF9894}" presName="composite" presStyleCnt="0"/>
      <dgm:spPr/>
    </dgm:pt>
    <dgm:pt modelId="{304681C7-D20F-4AFF-8F6C-F1DEC416BC24}" type="pres">
      <dgm:prSet presAssocID="{BAD2F89F-2270-4E40-B847-A87036CF9894}" presName="parTx" presStyleLbl="alignNode1" presStyleIdx="1" presStyleCnt="3">
        <dgm:presLayoutVars>
          <dgm:chMax val="0"/>
          <dgm:chPref val="0"/>
          <dgm:bulletEnabled val="1"/>
        </dgm:presLayoutVars>
      </dgm:prSet>
      <dgm:spPr/>
    </dgm:pt>
    <dgm:pt modelId="{3265CCA8-9B7F-46FF-B597-7A0D2B2642CD}" type="pres">
      <dgm:prSet presAssocID="{BAD2F89F-2270-4E40-B847-A87036CF9894}" presName="desTx" presStyleLbl="alignAccFollowNode1" presStyleIdx="1" presStyleCnt="3">
        <dgm:presLayoutVars>
          <dgm:bulletEnabled val="1"/>
        </dgm:presLayoutVars>
      </dgm:prSet>
      <dgm:spPr/>
    </dgm:pt>
    <dgm:pt modelId="{62CC84B3-7827-4806-8320-2D59F652AC4E}" type="pres">
      <dgm:prSet presAssocID="{57F98DAD-B6D5-41C3-9AC0-B9DD04F0EF86}" presName="space" presStyleCnt="0"/>
      <dgm:spPr/>
    </dgm:pt>
    <dgm:pt modelId="{307A2673-BBA6-4821-8D83-80D96D0A2A04}" type="pres">
      <dgm:prSet presAssocID="{42923614-5DEA-4171-A08A-26C190768204}" presName="composite" presStyleCnt="0"/>
      <dgm:spPr/>
    </dgm:pt>
    <dgm:pt modelId="{B2922B41-A6B4-4168-BC77-8517E2DD5320}" type="pres">
      <dgm:prSet presAssocID="{42923614-5DEA-4171-A08A-26C190768204}" presName="parTx" presStyleLbl="alignNode1" presStyleIdx="2" presStyleCnt="3">
        <dgm:presLayoutVars>
          <dgm:chMax val="0"/>
          <dgm:chPref val="0"/>
          <dgm:bulletEnabled val="1"/>
        </dgm:presLayoutVars>
      </dgm:prSet>
      <dgm:spPr/>
    </dgm:pt>
    <dgm:pt modelId="{0433B580-6CBA-4F06-9610-B96349FBCCCE}" type="pres">
      <dgm:prSet presAssocID="{42923614-5DEA-4171-A08A-26C190768204}" presName="desTx" presStyleLbl="alignAccFollowNode1" presStyleIdx="2" presStyleCnt="3">
        <dgm:presLayoutVars>
          <dgm:bulletEnabled val="1"/>
        </dgm:presLayoutVars>
      </dgm:prSet>
      <dgm:spPr/>
    </dgm:pt>
  </dgm:ptLst>
  <dgm:cxnLst>
    <dgm:cxn modelId="{6431F201-BDBB-45F6-BA63-4892FD7FDF3B}" type="presOf" srcId="{4B2B43D7-3E96-46D8-806C-1E84B9532D60}" destId="{0433B580-6CBA-4F06-9610-B96349FBCCCE}" srcOrd="0" destOrd="1" presId="urn:microsoft.com/office/officeart/2005/8/layout/hList1"/>
    <dgm:cxn modelId="{5C874E14-2BB7-4BAF-9AF6-BF8E365F77FA}" type="presOf" srcId="{F28D4060-D1F8-46E7-9176-A880886B6A16}" destId="{0433B580-6CBA-4F06-9610-B96349FBCCCE}" srcOrd="0" destOrd="0" presId="urn:microsoft.com/office/officeart/2005/8/layout/hList1"/>
    <dgm:cxn modelId="{05ACE624-7AB8-408A-84DE-7E29FFA11D2A}" type="presOf" srcId="{94288ACA-5C98-48A0-8654-209B44D0531E}" destId="{0433B580-6CBA-4F06-9610-B96349FBCCCE}" srcOrd="0" destOrd="3" presId="urn:microsoft.com/office/officeart/2005/8/layout/hList1"/>
    <dgm:cxn modelId="{8115072A-2B11-4C46-A9E9-3AB312EA46D3}" type="presOf" srcId="{9D6FBE25-109D-4C62-A92F-654994DDDE6C}" destId="{3265CCA8-9B7F-46FF-B597-7A0D2B2642CD}" srcOrd="0" destOrd="3" presId="urn:microsoft.com/office/officeart/2005/8/layout/hList1"/>
    <dgm:cxn modelId="{DFE09C36-D42A-4F0F-AD83-5D820B9D4B19}" type="presOf" srcId="{BAD2F89F-2270-4E40-B847-A87036CF9894}" destId="{304681C7-D20F-4AFF-8F6C-F1DEC416BC24}" srcOrd="0" destOrd="0" presId="urn:microsoft.com/office/officeart/2005/8/layout/hList1"/>
    <dgm:cxn modelId="{3CDF5739-B260-4A56-9B16-5A0E4BDF0CCD}" srcId="{620724E8-EB90-461E-B973-F1A95866AA18}" destId="{AFBBC243-DFE4-4592-ACE4-41B16B7F1564}" srcOrd="0" destOrd="0" parTransId="{14427E4A-FFCD-47C4-BC4C-B8581688A374}" sibTransId="{45B46679-9DFD-44CB-A66F-F6EF4D405E11}"/>
    <dgm:cxn modelId="{4164313F-5627-4EA2-BEE0-25637EC98B24}" srcId="{42923614-5DEA-4171-A08A-26C190768204}" destId="{F55E5747-D0B7-46FC-902D-D64AAE474026}" srcOrd="2" destOrd="0" parTransId="{0397F212-55FD-42A3-B254-3E2942FFE5B0}" sibTransId="{83621A81-9459-434D-83C0-0BF78A689E0A}"/>
    <dgm:cxn modelId="{685D6060-69E5-4DB7-B471-5977018F4EB6}" srcId="{BAD2F89F-2270-4E40-B847-A87036CF9894}" destId="{F873EAE3-E765-4558-BDA3-0AE11B079427}" srcOrd="1" destOrd="0" parTransId="{A16A34A4-8D6F-4449-902A-AA0B6D160E34}" sibTransId="{CE98017C-BD3B-4D52-9A9C-E333BBB0CEE5}"/>
    <dgm:cxn modelId="{C9E7AC43-0B15-46DF-A089-D29955E368EC}" srcId="{620724E8-EB90-461E-B973-F1A95866AA18}" destId="{5D2A3AB1-82BC-49AD-A8FD-E80DEB95CBDB}" srcOrd="2" destOrd="0" parTransId="{D2E32D56-60CC-43AC-A93B-63C77F5D68AE}" sibTransId="{94406098-464D-4654-ABF2-0213C10FD4D5}"/>
    <dgm:cxn modelId="{DCC77869-979C-4535-814B-5BDBD03FF2BA}" type="presOf" srcId="{CD01ADBD-6470-41F5-A267-E5E572D06C33}" destId="{E443C6D2-0325-4799-BC7F-82AA41357197}" srcOrd="0" destOrd="0" presId="urn:microsoft.com/office/officeart/2005/8/layout/hList1"/>
    <dgm:cxn modelId="{8CFAFE4B-7828-4062-8529-838D25D88F7E}" type="presOf" srcId="{AFBBC243-DFE4-4592-ACE4-41B16B7F1564}" destId="{CBCB0836-6F04-4D58-8700-00857FC39A9A}" srcOrd="0" destOrd="0" presId="urn:microsoft.com/office/officeart/2005/8/layout/hList1"/>
    <dgm:cxn modelId="{805A1A52-E762-4913-BE1D-CA453087F34D}" type="presOf" srcId="{4B3B9D9D-AFB9-4964-A69B-CEF5C4A9BBE4}" destId="{CBCB0836-6F04-4D58-8700-00857FC39A9A}" srcOrd="0" destOrd="1" presId="urn:microsoft.com/office/officeart/2005/8/layout/hList1"/>
    <dgm:cxn modelId="{EFB10D54-ECE7-4781-8548-D7F78E34D9DE}" srcId="{BAD2F89F-2270-4E40-B847-A87036CF9894}" destId="{91119570-5772-43B7-A428-905B8154811C}" srcOrd="4" destOrd="0" parTransId="{68F6BE4C-EE6E-44D8-808D-CDFC3FC24C58}" sibTransId="{07AB7DE2-511E-4A31-9524-A907B056D3E4}"/>
    <dgm:cxn modelId="{EAAB3354-1662-4A53-AD43-601C74A8B92D}" srcId="{CD01ADBD-6470-41F5-A267-E5E572D06C33}" destId="{BAD2F89F-2270-4E40-B847-A87036CF9894}" srcOrd="1" destOrd="0" parTransId="{5E0D13C3-AD9A-4B90-B814-F9F202D21D9A}" sibTransId="{57F98DAD-B6D5-41C3-9AC0-B9DD04F0EF86}"/>
    <dgm:cxn modelId="{04E8B95A-7C12-4AD4-ABC1-9AC19F27F8E1}" type="presOf" srcId="{F873EAE3-E765-4558-BDA3-0AE11B079427}" destId="{3265CCA8-9B7F-46FF-B597-7A0D2B2642CD}" srcOrd="0" destOrd="1" presId="urn:microsoft.com/office/officeart/2005/8/layout/hList1"/>
    <dgm:cxn modelId="{726CAA85-BEBF-4E4E-B98E-BDA41DADBBDA}" type="presOf" srcId="{F55E5747-D0B7-46FC-902D-D64AAE474026}" destId="{0433B580-6CBA-4F06-9610-B96349FBCCCE}" srcOrd="0" destOrd="2" presId="urn:microsoft.com/office/officeart/2005/8/layout/hList1"/>
    <dgm:cxn modelId="{2AA2838A-E5D3-4849-B8F3-927922C72E2E}" type="presOf" srcId="{5D2A3AB1-82BC-49AD-A8FD-E80DEB95CBDB}" destId="{CBCB0836-6F04-4D58-8700-00857FC39A9A}" srcOrd="0" destOrd="2" presId="urn:microsoft.com/office/officeart/2005/8/layout/hList1"/>
    <dgm:cxn modelId="{69A38B96-A5E6-4FDD-84E2-48A77E5E274E}" srcId="{42923614-5DEA-4171-A08A-26C190768204}" destId="{F28D4060-D1F8-46E7-9176-A880886B6A16}" srcOrd="0" destOrd="0" parTransId="{29543043-359A-4BCF-8DDB-D0931778E84F}" sibTransId="{3FE0E247-E9D8-4BB1-B906-11DA337BC597}"/>
    <dgm:cxn modelId="{CAA0DD9E-C5D5-45C7-BD3F-9089F41B343C}" srcId="{CD01ADBD-6470-41F5-A267-E5E572D06C33}" destId="{42923614-5DEA-4171-A08A-26C190768204}" srcOrd="2" destOrd="0" parTransId="{42E47C4B-D7BC-4178-9AD0-17FCA94A098C}" sibTransId="{26ED0B15-DDE8-4EED-9D74-402093ED6362}"/>
    <dgm:cxn modelId="{D46F00AF-8813-4028-9BCC-53B69A74897E}" type="presOf" srcId="{1F03489E-FEF7-4562-9FA1-B8ECF06B8C3A}" destId="{CBCB0836-6F04-4D58-8700-00857FC39A9A}" srcOrd="0" destOrd="3" presId="urn:microsoft.com/office/officeart/2005/8/layout/hList1"/>
    <dgm:cxn modelId="{4F6620B5-4E8D-43F2-8C9D-BBE1E39B779C}" srcId="{42923614-5DEA-4171-A08A-26C190768204}" destId="{4B2B43D7-3E96-46D8-806C-1E84B9532D60}" srcOrd="1" destOrd="0" parTransId="{EA508BB0-E671-4DE1-84DC-1E8347AAC353}" sibTransId="{58859E42-6B93-4F40-92F6-4D039421193F}"/>
    <dgm:cxn modelId="{A6B8B8B5-B2CF-49E5-8659-D26A68B9C1BA}" type="presOf" srcId="{620724E8-EB90-461E-B973-F1A95866AA18}" destId="{3E05071B-F330-44FF-BB0A-1AA13A688BE4}" srcOrd="0" destOrd="0" presId="urn:microsoft.com/office/officeart/2005/8/layout/hList1"/>
    <dgm:cxn modelId="{4E7012BC-3FA3-471F-B63F-D28A12D821E1}" type="presOf" srcId="{42923614-5DEA-4171-A08A-26C190768204}" destId="{B2922B41-A6B4-4168-BC77-8517E2DD5320}" srcOrd="0" destOrd="0" presId="urn:microsoft.com/office/officeart/2005/8/layout/hList1"/>
    <dgm:cxn modelId="{9123D1C9-5B31-4653-B556-3D72DEB3289B}" srcId="{BAD2F89F-2270-4E40-B847-A87036CF9894}" destId="{C04F1F88-DB91-416E-8407-32927667632D}" srcOrd="0" destOrd="0" parTransId="{4BEE481F-A53B-4302-A035-A9A16386EBE1}" sibTransId="{E6E96F8E-417A-40DA-836A-122A93B9FE3E}"/>
    <dgm:cxn modelId="{8F20AFCE-6921-4991-83FF-FF964A29AE21}" srcId="{CD01ADBD-6470-41F5-A267-E5E572D06C33}" destId="{620724E8-EB90-461E-B973-F1A95866AA18}" srcOrd="0" destOrd="0" parTransId="{84745CCD-DB2B-4EDC-BBF0-70A98C0377D6}" sibTransId="{2FCBD066-A61C-4406-A862-0A47A8DAE25A}"/>
    <dgm:cxn modelId="{D383D5D1-AE93-40E5-AECB-BAA710CDF9E3}" srcId="{BAD2F89F-2270-4E40-B847-A87036CF9894}" destId="{9D6FBE25-109D-4C62-A92F-654994DDDE6C}" srcOrd="3" destOrd="0" parTransId="{489F9716-C83E-4E8B-B177-D3EDB8F232F9}" sibTransId="{A0A684E2-0ED2-45B5-8DC5-8B92CE4D3225}"/>
    <dgm:cxn modelId="{C68DADD7-2BA7-4657-BEC4-0B55F2C545AF}" srcId="{620724E8-EB90-461E-B973-F1A95866AA18}" destId="{4B3B9D9D-AFB9-4964-A69B-CEF5C4A9BBE4}" srcOrd="1" destOrd="0" parTransId="{EF942169-E868-4928-B09D-C6DEDC0A3406}" sibTransId="{EB1216DE-052B-4B6B-AE38-5416A5C7CAE5}"/>
    <dgm:cxn modelId="{367EA6D9-D598-4550-BFF6-5A733E0144A3}" type="presOf" srcId="{91119570-5772-43B7-A428-905B8154811C}" destId="{3265CCA8-9B7F-46FF-B597-7A0D2B2642CD}" srcOrd="0" destOrd="4" presId="urn:microsoft.com/office/officeart/2005/8/layout/hList1"/>
    <dgm:cxn modelId="{50B13CE6-0FA5-42D8-8819-A9275CF9F4B3}" srcId="{BAD2F89F-2270-4E40-B847-A87036CF9894}" destId="{6C797FA2-FF50-4D6B-A050-FAEFB47FC34E}" srcOrd="2" destOrd="0" parTransId="{688C8E9A-CF17-4F45-A8B7-FE3D08E82C35}" sibTransId="{BEC771E3-6498-44D0-AD01-27D991141EB0}"/>
    <dgm:cxn modelId="{18EE81EA-CAB4-47DD-9B98-A124629138A5}" type="presOf" srcId="{C04F1F88-DB91-416E-8407-32927667632D}" destId="{3265CCA8-9B7F-46FF-B597-7A0D2B2642CD}" srcOrd="0" destOrd="0" presId="urn:microsoft.com/office/officeart/2005/8/layout/hList1"/>
    <dgm:cxn modelId="{E759E1F1-7AFB-4E5A-9F83-C66867D54366}" type="presOf" srcId="{6C797FA2-FF50-4D6B-A050-FAEFB47FC34E}" destId="{3265CCA8-9B7F-46FF-B597-7A0D2B2642CD}" srcOrd="0" destOrd="2" presId="urn:microsoft.com/office/officeart/2005/8/layout/hList1"/>
    <dgm:cxn modelId="{AF45E7F1-711D-4B96-BAE2-6BF5B0D62815}" srcId="{42923614-5DEA-4171-A08A-26C190768204}" destId="{94288ACA-5C98-48A0-8654-209B44D0531E}" srcOrd="3" destOrd="0" parTransId="{CE1D8391-95A3-4BFD-ACCB-5EBB3AAC4973}" sibTransId="{4783253B-FD11-43A2-AEDF-5EE7EA8A25A2}"/>
    <dgm:cxn modelId="{82490DF5-2C34-4592-B32B-CAF784497521}" srcId="{620724E8-EB90-461E-B973-F1A95866AA18}" destId="{1F03489E-FEF7-4562-9FA1-B8ECF06B8C3A}" srcOrd="3" destOrd="0" parTransId="{71146312-0B4B-4A17-829B-8C57D280AB52}" sibTransId="{290ACE48-9925-4EA2-BB2F-4E26F00A429D}"/>
    <dgm:cxn modelId="{F4B30BE5-E250-4DC0-B3E2-C8740792E578}" type="presParOf" srcId="{E443C6D2-0325-4799-BC7F-82AA41357197}" destId="{E9A27D9A-FE02-4499-A3C2-86F903DE3EFF}" srcOrd="0" destOrd="0" presId="urn:microsoft.com/office/officeart/2005/8/layout/hList1"/>
    <dgm:cxn modelId="{F7B053CD-8089-40E5-BCE6-649558937058}" type="presParOf" srcId="{E9A27D9A-FE02-4499-A3C2-86F903DE3EFF}" destId="{3E05071B-F330-44FF-BB0A-1AA13A688BE4}" srcOrd="0" destOrd="0" presId="urn:microsoft.com/office/officeart/2005/8/layout/hList1"/>
    <dgm:cxn modelId="{E00C1383-3DA0-4415-A07C-77CAA37A3006}" type="presParOf" srcId="{E9A27D9A-FE02-4499-A3C2-86F903DE3EFF}" destId="{CBCB0836-6F04-4D58-8700-00857FC39A9A}" srcOrd="1" destOrd="0" presId="urn:microsoft.com/office/officeart/2005/8/layout/hList1"/>
    <dgm:cxn modelId="{2154498F-8C0B-4D6A-899E-00E8FB9AC17E}" type="presParOf" srcId="{E443C6D2-0325-4799-BC7F-82AA41357197}" destId="{CE3EF553-0412-489D-9AC2-0CEA934FB316}" srcOrd="1" destOrd="0" presId="urn:microsoft.com/office/officeart/2005/8/layout/hList1"/>
    <dgm:cxn modelId="{0B9D6060-229C-4854-A8B5-78D957891BED}" type="presParOf" srcId="{E443C6D2-0325-4799-BC7F-82AA41357197}" destId="{F843CBB6-4107-4964-8095-BA13D0F66947}" srcOrd="2" destOrd="0" presId="urn:microsoft.com/office/officeart/2005/8/layout/hList1"/>
    <dgm:cxn modelId="{7EA36319-FAAF-4DE0-9C48-0668B8B87813}" type="presParOf" srcId="{F843CBB6-4107-4964-8095-BA13D0F66947}" destId="{304681C7-D20F-4AFF-8F6C-F1DEC416BC24}" srcOrd="0" destOrd="0" presId="urn:microsoft.com/office/officeart/2005/8/layout/hList1"/>
    <dgm:cxn modelId="{F51F2B80-F751-4099-AEB8-D2882AC9C603}" type="presParOf" srcId="{F843CBB6-4107-4964-8095-BA13D0F66947}" destId="{3265CCA8-9B7F-46FF-B597-7A0D2B2642CD}" srcOrd="1" destOrd="0" presId="urn:microsoft.com/office/officeart/2005/8/layout/hList1"/>
    <dgm:cxn modelId="{F45D3ABD-E90A-4DD9-AA58-5D98F2B9F0C8}" type="presParOf" srcId="{E443C6D2-0325-4799-BC7F-82AA41357197}" destId="{62CC84B3-7827-4806-8320-2D59F652AC4E}" srcOrd="3" destOrd="0" presId="urn:microsoft.com/office/officeart/2005/8/layout/hList1"/>
    <dgm:cxn modelId="{4CC58893-7626-445A-B200-75FBF13030FE}" type="presParOf" srcId="{E443C6D2-0325-4799-BC7F-82AA41357197}" destId="{307A2673-BBA6-4821-8D83-80D96D0A2A04}" srcOrd="4" destOrd="0" presId="urn:microsoft.com/office/officeart/2005/8/layout/hList1"/>
    <dgm:cxn modelId="{01FE191E-8400-4A80-A322-AF7FDF0464C7}" type="presParOf" srcId="{307A2673-BBA6-4821-8D83-80D96D0A2A04}" destId="{B2922B41-A6B4-4168-BC77-8517E2DD5320}" srcOrd="0" destOrd="0" presId="urn:microsoft.com/office/officeart/2005/8/layout/hList1"/>
    <dgm:cxn modelId="{52680CDB-BE20-408B-8B04-1F1E6FB005D0}" type="presParOf" srcId="{307A2673-BBA6-4821-8D83-80D96D0A2A04}" destId="{0433B580-6CBA-4F06-9610-B96349FBCCCE}"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2314" y="225382"/>
          <a:ext cx="887289" cy="31507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Respect for Intellectual Property:</a:t>
          </a:r>
          <a:endParaRPr lang="en-GB" sz="600" kern="1200">
            <a:latin typeface="Aptos" panose="020B0004020202020204" pitchFamily="34" charset="0"/>
          </a:endParaRPr>
        </a:p>
      </dsp:txBody>
      <dsp:txXfrm>
        <a:off x="2314" y="225382"/>
        <a:ext cx="887289" cy="315078"/>
      </dsp:txXfrm>
    </dsp:sp>
    <dsp:sp modelId="{0916EB88-9427-4C81-A0D0-B1BC4D25BFB9}">
      <dsp:nvSpPr>
        <dsp:cNvPr id="0" name=""/>
        <dsp:cNvSpPr/>
      </dsp:nvSpPr>
      <dsp:spPr>
        <a:xfrm>
          <a:off x="2314" y="540461"/>
          <a:ext cx="887289" cy="10870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All sources were properly cited and referenced in line with academic conventions.</a:t>
          </a:r>
          <a:endParaRPr lang="en-GB" sz="600" kern="1200" dirty="0">
            <a:latin typeface="Aptos" panose="020B0004020202020204" pitchFamily="34" charset="0"/>
          </a:endParaRPr>
        </a:p>
        <a:p>
          <a:pPr marL="57150" lvl="1" indent="-57150" algn="l" defTabSz="266700">
            <a:lnSpc>
              <a:spcPct val="150000"/>
            </a:lnSpc>
            <a:spcBef>
              <a:spcPct val="0"/>
            </a:spcBef>
            <a:spcAft>
              <a:spcPct val="15000"/>
            </a:spcAft>
            <a:buChar char="•"/>
          </a:pPr>
          <a:r>
            <a:rPr lang="en-US" sz="600" kern="1200"/>
            <a:t>Original authors were acknowledged to avoid plagiarism.</a:t>
          </a:r>
          <a:endParaRPr lang="en-GB" sz="600" kern="1200" dirty="0">
            <a:latin typeface="Aptos" panose="020B0004020202020204" pitchFamily="34" charset="0"/>
          </a:endParaRPr>
        </a:p>
      </dsp:txBody>
      <dsp:txXfrm>
        <a:off x="2314" y="540461"/>
        <a:ext cx="887289" cy="1087020"/>
      </dsp:txXfrm>
    </dsp:sp>
    <dsp:sp modelId="{0F07604D-46A6-4ADA-B996-B9E43A897BA8}">
      <dsp:nvSpPr>
        <dsp:cNvPr id="0" name=""/>
        <dsp:cNvSpPr/>
      </dsp:nvSpPr>
      <dsp:spPr>
        <a:xfrm>
          <a:off x="1013825" y="225382"/>
          <a:ext cx="887289" cy="31507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Privacy and Confidentiality:</a:t>
          </a:r>
          <a:endParaRPr lang="en-GB" sz="600" kern="1200">
            <a:latin typeface="Aptos" panose="020B0004020202020204" pitchFamily="34" charset="0"/>
          </a:endParaRPr>
        </a:p>
      </dsp:txBody>
      <dsp:txXfrm>
        <a:off x="1013825" y="225382"/>
        <a:ext cx="887289" cy="315078"/>
      </dsp:txXfrm>
    </dsp:sp>
    <dsp:sp modelId="{D9C43641-36D4-43D5-A2FD-0F9F6D2C43BC}">
      <dsp:nvSpPr>
        <dsp:cNvPr id="0" name=""/>
        <dsp:cNvSpPr/>
      </dsp:nvSpPr>
      <dsp:spPr>
        <a:xfrm>
          <a:off x="1013825" y="540461"/>
          <a:ext cx="887289" cy="10870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No primary data were collected in this study.</a:t>
          </a:r>
          <a:endParaRPr lang="en-GB" sz="600" kern="1200">
            <a:latin typeface="Aptos" panose="020B0004020202020204" pitchFamily="34" charset="0"/>
          </a:endParaRPr>
        </a:p>
        <a:p>
          <a:pPr marL="57150" lvl="1" indent="-57150" algn="l" defTabSz="266700">
            <a:lnSpc>
              <a:spcPct val="90000"/>
            </a:lnSpc>
            <a:spcBef>
              <a:spcPct val="0"/>
            </a:spcBef>
            <a:spcAft>
              <a:spcPct val="15000"/>
            </a:spcAft>
            <a:buFont typeface="Arial" panose="020B0604020202020204" pitchFamily="34" charset="0"/>
            <a:buChar char="•"/>
          </a:pPr>
          <a:r>
            <a:rPr lang="en-US" sz="600" kern="1200"/>
            <a:t>Sensitive or identifiable information reported in secondary sources was not misused.</a:t>
          </a:r>
        </a:p>
      </dsp:txBody>
      <dsp:txXfrm>
        <a:off x="1013825" y="540461"/>
        <a:ext cx="887289" cy="1087020"/>
      </dsp:txXfrm>
    </dsp:sp>
    <dsp:sp modelId="{594F44BC-596E-4978-9BF4-2F7DCCF10A7F}">
      <dsp:nvSpPr>
        <dsp:cNvPr id="0" name=""/>
        <dsp:cNvSpPr/>
      </dsp:nvSpPr>
      <dsp:spPr>
        <a:xfrm>
          <a:off x="2025335" y="225382"/>
          <a:ext cx="887289" cy="31507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Data Integrity and Reliability:</a:t>
          </a:r>
          <a:r>
            <a:rPr lang="en-GB" sz="600" kern="1200">
              <a:latin typeface="Aptos" panose="020B0004020202020204" pitchFamily="34" charset="0"/>
            </a:rPr>
            <a:t> </a:t>
          </a:r>
        </a:p>
      </dsp:txBody>
      <dsp:txXfrm>
        <a:off x="2025335" y="225382"/>
        <a:ext cx="887289" cy="315078"/>
      </dsp:txXfrm>
    </dsp:sp>
    <dsp:sp modelId="{B4F89DDA-DC7D-4C4E-967D-E22B07A05DB1}">
      <dsp:nvSpPr>
        <dsp:cNvPr id="0" name=""/>
        <dsp:cNvSpPr/>
      </dsp:nvSpPr>
      <dsp:spPr>
        <a:xfrm>
          <a:off x="2025335" y="540461"/>
          <a:ext cx="887289" cy="10870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Only peer-reviewed and methodologically robust sources were included.</a:t>
          </a:r>
          <a:endParaRPr lang="en-GB" sz="600" kern="1200">
            <a:latin typeface="Aptos" panose="020B0004020202020204" pitchFamily="34" charset="0"/>
          </a:endParaRPr>
        </a:p>
        <a:p>
          <a:pPr marL="57150" lvl="1" indent="-57150" algn="l" defTabSz="266700">
            <a:lnSpc>
              <a:spcPct val="150000"/>
            </a:lnSpc>
            <a:spcBef>
              <a:spcPct val="0"/>
            </a:spcBef>
            <a:spcAft>
              <a:spcPct val="15000"/>
            </a:spcAft>
            <a:buChar char="•"/>
          </a:pPr>
          <a:r>
            <a:rPr lang="en-US" sz="600" kern="1200"/>
            <a:t>Each study was assessed for quality, relevance, and credibility</a:t>
          </a:r>
          <a:endParaRPr lang="en-GB" sz="600" kern="1200">
            <a:latin typeface="Aptos" panose="020B0004020202020204" pitchFamily="34" charset="0"/>
          </a:endParaRPr>
        </a:p>
      </dsp:txBody>
      <dsp:txXfrm>
        <a:off x="2025335" y="540461"/>
        <a:ext cx="887289" cy="1087020"/>
      </dsp:txXfrm>
    </dsp:sp>
    <dsp:sp modelId="{4B0BA49E-53FB-4A48-8A53-1DCC68267D3A}">
      <dsp:nvSpPr>
        <dsp:cNvPr id="0" name=""/>
        <dsp:cNvSpPr/>
      </dsp:nvSpPr>
      <dsp:spPr>
        <a:xfrm>
          <a:off x="3036846" y="225382"/>
          <a:ext cx="887289" cy="31507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ptos" panose="020B0004020202020204" pitchFamily="34" charset="0"/>
            </a:rPr>
            <a:t>Compliance with Laws and Regulations:</a:t>
          </a:r>
          <a:endParaRPr lang="en-GB" sz="600" kern="1200" dirty="0">
            <a:latin typeface="Aptos" panose="020B0004020202020204" pitchFamily="34" charset="0"/>
          </a:endParaRPr>
        </a:p>
      </dsp:txBody>
      <dsp:txXfrm>
        <a:off x="3036846" y="225382"/>
        <a:ext cx="887289" cy="315078"/>
      </dsp:txXfrm>
    </dsp:sp>
    <dsp:sp modelId="{0426731F-8A3C-42F1-804E-8F6D7BF28D02}">
      <dsp:nvSpPr>
        <dsp:cNvPr id="0" name=""/>
        <dsp:cNvSpPr/>
      </dsp:nvSpPr>
      <dsp:spPr>
        <a:xfrm>
          <a:off x="3036846" y="540461"/>
          <a:ext cx="887289" cy="10870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The research adhered to legal and regulatory frameworks governing secondary data use.</a:t>
          </a:r>
          <a:endParaRPr lang="en-GB" sz="600" kern="1200">
            <a:latin typeface="Aptos" panose="020B0004020202020204" pitchFamily="34" charset="0"/>
          </a:endParaRPr>
        </a:p>
        <a:p>
          <a:pPr marL="57150" lvl="1" indent="-57150" algn="l" defTabSz="266700">
            <a:lnSpc>
              <a:spcPct val="90000"/>
            </a:lnSpc>
            <a:spcBef>
              <a:spcPct val="0"/>
            </a:spcBef>
            <a:spcAft>
              <a:spcPct val="15000"/>
            </a:spcAft>
            <a:buFont typeface="Arial" panose="020B0604020202020204" pitchFamily="34" charset="0"/>
            <a:buChar char="•"/>
          </a:pPr>
          <a:r>
            <a:rPr lang="en-US" sz="600" kern="1200"/>
            <a:t>Data protection standards, including GDPR, were considered.</a:t>
          </a:r>
        </a:p>
      </dsp:txBody>
      <dsp:txXfrm>
        <a:off x="3036846" y="540461"/>
        <a:ext cx="887289" cy="1087020"/>
      </dsp:txXfrm>
    </dsp:sp>
    <dsp:sp modelId="{527B8B4B-D6E7-4EB7-86F6-6A7D2579D756}">
      <dsp:nvSpPr>
        <dsp:cNvPr id="0" name=""/>
        <dsp:cNvSpPr/>
      </dsp:nvSpPr>
      <dsp:spPr>
        <a:xfrm>
          <a:off x="4048356" y="225382"/>
          <a:ext cx="887289" cy="315078"/>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ptos" panose="020B0004020202020204" pitchFamily="34" charset="0"/>
            </a:rPr>
            <a:t>Informed Consent</a:t>
          </a:r>
          <a:endParaRPr lang="en-GB" sz="600" kern="1200" dirty="0">
            <a:latin typeface="Aptos" panose="020B0004020202020204" pitchFamily="34" charset="0"/>
          </a:endParaRPr>
        </a:p>
      </dsp:txBody>
      <dsp:txXfrm>
        <a:off x="4048356" y="225382"/>
        <a:ext cx="887289" cy="315078"/>
      </dsp:txXfrm>
    </dsp:sp>
    <dsp:sp modelId="{3FAC58C7-563C-4DE2-B8E2-03C2F5DF4A75}">
      <dsp:nvSpPr>
        <dsp:cNvPr id="0" name=""/>
        <dsp:cNvSpPr/>
      </dsp:nvSpPr>
      <dsp:spPr>
        <a:xfrm>
          <a:off x="4050671" y="540461"/>
          <a:ext cx="887289" cy="10870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Informed consent was not directly required as no primary research was conducted.</a:t>
          </a:r>
          <a:endParaRPr lang="en-GB" sz="600" kern="1200">
            <a:latin typeface="Aptos" panose="020B0004020202020204" pitchFamily="34" charset="0"/>
          </a:endParaRPr>
        </a:p>
        <a:p>
          <a:pPr marL="57150" lvl="1" indent="-57150" algn="l" defTabSz="266700">
            <a:lnSpc>
              <a:spcPct val="90000"/>
            </a:lnSpc>
            <a:spcBef>
              <a:spcPct val="0"/>
            </a:spcBef>
            <a:spcAft>
              <a:spcPct val="15000"/>
            </a:spcAft>
            <a:buFont typeface="Arial" panose="020B0604020202020204" pitchFamily="34" charset="0"/>
            <a:buChar char="•"/>
          </a:pPr>
          <a:r>
            <a:rPr lang="en-US" sz="600" kern="1200"/>
            <a:t>All secondary sources were based on studies where participants had provided informed consent.</a:t>
          </a:r>
          <a:r>
            <a:rPr lang="en-GB" sz="600" b="0" i="0" kern="1200">
              <a:latin typeface="Aptos" panose="020B0004020202020204" pitchFamily="34" charset="0"/>
            </a:rPr>
            <a:t> </a:t>
          </a:r>
          <a:endParaRPr lang="en-US" sz="600" kern="1200"/>
        </a:p>
      </dsp:txBody>
      <dsp:txXfrm>
        <a:off x="4050671" y="540461"/>
        <a:ext cx="887289" cy="10870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05071B-F330-44FF-BB0A-1AA13A688BE4}">
      <dsp:nvSpPr>
        <dsp:cNvPr id="0" name=""/>
        <dsp:cNvSpPr/>
      </dsp:nvSpPr>
      <dsp:spPr>
        <a:xfrm>
          <a:off x="1884" y="314338"/>
          <a:ext cx="1837760" cy="50805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b="1" kern="1200"/>
            <a:t>Theme 1: Clinical Effectiveness and Symptom Reduction</a:t>
          </a:r>
          <a:endParaRPr lang="en-US" sz="1000" kern="1200"/>
        </a:p>
      </dsp:txBody>
      <dsp:txXfrm>
        <a:off x="1884" y="314338"/>
        <a:ext cx="1837760" cy="508059"/>
      </dsp:txXfrm>
    </dsp:sp>
    <dsp:sp modelId="{CBCB0836-6F04-4D58-8700-00857FC39A9A}">
      <dsp:nvSpPr>
        <dsp:cNvPr id="0" name=""/>
        <dsp:cNvSpPr/>
      </dsp:nvSpPr>
      <dsp:spPr>
        <a:xfrm>
          <a:off x="1884" y="822397"/>
          <a:ext cx="1837760" cy="20947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None/>
          </a:pPr>
          <a:r>
            <a:rPr lang="en-US" sz="1000" b="1" kern="1200"/>
            <a:t>Bress et al. (2024)</a:t>
          </a:r>
          <a:r>
            <a:rPr lang="en-US" sz="1000" kern="1200"/>
            <a:t> – RCT showing moderate reductions in anxiety symptoms.</a:t>
          </a:r>
        </a:p>
        <a:p>
          <a:pPr marL="57150" lvl="1" indent="-57150" algn="l" defTabSz="444500">
            <a:lnSpc>
              <a:spcPct val="90000"/>
            </a:lnSpc>
            <a:spcBef>
              <a:spcPct val="0"/>
            </a:spcBef>
            <a:spcAft>
              <a:spcPct val="15000"/>
            </a:spcAft>
            <a:buNone/>
          </a:pPr>
          <a:r>
            <a:rPr lang="en-US" sz="1000" b="1" kern="1200"/>
            <a:t>Shahsavar &amp; Choudhury (2025)</a:t>
          </a:r>
          <a:r>
            <a:rPr lang="en-US" sz="1000" kern="1200"/>
            <a:t> – Systematic review reporting small–moderate improvements with limited long-term data.</a:t>
          </a:r>
        </a:p>
        <a:p>
          <a:pPr marL="57150" lvl="1" indent="-57150" algn="l" defTabSz="444500">
            <a:lnSpc>
              <a:spcPct val="90000"/>
            </a:lnSpc>
            <a:spcBef>
              <a:spcPct val="0"/>
            </a:spcBef>
            <a:spcAft>
              <a:spcPct val="15000"/>
            </a:spcAft>
            <a:buNone/>
          </a:pPr>
          <a:r>
            <a:rPr lang="en-US" sz="1000" b="1" kern="1200"/>
            <a:t>Almuqrin et al. (2025)</a:t>
          </a:r>
          <a:r>
            <a:rPr lang="en-US" sz="1000" kern="1200"/>
            <a:t> – Highlighted need for stronger clinical validation.</a:t>
          </a:r>
        </a:p>
        <a:p>
          <a:pPr marL="57150" lvl="1" indent="-57150" algn="l" defTabSz="444500">
            <a:lnSpc>
              <a:spcPct val="90000"/>
            </a:lnSpc>
            <a:spcBef>
              <a:spcPct val="0"/>
            </a:spcBef>
            <a:spcAft>
              <a:spcPct val="15000"/>
            </a:spcAft>
            <a:buNone/>
          </a:pPr>
          <a:r>
            <a:rPr lang="en-US" sz="1000" b="1" kern="1200"/>
            <a:t>MindSpot (Australia)</a:t>
          </a:r>
          <a:r>
            <a:rPr lang="en-US" sz="1000" kern="1200"/>
            <a:t> – Large-scale service showing significant symptom reductions.</a:t>
          </a:r>
        </a:p>
      </dsp:txBody>
      <dsp:txXfrm>
        <a:off x="1884" y="822397"/>
        <a:ext cx="1837760" cy="2094778"/>
      </dsp:txXfrm>
    </dsp:sp>
    <dsp:sp modelId="{304681C7-D20F-4AFF-8F6C-F1DEC416BC24}">
      <dsp:nvSpPr>
        <dsp:cNvPr id="0" name=""/>
        <dsp:cNvSpPr/>
      </dsp:nvSpPr>
      <dsp:spPr>
        <a:xfrm>
          <a:off x="2096931" y="314338"/>
          <a:ext cx="1837760" cy="50805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b="1" kern="1200"/>
            <a:t>Theme 2: User Engagement, Retention and Accessibility</a:t>
          </a:r>
          <a:endParaRPr lang="en-US" sz="1000" kern="1200"/>
        </a:p>
      </dsp:txBody>
      <dsp:txXfrm>
        <a:off x="2096931" y="314338"/>
        <a:ext cx="1837760" cy="508059"/>
      </dsp:txXfrm>
    </dsp:sp>
    <dsp:sp modelId="{3265CCA8-9B7F-46FF-B597-7A0D2B2642CD}">
      <dsp:nvSpPr>
        <dsp:cNvPr id="0" name=""/>
        <dsp:cNvSpPr/>
      </dsp:nvSpPr>
      <dsp:spPr>
        <a:xfrm>
          <a:off x="2096931" y="822397"/>
          <a:ext cx="1837760" cy="20947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None/>
          </a:pPr>
          <a:r>
            <a:rPr lang="en-US" sz="1000" b="1" kern="1200"/>
            <a:t>Baumel et al. (2019)</a:t>
          </a:r>
          <a:r>
            <a:rPr lang="en-US" sz="1000" kern="1200"/>
            <a:t> – Very short real-world app usage.</a:t>
          </a:r>
        </a:p>
        <a:p>
          <a:pPr marL="57150" lvl="1" indent="-57150" algn="l" defTabSz="444500">
            <a:lnSpc>
              <a:spcPct val="90000"/>
            </a:lnSpc>
            <a:spcBef>
              <a:spcPct val="0"/>
            </a:spcBef>
            <a:spcAft>
              <a:spcPct val="15000"/>
            </a:spcAft>
            <a:buNone/>
          </a:pPr>
          <a:r>
            <a:rPr lang="en-US" sz="1000" b="1" kern="1200"/>
            <a:t>Boucher &amp; Raiker (2024)</a:t>
          </a:r>
          <a:r>
            <a:rPr lang="en-US" sz="1000" kern="1200"/>
            <a:t> – High dropout and inconsistent engagement.</a:t>
          </a:r>
        </a:p>
        <a:p>
          <a:pPr marL="57150" lvl="1" indent="-57150" algn="l" defTabSz="444500">
            <a:lnSpc>
              <a:spcPct val="90000"/>
            </a:lnSpc>
            <a:spcBef>
              <a:spcPct val="0"/>
            </a:spcBef>
            <a:spcAft>
              <a:spcPct val="15000"/>
            </a:spcAft>
            <a:buNone/>
          </a:pPr>
          <a:r>
            <a:rPr lang="en-US" sz="1000" b="1" kern="1200"/>
            <a:t>Lipschitz et al. (2023)</a:t>
          </a:r>
          <a:r>
            <a:rPr lang="en-US" sz="1000" kern="1200"/>
            <a:t> – Multi-level predictors of engagement.</a:t>
          </a:r>
        </a:p>
        <a:p>
          <a:pPr marL="57150" lvl="1" indent="-57150" algn="l" defTabSz="444500">
            <a:lnSpc>
              <a:spcPct val="90000"/>
            </a:lnSpc>
            <a:spcBef>
              <a:spcPct val="0"/>
            </a:spcBef>
            <a:spcAft>
              <a:spcPct val="15000"/>
            </a:spcAft>
            <a:buNone/>
          </a:pPr>
          <a:r>
            <a:rPr lang="en-US" sz="1000" b="1" kern="1200"/>
            <a:t>Bear et al. (2024)</a:t>
          </a:r>
          <a:r>
            <a:rPr lang="en-US" sz="1000" kern="1200"/>
            <a:t> – Barriers among marginalised youth (privacy, access, cultural fit).</a:t>
          </a:r>
        </a:p>
        <a:p>
          <a:pPr marL="57150" lvl="1" indent="-57150" algn="l" defTabSz="444500">
            <a:lnSpc>
              <a:spcPct val="90000"/>
            </a:lnSpc>
            <a:spcBef>
              <a:spcPct val="0"/>
            </a:spcBef>
            <a:spcAft>
              <a:spcPct val="15000"/>
            </a:spcAft>
            <a:buNone/>
          </a:pPr>
          <a:r>
            <a:rPr lang="en-US" sz="1000" b="1" kern="1200"/>
            <a:t>SPARX (New Zealand)</a:t>
          </a:r>
          <a:r>
            <a:rPr lang="en-US" sz="1000" kern="1200"/>
            <a:t> – Improved engagement when human support included.</a:t>
          </a:r>
        </a:p>
      </dsp:txBody>
      <dsp:txXfrm>
        <a:off x="2096931" y="822397"/>
        <a:ext cx="1837760" cy="2094778"/>
      </dsp:txXfrm>
    </dsp:sp>
    <dsp:sp modelId="{B2922B41-A6B4-4168-BC77-8517E2DD5320}">
      <dsp:nvSpPr>
        <dsp:cNvPr id="0" name=""/>
        <dsp:cNvSpPr/>
      </dsp:nvSpPr>
      <dsp:spPr>
        <a:xfrm>
          <a:off x="4191978" y="314338"/>
          <a:ext cx="1837760" cy="50805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b="1" kern="1200"/>
            <a:t>Theme 3: Ethical, Regulatory and Clinical Integration Challenges</a:t>
          </a:r>
          <a:endParaRPr lang="en-US" sz="1000" kern="1200"/>
        </a:p>
      </dsp:txBody>
      <dsp:txXfrm>
        <a:off x="4191978" y="314338"/>
        <a:ext cx="1837760" cy="508059"/>
      </dsp:txXfrm>
    </dsp:sp>
    <dsp:sp modelId="{0433B580-6CBA-4F06-9610-B96349FBCCCE}">
      <dsp:nvSpPr>
        <dsp:cNvPr id="0" name=""/>
        <dsp:cNvSpPr/>
      </dsp:nvSpPr>
      <dsp:spPr>
        <a:xfrm>
          <a:off x="4191978" y="822397"/>
          <a:ext cx="1837760" cy="209477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None/>
          </a:pPr>
          <a:r>
            <a:rPr lang="en-US" sz="1000" b="1" kern="1200"/>
            <a:t>Huckvale et al. (2019)</a:t>
          </a:r>
          <a:r>
            <a:rPr lang="en-US" sz="1000" kern="1200"/>
            <a:t> – Widespread third-party data sharing.</a:t>
          </a:r>
        </a:p>
        <a:p>
          <a:pPr marL="57150" lvl="1" indent="-57150" algn="l" defTabSz="444500">
            <a:lnSpc>
              <a:spcPct val="90000"/>
            </a:lnSpc>
            <a:spcBef>
              <a:spcPct val="0"/>
            </a:spcBef>
            <a:spcAft>
              <a:spcPct val="15000"/>
            </a:spcAft>
            <a:buNone/>
          </a:pPr>
          <a:r>
            <a:rPr lang="en-US" sz="1000" b="1" kern="1200"/>
            <a:t>Tangari et al. (2021)</a:t>
          </a:r>
          <a:r>
            <a:rPr lang="en-US" sz="1000" kern="1200"/>
            <a:t> – Inconsistent privacy standards.</a:t>
          </a:r>
        </a:p>
        <a:p>
          <a:pPr marL="57150" lvl="1" indent="-57150" algn="l" defTabSz="444500">
            <a:lnSpc>
              <a:spcPct val="90000"/>
            </a:lnSpc>
            <a:spcBef>
              <a:spcPct val="0"/>
            </a:spcBef>
            <a:spcAft>
              <a:spcPct val="15000"/>
            </a:spcAft>
            <a:buNone/>
          </a:pPr>
          <a:r>
            <a:rPr lang="en-US" sz="1000" b="1" kern="1200"/>
            <a:t>Adverse events meta-analysis (2024)</a:t>
          </a:r>
          <a:r>
            <a:rPr lang="en-US" sz="1000" kern="1200"/>
            <a:t> – Under-reporting of harms.</a:t>
          </a:r>
        </a:p>
        <a:p>
          <a:pPr marL="57150" lvl="1" indent="-57150" algn="l" defTabSz="444500">
            <a:lnSpc>
              <a:spcPct val="90000"/>
            </a:lnSpc>
            <a:spcBef>
              <a:spcPct val="0"/>
            </a:spcBef>
            <a:spcAft>
              <a:spcPct val="15000"/>
            </a:spcAft>
            <a:buNone/>
          </a:pPr>
          <a:r>
            <a:rPr lang="en-US" sz="1000" b="1" kern="1200"/>
            <a:t>WHO (2020–2025) &amp; NHS DTAC</a:t>
          </a:r>
          <a:r>
            <a:rPr lang="en-US" sz="1000" kern="1200"/>
            <a:t> – Governance and safety frameworks.</a:t>
          </a:r>
        </a:p>
      </dsp:txBody>
      <dsp:txXfrm>
        <a:off x="4191978" y="822397"/>
        <a:ext cx="1837760" cy="2094778"/>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17138</Words>
  <Characters>97690</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 Begum</dc:creator>
  <cp:keywords/>
  <dc:description/>
  <cp:lastModifiedBy>salima Begum</cp:lastModifiedBy>
  <cp:revision>2</cp:revision>
  <dcterms:created xsi:type="dcterms:W3CDTF">2026-04-05T13:55:00Z</dcterms:created>
  <dcterms:modified xsi:type="dcterms:W3CDTF">2026-04-05T13:55:00Z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fd550834-ae9a-44d5-aa41-6bcfa31c474d</vt:lpwstr>
  </property>
</Properties>
</file>