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16DB9" w:rsidRPr="00BF7E7E" w:rsidRDefault="00671919" w:rsidP="00BF7E7E">
      <w:pPr>
        <w:jc w:val="center"/>
        <w:rPr>
          <w:b/>
          <w:color w:val="C0504D" w:themeColor="accent2"/>
          <w:sz w:val="32"/>
          <w:szCs w:val="32"/>
          <w:u w:val="single"/>
        </w:rPr>
      </w:pPr>
      <w:r>
        <w:rPr>
          <w:b/>
          <w:color w:val="C0504D" w:themeColor="accent2"/>
          <w:sz w:val="32"/>
          <w:szCs w:val="32"/>
          <w:u w:val="single"/>
        </w:rPr>
        <w:t>UNIT INTRODUCTION 3</w:t>
      </w:r>
    </w:p>
    <w:p w:rsidR="00BF7E7E" w:rsidRPr="00BF7E7E" w:rsidRDefault="00BF7E7E" w:rsidP="00BF7E7E">
      <w:pPr>
        <w:rPr>
          <w:color w:val="1F497D" w:themeColor="text2"/>
          <w:sz w:val="28"/>
          <w:szCs w:val="28"/>
          <w:u w:val="single"/>
        </w:rPr>
      </w:pPr>
      <w:r w:rsidRPr="00BF7E7E">
        <w:rPr>
          <w:color w:val="1F497D" w:themeColor="text2"/>
          <w:sz w:val="28"/>
          <w:szCs w:val="28"/>
          <w:u w:val="single"/>
        </w:rPr>
        <w:t>Aim:</w:t>
      </w:r>
    </w:p>
    <w:p w:rsidR="00BF7E7E" w:rsidRPr="00BF7E7E" w:rsidRDefault="00BF7E7E" w:rsidP="00BF7E7E">
      <w:pPr>
        <w:rPr>
          <w:color w:val="1F497D" w:themeColor="text2"/>
          <w:sz w:val="28"/>
          <w:szCs w:val="28"/>
        </w:rPr>
      </w:pPr>
      <w:r w:rsidRPr="00BF7E7E">
        <w:rPr>
          <w:color w:val="1F497D" w:themeColor="text2"/>
          <w:sz w:val="28"/>
          <w:szCs w:val="28"/>
        </w:rPr>
        <w:t xml:space="preserve">The aim of this unit is to give you a general overview of the </w:t>
      </w:r>
      <w:r w:rsidR="00671919">
        <w:rPr>
          <w:color w:val="1F497D" w:themeColor="text2"/>
          <w:sz w:val="28"/>
          <w:szCs w:val="28"/>
        </w:rPr>
        <w:t xml:space="preserve">Book of Joshua through to 2 Kings. </w:t>
      </w:r>
    </w:p>
    <w:p w:rsidR="00BF7E7E" w:rsidRPr="00BF7E7E" w:rsidRDefault="00BF7E7E" w:rsidP="00BF7E7E">
      <w:pPr>
        <w:rPr>
          <w:color w:val="1F497D" w:themeColor="text2"/>
          <w:sz w:val="28"/>
          <w:szCs w:val="28"/>
        </w:rPr>
      </w:pPr>
      <w:r w:rsidRPr="00BF7E7E">
        <w:rPr>
          <w:color w:val="1F497D" w:themeColor="text2"/>
          <w:sz w:val="28"/>
          <w:szCs w:val="28"/>
        </w:rPr>
        <w:t>Your reading is directed as follows:</w:t>
      </w:r>
    </w:p>
    <w:p w:rsidR="00BF7E7E" w:rsidRPr="00BF7E7E" w:rsidRDefault="00BF7E7E" w:rsidP="00BF7E7E">
      <w:pPr>
        <w:rPr>
          <w:color w:val="C0504D" w:themeColor="accent2"/>
          <w:sz w:val="28"/>
          <w:szCs w:val="28"/>
        </w:rPr>
      </w:pPr>
    </w:p>
    <w:p w:rsidR="00BF7E7E" w:rsidRPr="00BF7E7E" w:rsidRDefault="00BF7E7E" w:rsidP="00BF7E7E">
      <w:pPr>
        <w:rPr>
          <w:b/>
          <w:color w:val="1F497D" w:themeColor="text2"/>
          <w:sz w:val="28"/>
          <w:szCs w:val="28"/>
          <w:u w:val="single"/>
        </w:rPr>
      </w:pPr>
      <w:r w:rsidRPr="00BF7E7E">
        <w:rPr>
          <w:b/>
          <w:color w:val="1F497D" w:themeColor="text2"/>
          <w:sz w:val="28"/>
          <w:szCs w:val="28"/>
          <w:u w:val="single"/>
        </w:rPr>
        <w:t xml:space="preserve">General overview </w:t>
      </w:r>
    </w:p>
    <w:p w:rsidR="00671919" w:rsidRDefault="00671919" w:rsidP="003206C0">
      <w:pPr>
        <w:jc w:val="both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Scholars have long noted that the disparate stories and narratives contained in the large body of</w:t>
      </w:r>
      <w:r w:rsidR="00BB7CA8">
        <w:rPr>
          <w:color w:val="000000" w:themeColor="text1"/>
          <w:sz w:val="28"/>
          <w:szCs w:val="28"/>
        </w:rPr>
        <w:t xml:space="preserve"> material Joshua-2 Kings appear</w:t>
      </w:r>
      <w:r>
        <w:rPr>
          <w:color w:val="000000" w:themeColor="text1"/>
          <w:sz w:val="28"/>
          <w:szCs w:val="28"/>
        </w:rPr>
        <w:t xml:space="preserve"> to have been edited into </w:t>
      </w:r>
      <w:r w:rsidR="00BB7CA8">
        <w:rPr>
          <w:color w:val="000000" w:themeColor="text1"/>
          <w:sz w:val="28"/>
          <w:szCs w:val="28"/>
        </w:rPr>
        <w:t xml:space="preserve">the corpus’s </w:t>
      </w:r>
      <w:r>
        <w:rPr>
          <w:color w:val="000000" w:themeColor="text1"/>
          <w:sz w:val="28"/>
          <w:szCs w:val="28"/>
        </w:rPr>
        <w:t xml:space="preserve">final form with ideological motives in mind.....essentially to provide a theological explanation for the catastrophic fall of Jerusalem in 587 BCE.  Thus it is the final </w:t>
      </w:r>
      <w:r w:rsidRPr="00671919">
        <w:rPr>
          <w:i/>
          <w:color w:val="000000" w:themeColor="text1"/>
          <w:sz w:val="28"/>
          <w:szCs w:val="28"/>
        </w:rPr>
        <w:t xml:space="preserve">editing </w:t>
      </w:r>
      <w:r>
        <w:rPr>
          <w:color w:val="000000" w:themeColor="text1"/>
          <w:sz w:val="28"/>
          <w:szCs w:val="28"/>
        </w:rPr>
        <w:t xml:space="preserve">of this corpus of material that this unit is primarily interested in. The name given to this process is generally given the name </w:t>
      </w:r>
      <w:proofErr w:type="spellStart"/>
      <w:r w:rsidRPr="00671919">
        <w:rPr>
          <w:i/>
          <w:color w:val="000000" w:themeColor="text1"/>
          <w:sz w:val="28"/>
          <w:szCs w:val="28"/>
        </w:rPr>
        <w:t>Deuteronomistic</w:t>
      </w:r>
      <w:proofErr w:type="spellEnd"/>
      <w:r w:rsidRPr="00671919">
        <w:rPr>
          <w:i/>
          <w:color w:val="000000" w:themeColor="text1"/>
          <w:sz w:val="28"/>
          <w:szCs w:val="28"/>
        </w:rPr>
        <w:t xml:space="preserve"> History</w:t>
      </w:r>
      <w:r>
        <w:rPr>
          <w:color w:val="000000" w:themeColor="text1"/>
          <w:sz w:val="28"/>
          <w:szCs w:val="28"/>
        </w:rPr>
        <w:t xml:space="preserve"> </w:t>
      </w:r>
      <w:r w:rsidR="00440E45">
        <w:rPr>
          <w:color w:val="000000" w:themeColor="text1"/>
          <w:sz w:val="28"/>
          <w:szCs w:val="28"/>
        </w:rPr>
        <w:t xml:space="preserve">[DH] </w:t>
      </w:r>
      <w:r>
        <w:rPr>
          <w:color w:val="000000" w:themeColor="text1"/>
          <w:sz w:val="28"/>
          <w:szCs w:val="28"/>
        </w:rPr>
        <w:t xml:space="preserve">and the scribes responsible the </w:t>
      </w:r>
      <w:proofErr w:type="spellStart"/>
      <w:r w:rsidRPr="00671919">
        <w:rPr>
          <w:i/>
          <w:color w:val="000000" w:themeColor="text1"/>
          <w:sz w:val="28"/>
          <w:szCs w:val="28"/>
        </w:rPr>
        <w:t>Deuteronomistic</w:t>
      </w:r>
      <w:proofErr w:type="spellEnd"/>
      <w:r w:rsidRPr="00671919">
        <w:rPr>
          <w:i/>
          <w:color w:val="000000" w:themeColor="text1"/>
          <w:sz w:val="28"/>
          <w:szCs w:val="28"/>
        </w:rPr>
        <w:t xml:space="preserve"> Historian. </w:t>
      </w:r>
      <w:r w:rsidR="00071A99">
        <w:rPr>
          <w:i/>
          <w:color w:val="000000" w:themeColor="text1"/>
          <w:sz w:val="28"/>
          <w:szCs w:val="28"/>
        </w:rPr>
        <w:t xml:space="preserve"> </w:t>
      </w:r>
      <w:r w:rsidR="00092819">
        <w:rPr>
          <w:color w:val="000000" w:themeColor="text1"/>
          <w:sz w:val="28"/>
          <w:szCs w:val="28"/>
        </w:rPr>
        <w:t xml:space="preserve">The reason for the name is that scholars have long thought that the editorial activity in Joshua-2 Kings reflects the style and themes of the Book of Deuteronomy. </w:t>
      </w:r>
      <w:r w:rsidR="00440E45">
        <w:rPr>
          <w:color w:val="000000" w:themeColor="text1"/>
          <w:sz w:val="28"/>
          <w:szCs w:val="28"/>
        </w:rPr>
        <w:t xml:space="preserve">There is a very fine introduction to DH in </w:t>
      </w:r>
      <w:r w:rsidR="00440E45" w:rsidRPr="00440E45">
        <w:rPr>
          <w:b/>
          <w:color w:val="808080" w:themeColor="background1" w:themeShade="80"/>
          <w:sz w:val="28"/>
          <w:szCs w:val="28"/>
        </w:rPr>
        <w:t>chapter 20 of the Blackwell Companion to the Hebrew Bible</w:t>
      </w:r>
      <w:r w:rsidR="00440E45">
        <w:rPr>
          <w:color w:val="000000" w:themeColor="text1"/>
          <w:sz w:val="28"/>
          <w:szCs w:val="28"/>
        </w:rPr>
        <w:t xml:space="preserve"> and this is where you should begin your reading. </w:t>
      </w:r>
      <w:r w:rsidR="00071A99">
        <w:rPr>
          <w:color w:val="000000" w:themeColor="text1"/>
          <w:sz w:val="28"/>
          <w:szCs w:val="28"/>
        </w:rPr>
        <w:t xml:space="preserve">You will </w:t>
      </w:r>
      <w:r w:rsidR="00440E45">
        <w:rPr>
          <w:color w:val="000000" w:themeColor="text1"/>
          <w:sz w:val="28"/>
          <w:szCs w:val="28"/>
        </w:rPr>
        <w:t xml:space="preserve">also </w:t>
      </w:r>
      <w:r w:rsidR="00071A99">
        <w:rPr>
          <w:color w:val="000000" w:themeColor="text1"/>
          <w:sz w:val="28"/>
          <w:szCs w:val="28"/>
        </w:rPr>
        <w:t xml:space="preserve">find a useful description in </w:t>
      </w:r>
      <w:proofErr w:type="spellStart"/>
      <w:r w:rsidR="00071A99" w:rsidRPr="00071A99">
        <w:rPr>
          <w:b/>
          <w:color w:val="808080" w:themeColor="background1" w:themeShade="80"/>
          <w:sz w:val="28"/>
          <w:szCs w:val="28"/>
        </w:rPr>
        <w:t>Knoppers</w:t>
      </w:r>
      <w:proofErr w:type="spellEnd"/>
      <w:r w:rsidR="00071A99" w:rsidRPr="00071A99">
        <w:rPr>
          <w:b/>
          <w:color w:val="808080" w:themeColor="background1" w:themeShade="80"/>
          <w:sz w:val="28"/>
          <w:szCs w:val="28"/>
        </w:rPr>
        <w:t xml:space="preserve"> (</w:t>
      </w:r>
      <w:r w:rsidR="00071A99" w:rsidRPr="00071A99">
        <w:rPr>
          <w:b/>
          <w:i/>
          <w:color w:val="808080" w:themeColor="background1" w:themeShade="80"/>
          <w:sz w:val="28"/>
          <w:szCs w:val="28"/>
        </w:rPr>
        <w:t xml:space="preserve">The </w:t>
      </w:r>
      <w:proofErr w:type="spellStart"/>
      <w:r w:rsidR="00071A99" w:rsidRPr="00071A99">
        <w:rPr>
          <w:b/>
          <w:i/>
          <w:color w:val="808080" w:themeColor="background1" w:themeShade="80"/>
          <w:sz w:val="28"/>
          <w:szCs w:val="28"/>
        </w:rPr>
        <w:t>Deuteronomistic</w:t>
      </w:r>
      <w:proofErr w:type="spellEnd"/>
      <w:r w:rsidR="00071A99" w:rsidRPr="00071A99">
        <w:rPr>
          <w:b/>
          <w:i/>
          <w:color w:val="808080" w:themeColor="background1" w:themeShade="80"/>
          <w:sz w:val="28"/>
          <w:szCs w:val="28"/>
        </w:rPr>
        <w:t xml:space="preserve"> History</w:t>
      </w:r>
      <w:r w:rsidR="00071A99" w:rsidRPr="00071A99">
        <w:rPr>
          <w:b/>
          <w:color w:val="808080" w:themeColor="background1" w:themeShade="80"/>
          <w:sz w:val="28"/>
          <w:szCs w:val="28"/>
        </w:rPr>
        <w:t>).</w:t>
      </w:r>
      <w:r w:rsidR="006612C5">
        <w:rPr>
          <w:b/>
          <w:color w:val="808080" w:themeColor="background1" w:themeShade="80"/>
          <w:sz w:val="28"/>
          <w:szCs w:val="28"/>
        </w:rPr>
        <w:t xml:space="preserve"> </w:t>
      </w:r>
      <w:r w:rsidR="006612C5" w:rsidRPr="00092819">
        <w:rPr>
          <w:color w:val="000000" w:themeColor="text1"/>
          <w:sz w:val="28"/>
          <w:szCs w:val="28"/>
        </w:rPr>
        <w:t>Since this article presupposes that you are familiar with the themes and theological preoccupations of the Book of Deuteronomy, you may wan</w:t>
      </w:r>
      <w:r w:rsidR="001D4C73" w:rsidRPr="00092819">
        <w:rPr>
          <w:color w:val="000000" w:themeColor="text1"/>
          <w:sz w:val="28"/>
          <w:szCs w:val="28"/>
        </w:rPr>
        <w:t>t to browse through</w:t>
      </w:r>
      <w:r w:rsidR="001D4C73">
        <w:rPr>
          <w:b/>
          <w:color w:val="808080" w:themeColor="background1" w:themeShade="80"/>
          <w:sz w:val="28"/>
          <w:szCs w:val="28"/>
        </w:rPr>
        <w:t xml:space="preserve"> </w:t>
      </w:r>
      <w:r w:rsidR="001D4C73" w:rsidRPr="00092819">
        <w:rPr>
          <w:b/>
          <w:color w:val="808080" w:themeColor="background1" w:themeShade="80"/>
          <w:sz w:val="28"/>
          <w:szCs w:val="28"/>
        </w:rPr>
        <w:t xml:space="preserve">Collins’s commentary on </w:t>
      </w:r>
      <w:r w:rsidR="001D4C73" w:rsidRPr="00092819">
        <w:rPr>
          <w:b/>
          <w:i/>
          <w:color w:val="808080" w:themeColor="background1" w:themeShade="80"/>
          <w:sz w:val="28"/>
          <w:szCs w:val="28"/>
        </w:rPr>
        <w:t>Deuteronomy</w:t>
      </w:r>
      <w:r w:rsidR="00092819">
        <w:rPr>
          <w:b/>
          <w:i/>
          <w:color w:val="808080" w:themeColor="background1" w:themeShade="80"/>
          <w:sz w:val="28"/>
          <w:szCs w:val="28"/>
        </w:rPr>
        <w:t xml:space="preserve"> </w:t>
      </w:r>
      <w:r w:rsidR="00092819" w:rsidRPr="003E155C">
        <w:rPr>
          <w:color w:val="000000" w:themeColor="text1"/>
          <w:sz w:val="28"/>
          <w:szCs w:val="28"/>
        </w:rPr>
        <w:t xml:space="preserve">in order to try to identify some similarities especially in style. </w:t>
      </w:r>
    </w:p>
    <w:p w:rsidR="000C4C9E" w:rsidRDefault="000C4C9E" w:rsidP="003206C0">
      <w:pPr>
        <w:jc w:val="both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On a more general note, you should find the classic work by </w:t>
      </w:r>
      <w:r w:rsidRPr="000C4C9E">
        <w:rPr>
          <w:b/>
          <w:color w:val="808080" w:themeColor="background1" w:themeShade="80"/>
          <w:sz w:val="28"/>
          <w:szCs w:val="28"/>
        </w:rPr>
        <w:t xml:space="preserve">John Barton on </w:t>
      </w:r>
      <w:r w:rsidRPr="000C4C9E">
        <w:rPr>
          <w:b/>
          <w:i/>
          <w:color w:val="808080" w:themeColor="background1" w:themeShade="80"/>
          <w:sz w:val="28"/>
          <w:szCs w:val="28"/>
        </w:rPr>
        <w:t>Old Testament Theology</w:t>
      </w:r>
      <w:r>
        <w:rPr>
          <w:color w:val="000000" w:themeColor="text1"/>
          <w:sz w:val="28"/>
          <w:szCs w:val="28"/>
        </w:rPr>
        <w:t xml:space="preserve"> illuminating regarding the theological agenda of the Hebrew Bible authors in general</w:t>
      </w:r>
      <w:r w:rsidR="00BB7CA8">
        <w:rPr>
          <w:color w:val="000000" w:themeColor="text1"/>
          <w:sz w:val="28"/>
          <w:szCs w:val="28"/>
        </w:rPr>
        <w:t>.</w:t>
      </w:r>
    </w:p>
    <w:p w:rsidR="003E155C" w:rsidRDefault="003E155C" w:rsidP="00BF7E7E">
      <w:pPr>
        <w:rPr>
          <w:color w:val="000000" w:themeColor="text1"/>
          <w:sz w:val="28"/>
          <w:szCs w:val="28"/>
        </w:rPr>
      </w:pPr>
    </w:p>
    <w:p w:rsidR="003E155C" w:rsidRDefault="003E155C" w:rsidP="00BF7E7E">
      <w:pPr>
        <w:rPr>
          <w:b/>
          <w:color w:val="1F497D" w:themeColor="text2"/>
          <w:sz w:val="28"/>
          <w:szCs w:val="28"/>
          <w:u w:val="single"/>
        </w:rPr>
      </w:pPr>
      <w:r w:rsidRPr="003E155C">
        <w:rPr>
          <w:b/>
          <w:color w:val="1F497D" w:themeColor="text2"/>
          <w:sz w:val="28"/>
          <w:szCs w:val="28"/>
          <w:u w:val="single"/>
        </w:rPr>
        <w:t>Specific Reading</w:t>
      </w:r>
    </w:p>
    <w:p w:rsidR="003E155C" w:rsidRPr="00BB7CA8" w:rsidRDefault="003E155C" w:rsidP="003E155C">
      <w:pPr>
        <w:jc w:val="both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One of the most colourful and interesting stories found in Joshua-2 Kings is of course the long narrative of King David. It is </w:t>
      </w:r>
      <w:r w:rsidR="00BB7CA8">
        <w:rPr>
          <w:color w:val="000000" w:themeColor="text1"/>
          <w:sz w:val="28"/>
          <w:szCs w:val="28"/>
        </w:rPr>
        <w:t xml:space="preserve">interesting </w:t>
      </w:r>
      <w:r>
        <w:rPr>
          <w:color w:val="000000" w:themeColor="text1"/>
          <w:sz w:val="28"/>
          <w:szCs w:val="28"/>
        </w:rPr>
        <w:t>to read through one aspect of his life to see how his story has been edited and his life and actions assessed in the light o</w:t>
      </w:r>
      <w:r w:rsidR="00BB7CA8">
        <w:rPr>
          <w:color w:val="000000" w:themeColor="text1"/>
          <w:sz w:val="28"/>
          <w:szCs w:val="28"/>
        </w:rPr>
        <w:t xml:space="preserve">f the </w:t>
      </w:r>
      <w:proofErr w:type="spellStart"/>
      <w:r w:rsidR="00BB7CA8">
        <w:rPr>
          <w:color w:val="000000" w:themeColor="text1"/>
          <w:sz w:val="28"/>
          <w:szCs w:val="28"/>
        </w:rPr>
        <w:t>Deuteronomistic</w:t>
      </w:r>
      <w:proofErr w:type="spellEnd"/>
      <w:r w:rsidR="00BB7CA8">
        <w:rPr>
          <w:color w:val="000000" w:themeColor="text1"/>
          <w:sz w:val="28"/>
          <w:szCs w:val="28"/>
        </w:rPr>
        <w:t xml:space="preserve"> redaction - i</w:t>
      </w:r>
      <w:r w:rsidR="003206C0">
        <w:rPr>
          <w:color w:val="000000" w:themeColor="text1"/>
          <w:sz w:val="28"/>
          <w:szCs w:val="28"/>
        </w:rPr>
        <w:t>n particular, the so-</w:t>
      </w:r>
      <w:r w:rsidR="003206C0">
        <w:rPr>
          <w:color w:val="000000" w:themeColor="text1"/>
          <w:sz w:val="28"/>
          <w:szCs w:val="28"/>
        </w:rPr>
        <w:lastRenderedPageBreak/>
        <w:t xml:space="preserve">called </w:t>
      </w:r>
      <w:r w:rsidR="003206C0" w:rsidRPr="003206C0">
        <w:rPr>
          <w:i/>
          <w:color w:val="000000" w:themeColor="text1"/>
          <w:sz w:val="28"/>
          <w:szCs w:val="28"/>
        </w:rPr>
        <w:t>Succession Narrative</w:t>
      </w:r>
      <w:r w:rsidR="003206C0">
        <w:rPr>
          <w:color w:val="000000" w:themeColor="text1"/>
          <w:sz w:val="28"/>
          <w:szCs w:val="28"/>
        </w:rPr>
        <w:t xml:space="preserve"> which not only portrays David’s final years but also deals with the question as to who will succeed him on the throne </w:t>
      </w:r>
      <w:r w:rsidR="003206C0" w:rsidRPr="003206C0">
        <w:rPr>
          <w:b/>
          <w:color w:val="808080" w:themeColor="background1" w:themeShade="80"/>
          <w:sz w:val="28"/>
          <w:szCs w:val="28"/>
        </w:rPr>
        <w:t>(2 Samuel 11</w:t>
      </w:r>
      <w:r w:rsidR="00BB7CA8">
        <w:rPr>
          <w:b/>
          <w:color w:val="808080" w:themeColor="background1" w:themeShade="80"/>
          <w:sz w:val="28"/>
          <w:szCs w:val="28"/>
        </w:rPr>
        <w:t xml:space="preserve"> </w:t>
      </w:r>
      <w:r w:rsidR="003206C0" w:rsidRPr="003206C0">
        <w:rPr>
          <w:b/>
          <w:color w:val="808080" w:themeColor="background1" w:themeShade="80"/>
          <w:sz w:val="28"/>
          <w:szCs w:val="28"/>
        </w:rPr>
        <w:t>-</w:t>
      </w:r>
      <w:r w:rsidR="00BB7CA8">
        <w:rPr>
          <w:b/>
          <w:color w:val="808080" w:themeColor="background1" w:themeShade="80"/>
          <w:sz w:val="28"/>
          <w:szCs w:val="28"/>
        </w:rPr>
        <w:t xml:space="preserve"> </w:t>
      </w:r>
      <w:r w:rsidR="003206C0" w:rsidRPr="003206C0">
        <w:rPr>
          <w:b/>
          <w:color w:val="808080" w:themeColor="background1" w:themeShade="80"/>
          <w:sz w:val="28"/>
          <w:szCs w:val="28"/>
        </w:rPr>
        <w:t xml:space="preserve">1 Kings 2). </w:t>
      </w:r>
      <w:r w:rsidR="003206C0" w:rsidRPr="000C4C9E">
        <w:rPr>
          <w:color w:val="000000" w:themeColor="text1"/>
          <w:sz w:val="28"/>
          <w:szCs w:val="28"/>
        </w:rPr>
        <w:t>If you have not done so already, you will find it a hugely rewarding experience to read through this entire section – perhaps also searching for some additional reading material from the sources listed at beginning of this module.</w:t>
      </w:r>
      <w:r w:rsidR="000C4C9E">
        <w:rPr>
          <w:color w:val="000000" w:themeColor="text1"/>
          <w:sz w:val="28"/>
          <w:szCs w:val="28"/>
        </w:rPr>
        <w:t xml:space="preserve"> You will find initial reading material about the Succession Narrative in </w:t>
      </w:r>
      <w:r w:rsidR="000C4C9E" w:rsidRPr="000C4C9E">
        <w:rPr>
          <w:b/>
          <w:color w:val="808080" w:themeColor="background1" w:themeShade="80"/>
          <w:sz w:val="28"/>
          <w:szCs w:val="28"/>
        </w:rPr>
        <w:t xml:space="preserve">Jerome Walsh’s chapter ‘Who will succeed David to the Throne?’ in his commentary </w:t>
      </w:r>
      <w:r w:rsidR="000C4C9E" w:rsidRPr="000C4C9E">
        <w:rPr>
          <w:b/>
          <w:i/>
          <w:color w:val="808080" w:themeColor="background1" w:themeShade="80"/>
          <w:sz w:val="28"/>
          <w:szCs w:val="28"/>
        </w:rPr>
        <w:t>1-2 Kings</w:t>
      </w:r>
      <w:r w:rsidR="000C4C9E">
        <w:rPr>
          <w:color w:val="000000" w:themeColor="text1"/>
          <w:sz w:val="28"/>
          <w:szCs w:val="28"/>
        </w:rPr>
        <w:t xml:space="preserve"> (linked to this unit). A very readable book on how the character of David is presented in relation to Saul is </w:t>
      </w:r>
      <w:proofErr w:type="spellStart"/>
      <w:r w:rsidR="000C4C9E" w:rsidRPr="000C4C9E">
        <w:rPr>
          <w:b/>
          <w:color w:val="808080" w:themeColor="background1" w:themeShade="80"/>
          <w:sz w:val="28"/>
          <w:szCs w:val="28"/>
        </w:rPr>
        <w:t>P.Borgman</w:t>
      </w:r>
      <w:proofErr w:type="spellEnd"/>
      <w:r w:rsidR="000C4C9E" w:rsidRPr="000C4C9E">
        <w:rPr>
          <w:b/>
          <w:color w:val="808080" w:themeColor="background1" w:themeShade="80"/>
          <w:sz w:val="28"/>
          <w:szCs w:val="28"/>
        </w:rPr>
        <w:t xml:space="preserve"> (</w:t>
      </w:r>
      <w:r w:rsidR="000C4C9E" w:rsidRPr="000C4C9E">
        <w:rPr>
          <w:b/>
          <w:i/>
          <w:color w:val="808080" w:themeColor="background1" w:themeShade="80"/>
          <w:sz w:val="28"/>
          <w:szCs w:val="28"/>
        </w:rPr>
        <w:t>David, Saul and God</w:t>
      </w:r>
      <w:r w:rsidR="000C4C9E" w:rsidRPr="000C4C9E">
        <w:rPr>
          <w:b/>
          <w:color w:val="808080" w:themeColor="background1" w:themeShade="80"/>
          <w:sz w:val="28"/>
          <w:szCs w:val="28"/>
        </w:rPr>
        <w:t>).</w:t>
      </w:r>
      <w:r w:rsidR="000C4C9E">
        <w:rPr>
          <w:b/>
          <w:color w:val="808080" w:themeColor="background1" w:themeShade="80"/>
          <w:sz w:val="28"/>
          <w:szCs w:val="28"/>
        </w:rPr>
        <w:t xml:space="preserve"> </w:t>
      </w:r>
      <w:r w:rsidR="000C4C9E" w:rsidRPr="000C4C9E">
        <w:rPr>
          <w:sz w:val="28"/>
          <w:szCs w:val="28"/>
        </w:rPr>
        <w:t>Finally you will find the excerpt from</w:t>
      </w:r>
      <w:r w:rsidR="000C4C9E">
        <w:rPr>
          <w:b/>
          <w:color w:val="808080" w:themeColor="background1" w:themeShade="80"/>
          <w:sz w:val="28"/>
          <w:szCs w:val="28"/>
        </w:rPr>
        <w:t xml:space="preserve"> </w:t>
      </w:r>
      <w:proofErr w:type="spellStart"/>
      <w:r w:rsidR="000C4C9E">
        <w:rPr>
          <w:b/>
          <w:color w:val="808080" w:themeColor="background1" w:themeShade="80"/>
          <w:sz w:val="28"/>
          <w:szCs w:val="28"/>
        </w:rPr>
        <w:t>Provan’s</w:t>
      </w:r>
      <w:proofErr w:type="spellEnd"/>
      <w:r w:rsidR="000C4C9E">
        <w:rPr>
          <w:b/>
          <w:color w:val="808080" w:themeColor="background1" w:themeShade="80"/>
          <w:sz w:val="28"/>
          <w:szCs w:val="28"/>
        </w:rPr>
        <w:t xml:space="preserve"> </w:t>
      </w:r>
      <w:r w:rsidR="000C4C9E" w:rsidRPr="000C4C9E">
        <w:rPr>
          <w:b/>
          <w:i/>
          <w:color w:val="808080" w:themeColor="background1" w:themeShade="80"/>
          <w:sz w:val="28"/>
          <w:szCs w:val="28"/>
        </w:rPr>
        <w:t xml:space="preserve">Book </w:t>
      </w:r>
      <w:proofErr w:type="gramStart"/>
      <w:r w:rsidR="000C4C9E" w:rsidRPr="000C4C9E">
        <w:rPr>
          <w:b/>
          <w:i/>
          <w:color w:val="808080" w:themeColor="background1" w:themeShade="80"/>
          <w:sz w:val="28"/>
          <w:szCs w:val="28"/>
        </w:rPr>
        <w:t>of  Kings</w:t>
      </w:r>
      <w:proofErr w:type="gramEnd"/>
      <w:r w:rsidR="000C4C9E">
        <w:rPr>
          <w:b/>
          <w:color w:val="808080" w:themeColor="background1" w:themeShade="80"/>
          <w:sz w:val="28"/>
          <w:szCs w:val="28"/>
        </w:rPr>
        <w:t xml:space="preserve"> </w:t>
      </w:r>
      <w:r w:rsidR="000C4C9E" w:rsidRPr="00BB7CA8">
        <w:rPr>
          <w:color w:val="000000" w:themeColor="text1"/>
          <w:sz w:val="28"/>
          <w:szCs w:val="28"/>
        </w:rPr>
        <w:t>very illuminating about the editorial arrangement of the book.</w:t>
      </w:r>
    </w:p>
    <w:p w:rsidR="00071A99" w:rsidRPr="00BB7CA8" w:rsidRDefault="00BB7CA8" w:rsidP="00BB7CA8">
      <w:pPr>
        <w:jc w:val="both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So, in this unit, the most important reading is the primary biblical text </w:t>
      </w:r>
      <w:r w:rsidRPr="00BB7CA8">
        <w:rPr>
          <w:b/>
          <w:color w:val="808080" w:themeColor="background1" w:themeShade="80"/>
          <w:sz w:val="28"/>
          <w:szCs w:val="28"/>
        </w:rPr>
        <w:t xml:space="preserve">2 Samuel 11 – 1 Kings </w:t>
      </w:r>
      <w:proofErr w:type="gramStart"/>
      <w:r w:rsidRPr="00BB7CA8">
        <w:rPr>
          <w:b/>
          <w:color w:val="808080" w:themeColor="background1" w:themeShade="80"/>
          <w:sz w:val="28"/>
          <w:szCs w:val="28"/>
        </w:rPr>
        <w:t xml:space="preserve">2 </w:t>
      </w:r>
      <w:r>
        <w:rPr>
          <w:b/>
          <w:color w:val="808080" w:themeColor="background1" w:themeShade="80"/>
          <w:sz w:val="28"/>
          <w:szCs w:val="28"/>
        </w:rPr>
        <w:t>,</w:t>
      </w:r>
      <w:proofErr w:type="gramEnd"/>
      <w:r>
        <w:rPr>
          <w:b/>
          <w:color w:val="808080" w:themeColor="background1" w:themeShade="80"/>
          <w:sz w:val="28"/>
          <w:szCs w:val="28"/>
        </w:rPr>
        <w:t xml:space="preserve"> </w:t>
      </w:r>
      <w:r w:rsidRPr="00BB7CA8">
        <w:rPr>
          <w:color w:val="000000" w:themeColor="text1"/>
          <w:sz w:val="28"/>
          <w:szCs w:val="28"/>
        </w:rPr>
        <w:t>reading it</w:t>
      </w:r>
      <w:r>
        <w:rPr>
          <w:b/>
          <w:color w:val="000000" w:themeColor="text1"/>
          <w:sz w:val="28"/>
          <w:szCs w:val="28"/>
        </w:rPr>
        <w:t xml:space="preserve"> </w:t>
      </w:r>
      <w:r w:rsidRPr="00BB7CA8">
        <w:rPr>
          <w:color w:val="000000" w:themeColor="text1"/>
          <w:sz w:val="28"/>
          <w:szCs w:val="28"/>
        </w:rPr>
        <w:t>from the point of view of</w:t>
      </w:r>
      <w:r>
        <w:rPr>
          <w:b/>
          <w:color w:val="000000" w:themeColor="text1"/>
          <w:sz w:val="28"/>
          <w:szCs w:val="28"/>
        </w:rPr>
        <w:t xml:space="preserve"> </w:t>
      </w:r>
      <w:r>
        <w:rPr>
          <w:color w:val="000000" w:themeColor="text1"/>
          <w:sz w:val="28"/>
          <w:szCs w:val="28"/>
        </w:rPr>
        <w:t>how the lives and actions</w:t>
      </w:r>
      <w:r w:rsidRPr="00BB7CA8">
        <w:rPr>
          <w:color w:val="000000" w:themeColor="text1"/>
          <w:sz w:val="28"/>
          <w:szCs w:val="28"/>
        </w:rPr>
        <w:t xml:space="preserve"> of David and his sons (potential future kings) are assessed and evaluated in the light of </w:t>
      </w:r>
      <w:proofErr w:type="spellStart"/>
      <w:r w:rsidRPr="00BB7CA8">
        <w:rPr>
          <w:color w:val="000000" w:themeColor="text1"/>
          <w:sz w:val="28"/>
          <w:szCs w:val="28"/>
        </w:rPr>
        <w:t>Deuteronomistic</w:t>
      </w:r>
      <w:proofErr w:type="spellEnd"/>
      <w:r w:rsidRPr="00BB7CA8">
        <w:rPr>
          <w:color w:val="000000" w:themeColor="text1"/>
          <w:sz w:val="28"/>
          <w:szCs w:val="28"/>
        </w:rPr>
        <w:t xml:space="preserve"> theology.</w:t>
      </w:r>
    </w:p>
    <w:sectPr w:rsidR="00071A99" w:rsidRPr="00BB7CA8" w:rsidSect="00616D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0A338FE"/>
    <w:multiLevelType w:val="hybridMultilevel"/>
    <w:tmpl w:val="66264C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5A425AE"/>
    <w:multiLevelType w:val="multilevel"/>
    <w:tmpl w:val="8BA6D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655D62F9"/>
    <w:multiLevelType w:val="multilevel"/>
    <w:tmpl w:val="FC68D0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68572F48"/>
    <w:multiLevelType w:val="multilevel"/>
    <w:tmpl w:val="3EA6F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defaultTabStop w:val="720"/>
  <w:characterSpacingControl w:val="doNotCompress"/>
  <w:compat/>
  <w:rsids>
    <w:rsidRoot w:val="00BF7E7E"/>
    <w:rsid w:val="00071A99"/>
    <w:rsid w:val="00092819"/>
    <w:rsid w:val="000C1D41"/>
    <w:rsid w:val="000C4C9E"/>
    <w:rsid w:val="000F2814"/>
    <w:rsid w:val="001168D4"/>
    <w:rsid w:val="001A1574"/>
    <w:rsid w:val="001B26BF"/>
    <w:rsid w:val="001D4C73"/>
    <w:rsid w:val="003206C0"/>
    <w:rsid w:val="003E155C"/>
    <w:rsid w:val="00440E45"/>
    <w:rsid w:val="00616DB9"/>
    <w:rsid w:val="006612C5"/>
    <w:rsid w:val="00671919"/>
    <w:rsid w:val="007E3FAE"/>
    <w:rsid w:val="0086641E"/>
    <w:rsid w:val="009C5200"/>
    <w:rsid w:val="00A153CC"/>
    <w:rsid w:val="00BB7CA8"/>
    <w:rsid w:val="00BF7E7E"/>
    <w:rsid w:val="00D3788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6D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7E7E"/>
    <w:rPr>
      <w:rFonts w:ascii="Verdana" w:hAnsi="Verdana" w:hint="default"/>
      <w:b/>
      <w:bCs/>
      <w:strike w:val="0"/>
      <w:dstrike w:val="0"/>
      <w:color w:val="003366"/>
      <w:sz w:val="24"/>
      <w:szCs w:val="24"/>
      <w:u w:val="none"/>
      <w:effect w:val="none"/>
    </w:rPr>
  </w:style>
  <w:style w:type="character" w:customStyle="1" w:styleId="accesshide1">
    <w:name w:val="accesshide1"/>
    <w:basedOn w:val="DefaultParagraphFont"/>
    <w:rsid w:val="00BF7E7E"/>
    <w:rPr>
      <w:b w:val="0"/>
      <w:bCs w:val="0"/>
      <w:sz w:val="24"/>
      <w:szCs w:val="24"/>
    </w:rPr>
  </w:style>
  <w:style w:type="character" w:customStyle="1" w:styleId="commands13">
    <w:name w:val="commands13"/>
    <w:basedOn w:val="DefaultParagraphFont"/>
    <w:rsid w:val="00BF7E7E"/>
  </w:style>
  <w:style w:type="paragraph" w:styleId="BalloonText">
    <w:name w:val="Balloon Text"/>
    <w:basedOn w:val="Normal"/>
    <w:link w:val="BalloonTextChar"/>
    <w:uiPriority w:val="99"/>
    <w:semiHidden/>
    <w:unhideWhenUsed/>
    <w:rsid w:val="00BF7E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7E7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F7E7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2</Pages>
  <Words>453</Words>
  <Characters>2585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8</cp:revision>
  <dcterms:created xsi:type="dcterms:W3CDTF">2012-09-19T12:47:00Z</dcterms:created>
  <dcterms:modified xsi:type="dcterms:W3CDTF">2012-09-19T15:00:00Z</dcterms:modified>
</cp:coreProperties>
</file>