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73C10" w14:textId="1CEAE004" w:rsidR="00EC3678" w:rsidRPr="00D87324" w:rsidRDefault="00EC3678" w:rsidP="005D4558">
      <w:pPr>
        <w:spacing w:line="360" w:lineRule="auto"/>
        <w:jc w:val="center"/>
        <w:rPr>
          <w:rFonts w:ascii="Arial" w:hAnsi="Arial" w:cs="Arial"/>
          <w:b/>
          <w:bCs/>
          <w:sz w:val="24"/>
          <w:szCs w:val="24"/>
          <w:u w:val="single"/>
        </w:rPr>
      </w:pPr>
      <w:r w:rsidRPr="00D87324">
        <w:rPr>
          <w:rFonts w:ascii="Arial" w:hAnsi="Arial" w:cs="Arial"/>
          <w:b/>
          <w:bCs/>
          <w:sz w:val="24"/>
          <w:szCs w:val="24"/>
          <w:u w:val="single"/>
        </w:rPr>
        <w:t>Examine the concept of dishonesty and the role it plays in relation to offences of theft in the UK.</w:t>
      </w:r>
    </w:p>
    <w:p w14:paraId="08B4C128" w14:textId="77777777" w:rsidR="00EC3678" w:rsidRDefault="00EC3678" w:rsidP="005D4558">
      <w:pPr>
        <w:spacing w:line="360" w:lineRule="auto"/>
        <w:rPr>
          <w:rFonts w:ascii="Arial" w:hAnsi="Arial" w:cs="Arial"/>
          <w:b/>
          <w:bCs/>
          <w:sz w:val="24"/>
          <w:szCs w:val="24"/>
        </w:rPr>
      </w:pPr>
    </w:p>
    <w:p w14:paraId="4F32067C" w14:textId="6A7ED1A7" w:rsidR="00D87324" w:rsidRDefault="00EC3678" w:rsidP="005D4558">
      <w:pPr>
        <w:spacing w:line="360" w:lineRule="auto"/>
        <w:jc w:val="both"/>
        <w:rPr>
          <w:rFonts w:ascii="Arial" w:hAnsi="Arial" w:cs="Arial"/>
          <w:sz w:val="24"/>
          <w:szCs w:val="24"/>
        </w:rPr>
      </w:pPr>
      <w:r>
        <w:rPr>
          <w:rFonts w:ascii="Arial" w:hAnsi="Arial" w:cs="Arial"/>
          <w:sz w:val="24"/>
          <w:szCs w:val="24"/>
        </w:rPr>
        <w:t>The following assignment will examine dishonesty as a concept using</w:t>
      </w:r>
      <w:r w:rsidR="00BC116F">
        <w:rPr>
          <w:rFonts w:ascii="Arial" w:hAnsi="Arial" w:cs="Arial"/>
          <w:sz w:val="24"/>
          <w:szCs w:val="24"/>
        </w:rPr>
        <w:t xml:space="preserve"> case</w:t>
      </w:r>
      <w:r>
        <w:rPr>
          <w:rFonts w:ascii="Arial" w:hAnsi="Arial" w:cs="Arial"/>
          <w:sz w:val="24"/>
          <w:szCs w:val="24"/>
        </w:rPr>
        <w:t xml:space="preserve"> studies </w:t>
      </w:r>
      <w:r w:rsidR="00D87324">
        <w:rPr>
          <w:rFonts w:ascii="Arial" w:hAnsi="Arial" w:cs="Arial"/>
          <w:sz w:val="24"/>
          <w:szCs w:val="24"/>
        </w:rPr>
        <w:t xml:space="preserve">to </w:t>
      </w:r>
      <w:r>
        <w:rPr>
          <w:rFonts w:ascii="Arial" w:hAnsi="Arial" w:cs="Arial"/>
          <w:sz w:val="24"/>
          <w:szCs w:val="24"/>
        </w:rPr>
        <w:t xml:space="preserve">outline the role it plays in relation to </w:t>
      </w:r>
      <w:r w:rsidR="00BC116F">
        <w:rPr>
          <w:rFonts w:ascii="Arial" w:hAnsi="Arial" w:cs="Arial"/>
          <w:sz w:val="24"/>
          <w:szCs w:val="24"/>
        </w:rPr>
        <w:t xml:space="preserve">the </w:t>
      </w:r>
      <w:r>
        <w:rPr>
          <w:rFonts w:ascii="Arial" w:hAnsi="Arial" w:cs="Arial"/>
          <w:sz w:val="24"/>
          <w:szCs w:val="24"/>
        </w:rPr>
        <w:t>offence</w:t>
      </w:r>
      <w:r w:rsidR="00BC116F">
        <w:rPr>
          <w:rFonts w:ascii="Arial" w:hAnsi="Arial" w:cs="Arial"/>
          <w:sz w:val="24"/>
          <w:szCs w:val="24"/>
        </w:rPr>
        <w:t xml:space="preserve"> </w:t>
      </w:r>
      <w:r>
        <w:rPr>
          <w:rFonts w:ascii="Arial" w:hAnsi="Arial" w:cs="Arial"/>
          <w:sz w:val="24"/>
          <w:szCs w:val="24"/>
        </w:rPr>
        <w:t>of theft in the United Kingdom (UK).</w:t>
      </w:r>
      <w:r w:rsidR="00D87324">
        <w:rPr>
          <w:rFonts w:ascii="Arial" w:hAnsi="Arial" w:cs="Arial"/>
          <w:sz w:val="24"/>
          <w:szCs w:val="24"/>
        </w:rPr>
        <w:t xml:space="preserve"> </w:t>
      </w:r>
      <w:r>
        <w:rPr>
          <w:rFonts w:ascii="Arial" w:hAnsi="Arial" w:cs="Arial"/>
          <w:sz w:val="24"/>
          <w:szCs w:val="24"/>
        </w:rPr>
        <w:t xml:space="preserve"> </w:t>
      </w:r>
      <w:r w:rsidR="00D87324" w:rsidRPr="00D87324">
        <w:rPr>
          <w:rFonts w:ascii="Arial" w:hAnsi="Arial" w:cs="Arial"/>
          <w:sz w:val="24"/>
          <w:szCs w:val="24"/>
        </w:rPr>
        <w:t>LexisNexis</w:t>
      </w:r>
      <w:r w:rsidR="00D87324">
        <w:rPr>
          <w:rFonts w:ascii="Arial" w:hAnsi="Arial" w:cs="Arial"/>
          <w:sz w:val="24"/>
          <w:szCs w:val="24"/>
        </w:rPr>
        <w:t xml:space="preserve"> (2024) explains that in criminal law “</w:t>
      </w:r>
      <w:r w:rsidR="00D87324" w:rsidRPr="00D87324">
        <w:rPr>
          <w:rFonts w:ascii="Arial" w:hAnsi="Arial" w:cs="Arial"/>
          <w:sz w:val="24"/>
          <w:szCs w:val="24"/>
        </w:rPr>
        <w:t>Dishonesty provides the mens rea for multiple offences under statute and the common law</w:t>
      </w:r>
      <w:r w:rsidR="00D87324">
        <w:rPr>
          <w:rFonts w:ascii="Arial" w:hAnsi="Arial" w:cs="Arial"/>
          <w:sz w:val="24"/>
          <w:szCs w:val="24"/>
        </w:rPr>
        <w:t>”</w:t>
      </w:r>
      <w:r w:rsidR="004A4ED4">
        <w:rPr>
          <w:rFonts w:ascii="Arial" w:hAnsi="Arial" w:cs="Arial"/>
          <w:sz w:val="24"/>
          <w:szCs w:val="24"/>
        </w:rPr>
        <w:t xml:space="preserve">, although this is not always the case as seen with the Theft Act 1968. </w:t>
      </w:r>
      <w:r w:rsidR="00D87324">
        <w:rPr>
          <w:rFonts w:ascii="Arial" w:hAnsi="Arial" w:cs="Arial"/>
          <w:sz w:val="24"/>
          <w:szCs w:val="24"/>
        </w:rPr>
        <w:t xml:space="preserve"> To further explain </w:t>
      </w:r>
      <w:r w:rsidR="004A4ED4">
        <w:rPr>
          <w:rFonts w:ascii="Arial" w:hAnsi="Arial" w:cs="Arial"/>
          <w:sz w:val="24"/>
          <w:szCs w:val="24"/>
        </w:rPr>
        <w:t xml:space="preserve">the Theft Act 1968 Legislation Gov UK (no date) state that to be found guilty of theft the person must dishonestly and knowingly deprive another person of their belongings for their own benefit (Noble Solicitor’s 2018). </w:t>
      </w:r>
      <w:r w:rsidR="004A4ED4" w:rsidRPr="004A4ED4">
        <w:rPr>
          <w:rFonts w:ascii="Arial" w:hAnsi="Arial" w:cs="Arial"/>
          <w:sz w:val="24"/>
          <w:szCs w:val="24"/>
        </w:rPr>
        <w:t>Dishonesty is usually left to the jury to decide whether a defendant has been dishonest and committed a crime.</w:t>
      </w:r>
      <w:r w:rsidR="00AC00B3">
        <w:rPr>
          <w:rFonts w:ascii="Arial" w:hAnsi="Arial" w:cs="Arial"/>
          <w:sz w:val="24"/>
          <w:szCs w:val="24"/>
        </w:rPr>
        <w:t xml:space="preserve"> </w:t>
      </w:r>
    </w:p>
    <w:p w14:paraId="3BE2D366" w14:textId="77777777" w:rsidR="00AC00B3" w:rsidRDefault="00AC00B3" w:rsidP="005D4558">
      <w:pPr>
        <w:spacing w:line="360" w:lineRule="auto"/>
        <w:jc w:val="both"/>
        <w:rPr>
          <w:rFonts w:ascii="Arial" w:hAnsi="Arial" w:cs="Arial"/>
          <w:sz w:val="24"/>
          <w:szCs w:val="24"/>
        </w:rPr>
      </w:pPr>
    </w:p>
    <w:p w14:paraId="4AFC99B6" w14:textId="5F5F15DA" w:rsidR="002D38FD" w:rsidRDefault="00AC00B3" w:rsidP="005D4558">
      <w:pPr>
        <w:spacing w:line="360" w:lineRule="auto"/>
        <w:jc w:val="both"/>
        <w:rPr>
          <w:rFonts w:ascii="Arial" w:hAnsi="Arial" w:cs="Arial"/>
          <w:sz w:val="24"/>
          <w:szCs w:val="24"/>
        </w:rPr>
      </w:pPr>
      <w:r>
        <w:rPr>
          <w:rFonts w:ascii="Arial" w:hAnsi="Arial" w:cs="Arial"/>
          <w:sz w:val="24"/>
          <w:szCs w:val="24"/>
        </w:rPr>
        <w:t>The first case is that of</w:t>
      </w:r>
      <w:r w:rsidRPr="00AC00B3">
        <w:rPr>
          <w:rFonts w:ascii="Arial" w:hAnsi="Arial" w:cs="Arial"/>
          <w:sz w:val="24"/>
          <w:szCs w:val="24"/>
        </w:rPr>
        <w:t xml:space="preserve"> </w:t>
      </w:r>
      <w:bookmarkStart w:id="0" w:name="_Hlk164454665"/>
      <w:r w:rsidRPr="00AC00B3">
        <w:rPr>
          <w:rFonts w:ascii="Arial" w:hAnsi="Arial" w:cs="Arial"/>
          <w:sz w:val="24"/>
          <w:szCs w:val="24"/>
        </w:rPr>
        <w:t xml:space="preserve">David Barton </w:t>
      </w:r>
      <w:bookmarkEnd w:id="0"/>
      <w:r w:rsidRPr="00AC00B3">
        <w:rPr>
          <w:rFonts w:ascii="Arial" w:hAnsi="Arial" w:cs="Arial"/>
          <w:sz w:val="24"/>
          <w:szCs w:val="24"/>
        </w:rPr>
        <w:t>and Rosemary Booth</w:t>
      </w:r>
      <w:r>
        <w:rPr>
          <w:rFonts w:ascii="Arial" w:hAnsi="Arial" w:cs="Arial"/>
          <w:sz w:val="24"/>
          <w:szCs w:val="24"/>
        </w:rPr>
        <w:t xml:space="preserve">, who were accused of defrauding wealthy residents </w:t>
      </w:r>
      <w:r w:rsidR="00D8576A">
        <w:rPr>
          <w:rFonts w:ascii="Arial" w:hAnsi="Arial" w:cs="Arial"/>
          <w:sz w:val="24"/>
          <w:szCs w:val="24"/>
        </w:rPr>
        <w:t>of</w:t>
      </w:r>
      <w:r>
        <w:rPr>
          <w:rFonts w:ascii="Arial" w:hAnsi="Arial" w:cs="Arial"/>
          <w:sz w:val="24"/>
          <w:szCs w:val="24"/>
        </w:rPr>
        <w:t xml:space="preserve"> the care home in Southport they owned of more than four million pounds. CPS (2020) reported that in 2020 Barton was found guilty at Liverpool Crown Court and sentenced to 17 years. During the year long trial evidence was present</w:t>
      </w:r>
      <w:r w:rsidR="00735A62">
        <w:rPr>
          <w:rFonts w:ascii="Arial" w:hAnsi="Arial" w:cs="Arial"/>
          <w:sz w:val="24"/>
          <w:szCs w:val="24"/>
        </w:rPr>
        <w:t>ed</w:t>
      </w:r>
      <w:r>
        <w:rPr>
          <w:rFonts w:ascii="Arial" w:hAnsi="Arial" w:cs="Arial"/>
          <w:sz w:val="24"/>
          <w:szCs w:val="24"/>
        </w:rPr>
        <w:t xml:space="preserve"> detailing his continuous dishonesty against the care home residents, showing how Barton manipulated and isolated the residents making them pay excessive fees and ensuring he was made a beneficiary in their wills, to dishonestly profit from them even after they had passed. This at the time was a</w:t>
      </w:r>
      <w:r w:rsidR="004E62F9">
        <w:rPr>
          <w:rFonts w:ascii="Arial" w:hAnsi="Arial" w:cs="Arial"/>
          <w:sz w:val="24"/>
          <w:szCs w:val="24"/>
        </w:rPr>
        <w:t xml:space="preserve"> </w:t>
      </w:r>
      <w:r w:rsidR="00EC7A15">
        <w:rPr>
          <w:rFonts w:ascii="Arial" w:hAnsi="Arial" w:cs="Arial"/>
          <w:sz w:val="24"/>
          <w:szCs w:val="24"/>
        </w:rPr>
        <w:t>groundbreaking</w:t>
      </w:r>
      <w:r>
        <w:rPr>
          <w:rFonts w:ascii="Arial" w:hAnsi="Arial" w:cs="Arial"/>
          <w:sz w:val="24"/>
          <w:szCs w:val="24"/>
        </w:rPr>
        <w:t xml:space="preserve"> case </w:t>
      </w:r>
      <w:r w:rsidR="00EC7A15">
        <w:rPr>
          <w:rFonts w:ascii="Arial" w:hAnsi="Arial" w:cs="Arial"/>
          <w:sz w:val="24"/>
          <w:szCs w:val="24"/>
        </w:rPr>
        <w:t>that</w:t>
      </w:r>
      <w:r w:rsidR="00493721">
        <w:rPr>
          <w:rFonts w:ascii="Arial" w:hAnsi="Arial" w:cs="Arial"/>
          <w:sz w:val="24"/>
          <w:szCs w:val="24"/>
        </w:rPr>
        <w:t xml:space="preserve"> clarified</w:t>
      </w:r>
      <w:r w:rsidR="002D38FD" w:rsidRPr="002D38FD">
        <w:rPr>
          <w:rFonts w:ascii="Arial" w:hAnsi="Arial" w:cs="Arial"/>
          <w:sz w:val="24"/>
          <w:szCs w:val="24"/>
        </w:rPr>
        <w:t xml:space="preserve"> the legal test for</w:t>
      </w:r>
      <w:r w:rsidR="00493721" w:rsidRPr="00493721">
        <w:rPr>
          <w:rFonts w:ascii="Arial" w:hAnsi="Arial" w:cs="Arial"/>
          <w:sz w:val="24"/>
          <w:szCs w:val="24"/>
        </w:rPr>
        <w:t xml:space="preserve"> how</w:t>
      </w:r>
      <w:r w:rsidR="002D38FD" w:rsidRPr="002D38FD">
        <w:rPr>
          <w:rFonts w:ascii="Arial" w:hAnsi="Arial" w:cs="Arial"/>
          <w:sz w:val="24"/>
          <w:szCs w:val="24"/>
        </w:rPr>
        <w:t xml:space="preserve"> dishonesty i</w:t>
      </w:r>
      <w:r w:rsidR="001821B2">
        <w:rPr>
          <w:rFonts w:ascii="Arial" w:hAnsi="Arial" w:cs="Arial"/>
          <w:sz w:val="24"/>
          <w:szCs w:val="24"/>
        </w:rPr>
        <w:t xml:space="preserve">s </w:t>
      </w:r>
      <w:r w:rsidR="00493721" w:rsidRPr="00493721">
        <w:rPr>
          <w:rFonts w:ascii="Arial" w:hAnsi="Arial" w:cs="Arial"/>
          <w:sz w:val="24"/>
          <w:szCs w:val="24"/>
        </w:rPr>
        <w:t xml:space="preserve">perceived in </w:t>
      </w:r>
      <w:r w:rsidR="002D38FD" w:rsidRPr="002D38FD">
        <w:rPr>
          <w:rFonts w:ascii="Arial" w:hAnsi="Arial" w:cs="Arial"/>
          <w:sz w:val="24"/>
          <w:szCs w:val="24"/>
        </w:rPr>
        <w:t>criminal law.</w:t>
      </w:r>
      <w:r w:rsidR="00493721">
        <w:rPr>
          <w:rFonts w:ascii="Arial" w:hAnsi="Arial" w:cs="Arial"/>
          <w:sz w:val="24"/>
          <w:szCs w:val="24"/>
        </w:rPr>
        <w:t xml:space="preserve"> As prior to this case to prove the act of dishonesty in a court of law there needed to be evidence that their</w:t>
      </w:r>
      <w:r w:rsidR="00493721" w:rsidRPr="00493721">
        <w:rPr>
          <w:rFonts w:ascii="Arial" w:hAnsi="Arial" w:cs="Arial"/>
          <w:sz w:val="24"/>
          <w:szCs w:val="24"/>
        </w:rPr>
        <w:t xml:space="preserve"> conduct was dishonest and</w:t>
      </w:r>
      <w:r w:rsidR="00493721">
        <w:rPr>
          <w:rFonts w:ascii="Arial" w:hAnsi="Arial" w:cs="Arial"/>
          <w:sz w:val="24"/>
          <w:szCs w:val="24"/>
        </w:rPr>
        <w:t xml:space="preserve"> that they</w:t>
      </w:r>
      <w:r w:rsidR="00493721" w:rsidRPr="00493721">
        <w:rPr>
          <w:rFonts w:ascii="Arial" w:hAnsi="Arial" w:cs="Arial"/>
          <w:sz w:val="24"/>
          <w:szCs w:val="24"/>
        </w:rPr>
        <w:t xml:space="preserve"> appreciated that what </w:t>
      </w:r>
      <w:r w:rsidR="00AC1972">
        <w:rPr>
          <w:rFonts w:ascii="Arial" w:hAnsi="Arial" w:cs="Arial"/>
          <w:sz w:val="24"/>
          <w:szCs w:val="24"/>
        </w:rPr>
        <w:t>they</w:t>
      </w:r>
      <w:r w:rsidR="00493721" w:rsidRPr="00493721">
        <w:rPr>
          <w:rFonts w:ascii="Arial" w:hAnsi="Arial" w:cs="Arial"/>
          <w:sz w:val="24"/>
          <w:szCs w:val="24"/>
        </w:rPr>
        <w:t xml:space="preserve"> </w:t>
      </w:r>
      <w:r w:rsidR="00AC1972" w:rsidRPr="00493721">
        <w:rPr>
          <w:rFonts w:ascii="Arial" w:hAnsi="Arial" w:cs="Arial"/>
          <w:sz w:val="24"/>
          <w:szCs w:val="24"/>
        </w:rPr>
        <w:t>were</w:t>
      </w:r>
      <w:r w:rsidR="00493721" w:rsidRPr="00493721">
        <w:rPr>
          <w:rFonts w:ascii="Arial" w:hAnsi="Arial" w:cs="Arial"/>
          <w:sz w:val="24"/>
          <w:szCs w:val="24"/>
        </w:rPr>
        <w:t xml:space="preserve"> dishonest by the standards of ordinary, reasonable people.</w:t>
      </w:r>
      <w:r w:rsidR="00493721">
        <w:rPr>
          <w:rFonts w:ascii="Arial" w:hAnsi="Arial" w:cs="Arial"/>
          <w:sz w:val="24"/>
          <w:szCs w:val="24"/>
        </w:rPr>
        <w:t xml:space="preserve"> </w:t>
      </w:r>
      <w:r w:rsidR="00493721" w:rsidRPr="00493721">
        <w:rPr>
          <w:rFonts w:ascii="Arial" w:hAnsi="Arial" w:cs="Arial"/>
          <w:sz w:val="24"/>
          <w:szCs w:val="24"/>
        </w:rPr>
        <w:t xml:space="preserve">Following the sentencing </w:t>
      </w:r>
      <w:r w:rsidR="002D38FD" w:rsidRPr="002D38FD">
        <w:rPr>
          <w:rFonts w:ascii="Arial" w:hAnsi="Arial" w:cs="Arial"/>
          <w:sz w:val="24"/>
          <w:szCs w:val="24"/>
        </w:rPr>
        <w:t>Andrew West of the CPS said</w:t>
      </w:r>
      <w:r w:rsidR="00493721" w:rsidRPr="00493721">
        <w:rPr>
          <w:rFonts w:ascii="Arial" w:hAnsi="Arial" w:cs="Arial"/>
          <w:sz w:val="24"/>
          <w:szCs w:val="24"/>
        </w:rPr>
        <w:t xml:space="preserve">: </w:t>
      </w:r>
      <w:r w:rsidR="002D38FD" w:rsidRPr="002D38FD">
        <w:rPr>
          <w:rFonts w:ascii="Arial" w:hAnsi="Arial" w:cs="Arial"/>
          <w:sz w:val="24"/>
          <w:szCs w:val="24"/>
        </w:rPr>
        <w:t xml:space="preserve">"The test for dishonesty is now </w:t>
      </w:r>
      <w:r w:rsidR="00493721" w:rsidRPr="00493721">
        <w:rPr>
          <w:rFonts w:ascii="Arial" w:hAnsi="Arial" w:cs="Arial"/>
          <w:sz w:val="24"/>
          <w:szCs w:val="24"/>
        </w:rPr>
        <w:t xml:space="preserve">clear considering the facts and </w:t>
      </w:r>
      <w:r w:rsidR="002D38FD" w:rsidRPr="002D38FD">
        <w:rPr>
          <w:rFonts w:ascii="Arial" w:hAnsi="Arial" w:cs="Arial"/>
          <w:sz w:val="24"/>
          <w:szCs w:val="24"/>
        </w:rPr>
        <w:t xml:space="preserve">the defendant’s knowledge or belief as to what </w:t>
      </w:r>
      <w:r w:rsidR="00493721">
        <w:rPr>
          <w:rFonts w:ascii="Arial" w:hAnsi="Arial" w:cs="Arial"/>
          <w:sz w:val="24"/>
          <w:szCs w:val="24"/>
        </w:rPr>
        <w:t>happened</w:t>
      </w:r>
      <w:r w:rsidR="002D38FD" w:rsidRPr="002D38FD">
        <w:rPr>
          <w:rFonts w:ascii="Arial" w:hAnsi="Arial" w:cs="Arial"/>
          <w:sz w:val="24"/>
          <w:szCs w:val="24"/>
        </w:rPr>
        <w:t xml:space="preserve"> </w:t>
      </w:r>
      <w:r w:rsidR="00493721">
        <w:rPr>
          <w:rFonts w:ascii="Arial" w:hAnsi="Arial" w:cs="Arial"/>
          <w:sz w:val="24"/>
          <w:szCs w:val="24"/>
        </w:rPr>
        <w:t>including the reasons for the acts they committed</w:t>
      </w:r>
      <w:r w:rsidR="002D38FD" w:rsidRPr="002D38FD">
        <w:rPr>
          <w:rFonts w:ascii="Arial" w:hAnsi="Arial" w:cs="Arial"/>
          <w:sz w:val="24"/>
          <w:szCs w:val="24"/>
        </w:rPr>
        <w:t xml:space="preserve">. </w:t>
      </w:r>
      <w:r w:rsidR="007337AC">
        <w:rPr>
          <w:rFonts w:ascii="Arial" w:hAnsi="Arial" w:cs="Arial"/>
          <w:sz w:val="24"/>
          <w:szCs w:val="24"/>
        </w:rPr>
        <w:t>Applying the</w:t>
      </w:r>
      <w:r w:rsidR="002D38FD" w:rsidRPr="002D38FD">
        <w:rPr>
          <w:rFonts w:ascii="Arial" w:hAnsi="Arial" w:cs="Arial"/>
          <w:sz w:val="24"/>
          <w:szCs w:val="24"/>
        </w:rPr>
        <w:t xml:space="preserve"> standards of ordinary reasonable people to judge that behaviour.”</w:t>
      </w:r>
      <w:r w:rsidR="00AC1972">
        <w:rPr>
          <w:rFonts w:ascii="Arial" w:hAnsi="Arial" w:cs="Arial"/>
          <w:sz w:val="24"/>
          <w:szCs w:val="24"/>
        </w:rPr>
        <w:t xml:space="preserve"> This is a process </w:t>
      </w:r>
      <w:r w:rsidR="005024CF">
        <w:rPr>
          <w:rFonts w:ascii="Arial" w:hAnsi="Arial" w:cs="Arial"/>
          <w:sz w:val="24"/>
          <w:szCs w:val="24"/>
        </w:rPr>
        <w:t xml:space="preserve">used in many cases thereafter and has proved successful in gaining convictions. </w:t>
      </w:r>
    </w:p>
    <w:p w14:paraId="7CB3A2A1" w14:textId="77777777" w:rsidR="0076057A" w:rsidRDefault="0076057A" w:rsidP="005D4558">
      <w:pPr>
        <w:spacing w:line="360" w:lineRule="auto"/>
        <w:jc w:val="both"/>
        <w:rPr>
          <w:rFonts w:ascii="Arial" w:hAnsi="Arial" w:cs="Arial"/>
          <w:sz w:val="24"/>
          <w:szCs w:val="24"/>
        </w:rPr>
      </w:pPr>
    </w:p>
    <w:p w14:paraId="7A69E94A" w14:textId="77B4216D" w:rsidR="000A51EC" w:rsidRDefault="009C33B8" w:rsidP="005D4558">
      <w:pPr>
        <w:spacing w:line="360" w:lineRule="auto"/>
        <w:jc w:val="both"/>
        <w:rPr>
          <w:rFonts w:ascii="Segoe UI" w:hAnsi="Segoe UI" w:cs="Segoe UI"/>
          <w:color w:val="212529"/>
        </w:rPr>
      </w:pPr>
      <w:r>
        <w:rPr>
          <w:rFonts w:ascii="Arial" w:hAnsi="Arial" w:cs="Arial"/>
          <w:sz w:val="24"/>
          <w:szCs w:val="24"/>
        </w:rPr>
        <w:t xml:space="preserve">A case that set a precedent in how these cases are seen in court is that of </w:t>
      </w:r>
      <w:r w:rsidR="00767242" w:rsidRPr="00767242">
        <w:rPr>
          <w:rFonts w:ascii="Arial" w:hAnsi="Arial" w:cs="Arial"/>
          <w:sz w:val="24"/>
          <w:szCs w:val="24"/>
        </w:rPr>
        <w:t>R v Ghosh</w:t>
      </w:r>
      <w:r w:rsidR="00767242">
        <w:rPr>
          <w:rFonts w:ascii="Arial" w:hAnsi="Arial" w:cs="Arial"/>
          <w:sz w:val="24"/>
          <w:szCs w:val="24"/>
        </w:rPr>
        <w:t xml:space="preserve"> </w:t>
      </w:r>
      <w:r w:rsidR="00767242" w:rsidRPr="00767242">
        <w:rPr>
          <w:rFonts w:ascii="Arial" w:hAnsi="Arial" w:cs="Arial"/>
          <w:sz w:val="24"/>
          <w:szCs w:val="24"/>
        </w:rPr>
        <w:t>1982</w:t>
      </w:r>
      <w:r w:rsidR="00C3059C">
        <w:rPr>
          <w:rFonts w:ascii="Arial" w:hAnsi="Arial" w:cs="Arial"/>
          <w:sz w:val="24"/>
          <w:szCs w:val="24"/>
        </w:rPr>
        <w:t xml:space="preserve">, this case is about a locum consultant </w:t>
      </w:r>
      <w:r w:rsidR="008E5904">
        <w:rPr>
          <w:rFonts w:ascii="Arial" w:hAnsi="Arial" w:cs="Arial"/>
          <w:sz w:val="24"/>
          <w:szCs w:val="24"/>
        </w:rPr>
        <w:t>for the National Health Service (NHS) in the UK</w:t>
      </w:r>
      <w:r w:rsidR="00B73362">
        <w:rPr>
          <w:rFonts w:ascii="Arial" w:hAnsi="Arial" w:cs="Arial"/>
          <w:sz w:val="24"/>
          <w:szCs w:val="24"/>
        </w:rPr>
        <w:t xml:space="preserve"> who dishonestly claimed to have completed a surgical operation with the </w:t>
      </w:r>
      <w:r w:rsidR="00B73362">
        <w:rPr>
          <w:rFonts w:ascii="Arial" w:hAnsi="Arial" w:cs="Arial"/>
          <w:sz w:val="24"/>
          <w:szCs w:val="24"/>
        </w:rPr>
        <w:lastRenderedPageBreak/>
        <w:t xml:space="preserve">intention of claiming money, this operation was found be completed by someone else. </w:t>
      </w:r>
      <w:r w:rsidR="003A7978">
        <w:rPr>
          <w:rFonts w:ascii="Arial" w:hAnsi="Arial" w:cs="Arial"/>
          <w:sz w:val="24"/>
          <w:szCs w:val="24"/>
        </w:rPr>
        <w:t>E-</w:t>
      </w:r>
      <w:proofErr w:type="spellStart"/>
      <w:r w:rsidR="003A7978">
        <w:rPr>
          <w:rFonts w:ascii="Arial" w:hAnsi="Arial" w:cs="Arial"/>
          <w:sz w:val="24"/>
          <w:szCs w:val="24"/>
        </w:rPr>
        <w:t>Lawresources</w:t>
      </w:r>
      <w:proofErr w:type="spellEnd"/>
      <w:r w:rsidR="003A7978">
        <w:rPr>
          <w:rFonts w:ascii="Arial" w:hAnsi="Arial" w:cs="Arial"/>
          <w:sz w:val="24"/>
          <w:szCs w:val="24"/>
        </w:rPr>
        <w:t xml:space="preserve"> (no date)</w:t>
      </w:r>
      <w:r w:rsidR="00B73362">
        <w:rPr>
          <w:rFonts w:ascii="Arial" w:hAnsi="Arial" w:cs="Arial"/>
          <w:sz w:val="24"/>
          <w:szCs w:val="24"/>
        </w:rPr>
        <w:t xml:space="preserve"> </w:t>
      </w:r>
      <w:r w:rsidR="003A7978">
        <w:rPr>
          <w:rFonts w:ascii="Arial" w:hAnsi="Arial" w:cs="Arial"/>
          <w:sz w:val="24"/>
          <w:szCs w:val="24"/>
        </w:rPr>
        <w:t xml:space="preserve">state that </w:t>
      </w:r>
      <w:r w:rsidR="00B73362">
        <w:rPr>
          <w:rFonts w:ascii="Arial" w:hAnsi="Arial" w:cs="Arial"/>
          <w:sz w:val="24"/>
          <w:szCs w:val="24"/>
        </w:rPr>
        <w:t xml:space="preserve">Ghosh was charged </w:t>
      </w:r>
      <w:r w:rsidR="0076057A" w:rsidRPr="007D321A">
        <w:rPr>
          <w:rFonts w:ascii="Arial" w:hAnsi="Arial" w:cs="Arial"/>
          <w:color w:val="000000" w:themeColor="text1"/>
          <w:sz w:val="24"/>
          <w:szCs w:val="24"/>
          <w:shd w:val="clear" w:color="auto" w:fill="FFFFFF"/>
        </w:rPr>
        <w:t>with attempting to procure the execution of a cheque by deception and obtaining money b</w:t>
      </w:r>
      <w:r w:rsidR="007D321A" w:rsidRPr="007D321A">
        <w:rPr>
          <w:rFonts w:ascii="Arial" w:hAnsi="Arial" w:cs="Arial"/>
          <w:color w:val="000000" w:themeColor="text1"/>
          <w:sz w:val="24"/>
          <w:szCs w:val="24"/>
          <w:shd w:val="clear" w:color="auto" w:fill="FFFFFF"/>
        </w:rPr>
        <w:t>y</w:t>
      </w:r>
      <w:r w:rsidR="0076057A" w:rsidRPr="007D321A">
        <w:rPr>
          <w:rFonts w:ascii="Arial" w:hAnsi="Arial" w:cs="Arial"/>
          <w:color w:val="000000" w:themeColor="text1"/>
          <w:sz w:val="24"/>
          <w:szCs w:val="24"/>
          <w:shd w:val="clear" w:color="auto" w:fill="FFFFFF"/>
        </w:rPr>
        <w:t xml:space="preserve"> deception</w:t>
      </w:r>
      <w:r w:rsidR="007D321A" w:rsidRPr="007D321A">
        <w:rPr>
          <w:rFonts w:ascii="Arial" w:hAnsi="Arial" w:cs="Arial"/>
          <w:color w:val="000000" w:themeColor="text1"/>
          <w:sz w:val="24"/>
          <w:szCs w:val="24"/>
          <w:shd w:val="clear" w:color="auto" w:fill="FFFFFF"/>
        </w:rPr>
        <w:t>.</w:t>
      </w:r>
      <w:r w:rsidR="007D321A" w:rsidRPr="007D321A">
        <w:rPr>
          <w:rFonts w:ascii="Segoe UI" w:hAnsi="Segoe UI" w:cs="Segoe UI"/>
          <w:color w:val="000000" w:themeColor="text1"/>
          <w:sz w:val="24"/>
          <w:szCs w:val="24"/>
          <w:shd w:val="clear" w:color="auto" w:fill="FFFFFF"/>
        </w:rPr>
        <w:t xml:space="preserve"> </w:t>
      </w:r>
      <w:r w:rsidR="00667CF5">
        <w:rPr>
          <w:rFonts w:ascii="Arial" w:hAnsi="Arial" w:cs="Arial"/>
          <w:color w:val="000000" w:themeColor="text1"/>
          <w:sz w:val="24"/>
          <w:szCs w:val="24"/>
          <w:shd w:val="clear" w:color="auto" w:fill="FFFFFF"/>
        </w:rPr>
        <w:t xml:space="preserve">He appealed this conviction claiming that he was entitled to this money and therefore no deception had taken place. </w:t>
      </w:r>
      <w:r w:rsidR="00E17B1F">
        <w:rPr>
          <w:rFonts w:ascii="Arial" w:hAnsi="Arial" w:cs="Arial"/>
          <w:color w:val="000000" w:themeColor="text1"/>
          <w:sz w:val="24"/>
          <w:szCs w:val="24"/>
          <w:shd w:val="clear" w:color="auto" w:fill="FFFFFF"/>
        </w:rPr>
        <w:t>To</w:t>
      </w:r>
      <w:r w:rsidR="00171DC1">
        <w:rPr>
          <w:rFonts w:ascii="Arial" w:hAnsi="Arial" w:cs="Arial"/>
          <w:color w:val="000000" w:themeColor="text1"/>
          <w:sz w:val="24"/>
          <w:szCs w:val="24"/>
          <w:shd w:val="clear" w:color="auto" w:fill="FFFFFF"/>
        </w:rPr>
        <w:t xml:space="preserve"> convict </w:t>
      </w:r>
      <w:r w:rsidR="00102168">
        <w:rPr>
          <w:rFonts w:ascii="Arial" w:hAnsi="Arial" w:cs="Arial"/>
          <w:color w:val="000000" w:themeColor="text1"/>
          <w:sz w:val="24"/>
          <w:szCs w:val="24"/>
          <w:shd w:val="clear" w:color="auto" w:fill="FFFFFF"/>
        </w:rPr>
        <w:t>Ghosh,</w:t>
      </w:r>
      <w:r w:rsidR="00171DC1">
        <w:rPr>
          <w:rFonts w:ascii="Arial" w:hAnsi="Arial" w:cs="Arial"/>
          <w:color w:val="000000" w:themeColor="text1"/>
          <w:sz w:val="24"/>
          <w:szCs w:val="24"/>
          <w:shd w:val="clear" w:color="auto" w:fill="FFFFFF"/>
        </w:rPr>
        <w:t xml:space="preserve"> the Court created </w:t>
      </w:r>
      <w:r w:rsidR="00171DC1" w:rsidRPr="00051206">
        <w:rPr>
          <w:rFonts w:ascii="Arial" w:hAnsi="Arial" w:cs="Arial"/>
          <w:color w:val="000000" w:themeColor="text1"/>
          <w:sz w:val="24"/>
          <w:szCs w:val="24"/>
          <w:shd w:val="clear" w:color="auto" w:fill="FFFFFF"/>
        </w:rPr>
        <w:t>a</w:t>
      </w:r>
      <w:r w:rsidR="000A51EC" w:rsidRPr="00051206">
        <w:rPr>
          <w:rFonts w:ascii="Arial" w:hAnsi="Arial" w:cs="Arial"/>
          <w:color w:val="000000" w:themeColor="text1"/>
          <w:sz w:val="24"/>
          <w:szCs w:val="24"/>
        </w:rPr>
        <w:t xml:space="preserve"> two-limb test for determining dishonesty under the Theft Act 1968. </w:t>
      </w:r>
      <w:r w:rsidR="00B44A4E" w:rsidRPr="00051206">
        <w:rPr>
          <w:rFonts w:ascii="Arial" w:hAnsi="Arial" w:cs="Arial"/>
          <w:color w:val="000000" w:themeColor="text1"/>
          <w:sz w:val="24"/>
          <w:szCs w:val="24"/>
        </w:rPr>
        <w:t xml:space="preserve"> This test called for the jury to </w:t>
      </w:r>
      <w:r w:rsidR="00486283" w:rsidRPr="00051206">
        <w:rPr>
          <w:rFonts w:ascii="Arial" w:hAnsi="Arial" w:cs="Arial"/>
          <w:color w:val="000000" w:themeColor="text1"/>
          <w:sz w:val="24"/>
          <w:szCs w:val="24"/>
        </w:rPr>
        <w:t>consider</w:t>
      </w:r>
      <w:r w:rsidR="00B44A4E" w:rsidRPr="00051206">
        <w:rPr>
          <w:rFonts w:ascii="Arial" w:hAnsi="Arial" w:cs="Arial"/>
          <w:color w:val="000000" w:themeColor="text1"/>
          <w:sz w:val="24"/>
          <w:szCs w:val="24"/>
        </w:rPr>
        <w:t xml:space="preserve"> </w:t>
      </w:r>
      <w:r w:rsidR="00273973">
        <w:rPr>
          <w:rFonts w:ascii="Arial" w:hAnsi="Arial" w:cs="Arial"/>
          <w:color w:val="000000" w:themeColor="text1"/>
          <w:sz w:val="24"/>
          <w:szCs w:val="24"/>
        </w:rPr>
        <w:t xml:space="preserve">if the </w:t>
      </w:r>
      <w:r w:rsidR="00486283">
        <w:rPr>
          <w:rFonts w:ascii="Arial" w:hAnsi="Arial" w:cs="Arial"/>
          <w:color w:val="000000" w:themeColor="text1"/>
          <w:sz w:val="24"/>
          <w:szCs w:val="24"/>
        </w:rPr>
        <w:t>defendant’s</w:t>
      </w:r>
      <w:r w:rsidR="00273973">
        <w:rPr>
          <w:rFonts w:ascii="Arial" w:hAnsi="Arial" w:cs="Arial"/>
          <w:color w:val="000000" w:themeColor="text1"/>
          <w:sz w:val="24"/>
          <w:szCs w:val="24"/>
        </w:rPr>
        <w:t xml:space="preserve"> conduct was dishonest in relation to the standards of ordinary people.</w:t>
      </w:r>
      <w:r w:rsidR="00273973" w:rsidRPr="00486283">
        <w:rPr>
          <w:rFonts w:ascii="Arial" w:hAnsi="Arial" w:cs="Arial"/>
          <w:color w:val="000000" w:themeColor="text1"/>
          <w:sz w:val="32"/>
          <w:szCs w:val="32"/>
        </w:rPr>
        <w:t xml:space="preserve"> </w:t>
      </w:r>
      <w:r w:rsidR="00F453FB" w:rsidRPr="004C7810">
        <w:rPr>
          <w:rFonts w:ascii="Arial" w:hAnsi="Arial" w:cs="Arial"/>
          <w:color w:val="000000" w:themeColor="text1"/>
          <w:sz w:val="24"/>
          <w:szCs w:val="24"/>
        </w:rPr>
        <w:t xml:space="preserve">Instead of the outcome being dependant on the </w:t>
      </w:r>
      <w:r w:rsidR="000A51EC" w:rsidRPr="00486283">
        <w:rPr>
          <w:rFonts w:ascii="Arial" w:hAnsi="Arial" w:cs="Arial"/>
          <w:color w:val="000000" w:themeColor="text1"/>
          <w:sz w:val="24"/>
          <w:szCs w:val="24"/>
        </w:rPr>
        <w:t>defendant's personal beliefs or moral standard</w:t>
      </w:r>
      <w:r w:rsidR="004C7810">
        <w:rPr>
          <w:rFonts w:ascii="Arial" w:hAnsi="Arial" w:cs="Arial"/>
          <w:color w:val="000000" w:themeColor="text1"/>
          <w:sz w:val="24"/>
          <w:szCs w:val="24"/>
        </w:rPr>
        <w:t xml:space="preserve">s as it was </w:t>
      </w:r>
      <w:r w:rsidR="00506A34">
        <w:rPr>
          <w:rFonts w:ascii="Arial" w:hAnsi="Arial" w:cs="Arial"/>
          <w:color w:val="000000" w:themeColor="text1"/>
          <w:sz w:val="24"/>
          <w:szCs w:val="24"/>
        </w:rPr>
        <w:t>thought this could lead to unfairness it ensured the jury would instead consider</w:t>
      </w:r>
      <w:r w:rsidR="00102168">
        <w:rPr>
          <w:rFonts w:ascii="Arial" w:hAnsi="Arial" w:cs="Arial"/>
          <w:color w:val="000000" w:themeColor="text1"/>
          <w:sz w:val="24"/>
          <w:szCs w:val="24"/>
        </w:rPr>
        <w:t xml:space="preserve"> if the dishonest conduct was recognised by the defendant beforehand. </w:t>
      </w:r>
      <w:r w:rsidR="000A51EC" w:rsidRPr="00E17B1F">
        <w:rPr>
          <w:rFonts w:ascii="Arial" w:hAnsi="Arial" w:cs="Arial"/>
          <w:color w:val="212529"/>
          <w:sz w:val="24"/>
          <w:szCs w:val="24"/>
        </w:rPr>
        <w:t>T</w:t>
      </w:r>
      <w:r w:rsidR="00E17B1F" w:rsidRPr="00E17B1F">
        <w:rPr>
          <w:rFonts w:ascii="Arial" w:hAnsi="Arial" w:cs="Arial"/>
          <w:color w:val="212529"/>
          <w:sz w:val="24"/>
          <w:szCs w:val="24"/>
        </w:rPr>
        <w:t>his was later referred to as t</w:t>
      </w:r>
      <w:r w:rsidR="000A51EC" w:rsidRPr="00E17B1F">
        <w:rPr>
          <w:rFonts w:ascii="Arial" w:hAnsi="Arial" w:cs="Arial"/>
          <w:color w:val="212529"/>
          <w:sz w:val="24"/>
          <w:szCs w:val="24"/>
        </w:rPr>
        <w:t xml:space="preserve">he Ghosh test </w:t>
      </w:r>
      <w:r w:rsidR="00E17B1F" w:rsidRPr="00E17B1F">
        <w:rPr>
          <w:rFonts w:ascii="Arial" w:hAnsi="Arial" w:cs="Arial"/>
          <w:color w:val="212529"/>
          <w:sz w:val="24"/>
          <w:szCs w:val="24"/>
        </w:rPr>
        <w:t>and has since been used in many cases</w:t>
      </w:r>
      <w:r w:rsidR="000A51EC" w:rsidRPr="00E17B1F">
        <w:rPr>
          <w:rFonts w:ascii="Arial" w:hAnsi="Arial" w:cs="Arial"/>
          <w:color w:val="212529"/>
          <w:sz w:val="24"/>
          <w:szCs w:val="24"/>
        </w:rPr>
        <w:t xml:space="preserve"> involving dishonesty under the Theft Act 1968 and other legislation, </w:t>
      </w:r>
      <w:r w:rsidR="00E17B1F">
        <w:rPr>
          <w:rFonts w:ascii="Arial" w:hAnsi="Arial" w:cs="Arial"/>
          <w:color w:val="212529"/>
          <w:sz w:val="24"/>
          <w:szCs w:val="24"/>
        </w:rPr>
        <w:t xml:space="preserve">making this a very significant tool used within criminal law. </w:t>
      </w:r>
    </w:p>
    <w:p w14:paraId="3F09347F" w14:textId="77777777" w:rsidR="0076057A" w:rsidRDefault="0076057A" w:rsidP="005D4558">
      <w:pPr>
        <w:spacing w:line="360" w:lineRule="auto"/>
        <w:jc w:val="both"/>
        <w:rPr>
          <w:rFonts w:ascii="Arial" w:hAnsi="Arial" w:cs="Arial"/>
          <w:sz w:val="24"/>
          <w:szCs w:val="24"/>
        </w:rPr>
      </w:pPr>
    </w:p>
    <w:p w14:paraId="060827AE" w14:textId="2E0D5618" w:rsidR="002208AB" w:rsidRDefault="00FB6412" w:rsidP="005D4558">
      <w:pPr>
        <w:spacing w:line="360" w:lineRule="auto"/>
        <w:jc w:val="both"/>
        <w:rPr>
          <w:rFonts w:ascii="Arial" w:hAnsi="Arial" w:cs="Arial"/>
          <w:color w:val="000000" w:themeColor="text1"/>
          <w:sz w:val="24"/>
          <w:szCs w:val="24"/>
        </w:rPr>
      </w:pPr>
      <w:r>
        <w:rPr>
          <w:rFonts w:ascii="Arial" w:hAnsi="Arial" w:cs="Arial"/>
          <w:sz w:val="24"/>
          <w:szCs w:val="24"/>
        </w:rPr>
        <w:t xml:space="preserve">Another infamous case explaining the concept of dishonesty in relation to theft is that of </w:t>
      </w:r>
      <w:r w:rsidR="005B7CC5" w:rsidRPr="005B7CC5">
        <w:rPr>
          <w:rFonts w:ascii="Arial" w:hAnsi="Arial" w:cs="Arial"/>
          <w:sz w:val="24"/>
          <w:szCs w:val="24"/>
        </w:rPr>
        <w:t>Ivey v Genting Casinos (Crockfords Club)</w:t>
      </w:r>
      <w:r w:rsidR="00483C1A">
        <w:rPr>
          <w:rFonts w:ascii="Arial" w:hAnsi="Arial" w:cs="Arial"/>
          <w:sz w:val="24"/>
          <w:szCs w:val="24"/>
        </w:rPr>
        <w:t>:</w:t>
      </w:r>
      <w:r w:rsidR="00D8583F">
        <w:rPr>
          <w:rFonts w:ascii="Arial" w:hAnsi="Arial" w:cs="Arial"/>
          <w:sz w:val="24"/>
          <w:szCs w:val="24"/>
        </w:rPr>
        <w:t xml:space="preserve"> </w:t>
      </w:r>
      <w:r w:rsidR="004738D1">
        <w:rPr>
          <w:rFonts w:ascii="Arial" w:hAnsi="Arial" w:cs="Arial"/>
          <w:sz w:val="24"/>
          <w:szCs w:val="24"/>
        </w:rPr>
        <w:t xml:space="preserve">Hale </w:t>
      </w:r>
      <w:r w:rsidR="00D8583F">
        <w:rPr>
          <w:rFonts w:ascii="Arial" w:hAnsi="Arial" w:cs="Arial"/>
          <w:sz w:val="24"/>
          <w:szCs w:val="24"/>
        </w:rPr>
        <w:t>(201</w:t>
      </w:r>
      <w:r w:rsidR="004738D1">
        <w:rPr>
          <w:rFonts w:ascii="Arial" w:hAnsi="Arial" w:cs="Arial"/>
          <w:sz w:val="24"/>
          <w:szCs w:val="24"/>
        </w:rPr>
        <w:t>9</w:t>
      </w:r>
      <w:r w:rsidR="00D8583F">
        <w:rPr>
          <w:rFonts w:ascii="Arial" w:hAnsi="Arial" w:cs="Arial"/>
          <w:sz w:val="24"/>
          <w:szCs w:val="24"/>
        </w:rPr>
        <w:t xml:space="preserve">) </w:t>
      </w:r>
      <w:r w:rsidR="00C50932">
        <w:rPr>
          <w:rFonts w:ascii="Arial" w:hAnsi="Arial" w:cs="Arial"/>
          <w:sz w:val="24"/>
          <w:szCs w:val="24"/>
        </w:rPr>
        <w:t>explain</w:t>
      </w:r>
      <w:r w:rsidR="004738D1">
        <w:rPr>
          <w:rFonts w:ascii="Arial" w:hAnsi="Arial" w:cs="Arial"/>
          <w:sz w:val="24"/>
          <w:szCs w:val="24"/>
        </w:rPr>
        <w:t>s</w:t>
      </w:r>
      <w:r w:rsidR="00C50932">
        <w:rPr>
          <w:rFonts w:ascii="Arial" w:hAnsi="Arial" w:cs="Arial"/>
          <w:sz w:val="24"/>
          <w:szCs w:val="24"/>
        </w:rPr>
        <w:t xml:space="preserve"> that</w:t>
      </w:r>
      <w:r w:rsidR="00483C1A">
        <w:rPr>
          <w:rFonts w:ascii="Arial" w:hAnsi="Arial" w:cs="Arial"/>
          <w:sz w:val="24"/>
          <w:szCs w:val="24"/>
        </w:rPr>
        <w:t xml:space="preserve"> </w:t>
      </w:r>
      <w:r w:rsidR="001303B8">
        <w:rPr>
          <w:rFonts w:ascii="Arial" w:hAnsi="Arial" w:cs="Arial"/>
          <w:sz w:val="24"/>
          <w:szCs w:val="24"/>
        </w:rPr>
        <w:t>this is the case of professional gambler P</w:t>
      </w:r>
      <w:r w:rsidR="00BD0A99">
        <w:rPr>
          <w:rFonts w:ascii="Arial" w:hAnsi="Arial" w:cs="Arial"/>
          <w:sz w:val="24"/>
          <w:szCs w:val="24"/>
        </w:rPr>
        <w:t xml:space="preserve">hil Ivey who frequented Crockfords </w:t>
      </w:r>
      <w:r w:rsidR="007540FA">
        <w:rPr>
          <w:rFonts w:ascii="Arial" w:hAnsi="Arial" w:cs="Arial"/>
          <w:sz w:val="24"/>
          <w:szCs w:val="24"/>
        </w:rPr>
        <w:t>club,</w:t>
      </w:r>
      <w:r w:rsidR="00BD0A99">
        <w:rPr>
          <w:rFonts w:ascii="Arial" w:hAnsi="Arial" w:cs="Arial"/>
          <w:sz w:val="24"/>
          <w:szCs w:val="24"/>
        </w:rPr>
        <w:t xml:space="preserve"> which is a casino in London, </w:t>
      </w:r>
      <w:r w:rsidR="005024CF">
        <w:rPr>
          <w:rFonts w:ascii="Arial" w:hAnsi="Arial" w:cs="Arial"/>
          <w:sz w:val="24"/>
          <w:szCs w:val="24"/>
        </w:rPr>
        <w:t>t</w:t>
      </w:r>
      <w:r w:rsidR="00BD0A99">
        <w:rPr>
          <w:rFonts w:ascii="Arial" w:hAnsi="Arial" w:cs="Arial"/>
          <w:sz w:val="24"/>
          <w:szCs w:val="24"/>
        </w:rPr>
        <w:t>here Ivey engaged in a game of Punto Banco resulting in him winning a large sum of money.</w:t>
      </w:r>
      <w:r w:rsidR="007540FA">
        <w:rPr>
          <w:rFonts w:ascii="Arial" w:hAnsi="Arial" w:cs="Arial"/>
          <w:sz w:val="24"/>
          <w:szCs w:val="24"/>
        </w:rPr>
        <w:t xml:space="preserve"> But he was refused the pay out of this by the Casino and was accused of cheating </w:t>
      </w:r>
      <w:r w:rsidR="00331D14">
        <w:rPr>
          <w:rFonts w:ascii="Arial" w:hAnsi="Arial" w:cs="Arial"/>
          <w:sz w:val="24"/>
          <w:szCs w:val="24"/>
        </w:rPr>
        <w:t>it was thought he used the ‘edge-sorting’ technique</w:t>
      </w:r>
      <w:r w:rsidR="00377AEA">
        <w:rPr>
          <w:rFonts w:ascii="Arial" w:hAnsi="Arial" w:cs="Arial"/>
          <w:sz w:val="24"/>
          <w:szCs w:val="24"/>
        </w:rPr>
        <w:t xml:space="preserve"> used by some professionals</w:t>
      </w:r>
      <w:r w:rsidR="00331D14">
        <w:rPr>
          <w:rFonts w:ascii="Arial" w:hAnsi="Arial" w:cs="Arial"/>
          <w:sz w:val="24"/>
          <w:szCs w:val="24"/>
        </w:rPr>
        <w:t xml:space="preserve"> allowing him a</w:t>
      </w:r>
      <w:r w:rsidR="00377AEA">
        <w:rPr>
          <w:rFonts w:ascii="Arial" w:hAnsi="Arial" w:cs="Arial"/>
          <w:sz w:val="24"/>
          <w:szCs w:val="24"/>
        </w:rPr>
        <w:t>n</w:t>
      </w:r>
      <w:r w:rsidR="00331D14">
        <w:rPr>
          <w:rFonts w:ascii="Arial" w:hAnsi="Arial" w:cs="Arial"/>
          <w:sz w:val="24"/>
          <w:szCs w:val="24"/>
        </w:rPr>
        <w:t xml:space="preserve"> unfair advantage</w:t>
      </w:r>
      <w:r w:rsidR="004738D1">
        <w:rPr>
          <w:rFonts w:ascii="Arial" w:hAnsi="Arial" w:cs="Arial"/>
          <w:sz w:val="24"/>
          <w:szCs w:val="24"/>
        </w:rPr>
        <w:t xml:space="preserve">. </w:t>
      </w:r>
      <w:r w:rsidR="00D21743">
        <w:rPr>
          <w:rFonts w:ascii="Arial" w:hAnsi="Arial" w:cs="Arial"/>
          <w:sz w:val="24"/>
          <w:szCs w:val="24"/>
        </w:rPr>
        <w:t xml:space="preserve">Following </w:t>
      </w:r>
      <w:r w:rsidR="00C50932">
        <w:rPr>
          <w:rFonts w:ascii="Arial" w:hAnsi="Arial" w:cs="Arial"/>
          <w:sz w:val="24"/>
          <w:szCs w:val="24"/>
        </w:rPr>
        <w:t>an</w:t>
      </w:r>
      <w:r w:rsidR="00D21743">
        <w:rPr>
          <w:rFonts w:ascii="Arial" w:hAnsi="Arial" w:cs="Arial"/>
          <w:sz w:val="24"/>
          <w:szCs w:val="24"/>
        </w:rPr>
        <w:t xml:space="preserve"> investigation into the accusation he was found </w:t>
      </w:r>
      <w:r w:rsidR="00D8583F">
        <w:rPr>
          <w:rFonts w:ascii="Arial" w:hAnsi="Arial" w:cs="Arial"/>
          <w:sz w:val="24"/>
          <w:szCs w:val="24"/>
        </w:rPr>
        <w:t>guilty</w:t>
      </w:r>
      <w:r w:rsidR="00D21743">
        <w:rPr>
          <w:rFonts w:ascii="Arial" w:hAnsi="Arial" w:cs="Arial"/>
          <w:sz w:val="24"/>
          <w:szCs w:val="24"/>
        </w:rPr>
        <w:t xml:space="preserve"> of using this technique under the Gambling Act 2005</w:t>
      </w:r>
      <w:r w:rsidR="005438B5">
        <w:rPr>
          <w:rFonts w:ascii="Arial" w:hAnsi="Arial" w:cs="Arial"/>
          <w:sz w:val="24"/>
          <w:szCs w:val="24"/>
        </w:rPr>
        <w:t xml:space="preserve">, the </w:t>
      </w:r>
      <w:r w:rsidR="002208AB" w:rsidRPr="00BC2837">
        <w:rPr>
          <w:rFonts w:ascii="Arial" w:hAnsi="Arial" w:cs="Arial"/>
          <w:color w:val="000000" w:themeColor="text1"/>
          <w:sz w:val="24"/>
          <w:szCs w:val="24"/>
        </w:rPr>
        <w:t xml:space="preserve">case also addressed the test for dishonesty in English criminal law, </w:t>
      </w:r>
      <w:r w:rsidR="005340B5">
        <w:rPr>
          <w:rFonts w:ascii="Arial" w:hAnsi="Arial" w:cs="Arial"/>
          <w:color w:val="000000" w:themeColor="text1"/>
          <w:sz w:val="24"/>
          <w:szCs w:val="24"/>
        </w:rPr>
        <w:t xml:space="preserve">but </w:t>
      </w:r>
      <w:r w:rsidR="002208AB" w:rsidRPr="009243B5">
        <w:rPr>
          <w:rFonts w:ascii="Arial" w:hAnsi="Arial" w:cs="Arial"/>
          <w:color w:val="000000" w:themeColor="text1"/>
          <w:sz w:val="24"/>
          <w:szCs w:val="24"/>
        </w:rPr>
        <w:t xml:space="preserve">the Court </w:t>
      </w:r>
      <w:r w:rsidR="005340B5" w:rsidRPr="009243B5">
        <w:rPr>
          <w:rFonts w:ascii="Arial" w:hAnsi="Arial" w:cs="Arial"/>
          <w:color w:val="000000" w:themeColor="text1"/>
          <w:sz w:val="24"/>
          <w:szCs w:val="24"/>
        </w:rPr>
        <w:t>chose</w:t>
      </w:r>
      <w:r w:rsidR="002208AB" w:rsidRPr="009243B5">
        <w:rPr>
          <w:rFonts w:ascii="Arial" w:hAnsi="Arial" w:cs="Arial"/>
          <w:color w:val="000000" w:themeColor="text1"/>
          <w:sz w:val="24"/>
          <w:szCs w:val="24"/>
        </w:rPr>
        <w:t xml:space="preserve"> to overrule the Ghosh test for dishonesty, </w:t>
      </w:r>
      <w:r w:rsidR="005340B5" w:rsidRPr="009243B5">
        <w:rPr>
          <w:rFonts w:ascii="Arial" w:hAnsi="Arial" w:cs="Arial"/>
          <w:color w:val="000000" w:themeColor="text1"/>
          <w:sz w:val="24"/>
          <w:szCs w:val="24"/>
        </w:rPr>
        <w:t xml:space="preserve">instead they used a </w:t>
      </w:r>
      <w:r w:rsidR="002208AB" w:rsidRPr="009243B5">
        <w:rPr>
          <w:rFonts w:ascii="Arial" w:hAnsi="Arial" w:cs="Arial"/>
          <w:color w:val="000000" w:themeColor="text1"/>
          <w:sz w:val="24"/>
          <w:szCs w:val="24"/>
        </w:rPr>
        <w:t>two-step objective test: first</w:t>
      </w:r>
      <w:r w:rsidR="005340B5" w:rsidRPr="009243B5">
        <w:rPr>
          <w:rFonts w:ascii="Arial" w:hAnsi="Arial" w:cs="Arial"/>
          <w:color w:val="000000" w:themeColor="text1"/>
          <w:sz w:val="24"/>
          <w:szCs w:val="24"/>
        </w:rPr>
        <w:t xml:space="preserve"> they considered the knowledge and beliefs of the individual accused and if </w:t>
      </w:r>
      <w:r w:rsidR="002208AB" w:rsidRPr="009243B5">
        <w:rPr>
          <w:rFonts w:ascii="Arial" w:hAnsi="Arial" w:cs="Arial"/>
          <w:color w:val="000000" w:themeColor="text1"/>
          <w:sz w:val="24"/>
          <w:szCs w:val="24"/>
        </w:rPr>
        <w:t>the conduct was dishonest by the standards of ordinary people</w:t>
      </w:r>
      <w:r w:rsidR="008C1AC0">
        <w:rPr>
          <w:rFonts w:ascii="Arial" w:hAnsi="Arial" w:cs="Arial"/>
          <w:color w:val="000000" w:themeColor="text1"/>
          <w:sz w:val="24"/>
          <w:szCs w:val="24"/>
        </w:rPr>
        <w:t xml:space="preserve"> (Virgo, 2018)</w:t>
      </w:r>
      <w:r w:rsidR="005340B5" w:rsidRPr="009243B5">
        <w:rPr>
          <w:rFonts w:ascii="Arial" w:hAnsi="Arial" w:cs="Arial"/>
          <w:color w:val="000000" w:themeColor="text1"/>
          <w:sz w:val="24"/>
          <w:szCs w:val="24"/>
        </w:rPr>
        <w:t xml:space="preserve"> As a result of being found guilty he was not entitled to the winnings, but if he had not been found out </w:t>
      </w:r>
      <w:r w:rsidR="009243B5" w:rsidRPr="009243B5">
        <w:rPr>
          <w:rFonts w:ascii="Arial" w:hAnsi="Arial" w:cs="Arial"/>
          <w:color w:val="000000" w:themeColor="text1"/>
          <w:sz w:val="24"/>
          <w:szCs w:val="24"/>
        </w:rPr>
        <w:t xml:space="preserve">Ivey taking the winnings would have been considered theft in the eyes of the law as it was obtained dishonestly by entering the game with ill intentions. </w:t>
      </w:r>
    </w:p>
    <w:p w14:paraId="6C78A431" w14:textId="77777777" w:rsidR="0060040C" w:rsidRDefault="0060040C" w:rsidP="005D4558">
      <w:pPr>
        <w:spacing w:line="360" w:lineRule="auto"/>
        <w:jc w:val="both"/>
        <w:rPr>
          <w:rFonts w:ascii="Arial" w:hAnsi="Arial" w:cs="Arial"/>
          <w:color w:val="000000" w:themeColor="text1"/>
          <w:sz w:val="24"/>
          <w:szCs w:val="24"/>
        </w:rPr>
      </w:pPr>
    </w:p>
    <w:p w14:paraId="0B5D1319" w14:textId="14B2E494" w:rsidR="007845B1" w:rsidRDefault="0060040C" w:rsidP="005D4558">
      <w:pPr>
        <w:spacing w:line="360" w:lineRule="auto"/>
        <w:jc w:val="both"/>
        <w:rPr>
          <w:rFonts w:ascii="Lato" w:hAnsi="Lato"/>
          <w:color w:val="000000" w:themeColor="text1"/>
          <w:sz w:val="24"/>
          <w:szCs w:val="24"/>
        </w:rPr>
      </w:pPr>
      <w:r>
        <w:rPr>
          <w:rFonts w:ascii="Arial" w:hAnsi="Arial" w:cs="Arial"/>
          <w:color w:val="000000" w:themeColor="text1"/>
          <w:sz w:val="24"/>
          <w:szCs w:val="24"/>
        </w:rPr>
        <w:t xml:space="preserve">According to </w:t>
      </w:r>
      <w:r w:rsidR="007845B1">
        <w:rPr>
          <w:rFonts w:ascii="Arial" w:hAnsi="Arial" w:cs="Arial"/>
          <w:color w:val="000000" w:themeColor="text1"/>
          <w:sz w:val="24"/>
          <w:szCs w:val="24"/>
        </w:rPr>
        <w:t>Edwards (20</w:t>
      </w:r>
      <w:r w:rsidR="00FB1A4F">
        <w:rPr>
          <w:rFonts w:ascii="Arial" w:hAnsi="Arial" w:cs="Arial"/>
          <w:color w:val="000000" w:themeColor="text1"/>
          <w:sz w:val="24"/>
          <w:szCs w:val="24"/>
        </w:rPr>
        <w:t>1</w:t>
      </w:r>
      <w:r w:rsidR="007845B1">
        <w:rPr>
          <w:rFonts w:ascii="Arial" w:hAnsi="Arial" w:cs="Arial"/>
          <w:color w:val="000000" w:themeColor="text1"/>
          <w:sz w:val="24"/>
          <w:szCs w:val="24"/>
        </w:rPr>
        <w:t xml:space="preserve">9) </w:t>
      </w:r>
      <w:r w:rsidR="00A82EB9">
        <w:rPr>
          <w:rFonts w:ascii="Arial" w:hAnsi="Arial" w:cs="Arial"/>
          <w:color w:val="000000" w:themeColor="text1"/>
          <w:sz w:val="24"/>
          <w:szCs w:val="24"/>
        </w:rPr>
        <w:t xml:space="preserve">the Ghosh test can be considered as causing difficulties in </w:t>
      </w:r>
      <w:r w:rsidR="00995E7F">
        <w:rPr>
          <w:rFonts w:ascii="Arial" w:hAnsi="Arial" w:cs="Arial"/>
          <w:color w:val="000000" w:themeColor="text1"/>
          <w:sz w:val="24"/>
          <w:szCs w:val="24"/>
        </w:rPr>
        <w:t>prosecuting</w:t>
      </w:r>
      <w:r w:rsidR="00A82EB9">
        <w:rPr>
          <w:rFonts w:ascii="Arial" w:hAnsi="Arial" w:cs="Arial"/>
          <w:color w:val="000000" w:themeColor="text1"/>
          <w:sz w:val="24"/>
          <w:szCs w:val="24"/>
        </w:rPr>
        <w:t xml:space="preserve"> more complex cases as the trials now take a more straightforward approach </w:t>
      </w:r>
      <w:r w:rsidR="00740F9B">
        <w:rPr>
          <w:rFonts w:ascii="Arial" w:hAnsi="Arial" w:cs="Arial"/>
          <w:color w:val="000000" w:themeColor="text1"/>
          <w:sz w:val="24"/>
          <w:szCs w:val="24"/>
        </w:rPr>
        <w:t xml:space="preserve">which was </w:t>
      </w:r>
      <w:r w:rsidR="004B2103">
        <w:rPr>
          <w:rFonts w:ascii="Arial" w:hAnsi="Arial" w:cs="Arial"/>
          <w:color w:val="000000" w:themeColor="text1"/>
          <w:sz w:val="24"/>
          <w:szCs w:val="24"/>
        </w:rPr>
        <w:t>seen in Mr Ivey case</w:t>
      </w:r>
      <w:r w:rsidR="00740F9B">
        <w:rPr>
          <w:rFonts w:ascii="Arial" w:hAnsi="Arial" w:cs="Arial"/>
          <w:color w:val="000000" w:themeColor="text1"/>
          <w:sz w:val="24"/>
          <w:szCs w:val="24"/>
        </w:rPr>
        <w:t xml:space="preserve">, this was considered to be straightforward because the </w:t>
      </w:r>
      <w:r w:rsidR="00995E7F">
        <w:rPr>
          <w:rFonts w:ascii="Arial" w:hAnsi="Arial" w:cs="Arial"/>
          <w:color w:val="000000" w:themeColor="text1"/>
          <w:sz w:val="24"/>
          <w:szCs w:val="24"/>
        </w:rPr>
        <w:t xml:space="preserve">facts about the defendants </w:t>
      </w:r>
      <w:r w:rsidR="00E01EDF">
        <w:rPr>
          <w:rFonts w:ascii="Arial" w:hAnsi="Arial" w:cs="Arial"/>
          <w:color w:val="000000" w:themeColor="text1"/>
          <w:sz w:val="24"/>
          <w:szCs w:val="24"/>
        </w:rPr>
        <w:t xml:space="preserve">knowledge and beliefs were agreed and they </w:t>
      </w:r>
      <w:r w:rsidR="00E01EDF">
        <w:rPr>
          <w:rFonts w:ascii="Arial" w:hAnsi="Arial" w:cs="Arial"/>
          <w:color w:val="000000" w:themeColor="text1"/>
          <w:sz w:val="24"/>
          <w:szCs w:val="24"/>
        </w:rPr>
        <w:lastRenderedPageBreak/>
        <w:t xml:space="preserve">were found to be dishonest as he was well aware </w:t>
      </w:r>
      <w:r w:rsidR="00532DB0">
        <w:rPr>
          <w:rFonts w:ascii="Arial" w:hAnsi="Arial" w:cs="Arial"/>
          <w:color w:val="000000" w:themeColor="text1"/>
          <w:sz w:val="24"/>
          <w:szCs w:val="24"/>
        </w:rPr>
        <w:t xml:space="preserve">that the approach he was taking was cheating. This </w:t>
      </w:r>
      <w:r w:rsidR="008317FE">
        <w:rPr>
          <w:rFonts w:ascii="Arial" w:hAnsi="Arial" w:cs="Arial"/>
          <w:color w:val="000000" w:themeColor="text1"/>
          <w:sz w:val="24"/>
          <w:szCs w:val="24"/>
        </w:rPr>
        <w:t>places doubt</w:t>
      </w:r>
      <w:r w:rsidR="00645584">
        <w:rPr>
          <w:rFonts w:ascii="Arial" w:hAnsi="Arial" w:cs="Arial"/>
          <w:color w:val="000000" w:themeColor="text1"/>
          <w:sz w:val="24"/>
          <w:szCs w:val="24"/>
        </w:rPr>
        <w:t xml:space="preserve"> </w:t>
      </w:r>
      <w:r w:rsidR="008317FE">
        <w:rPr>
          <w:rFonts w:ascii="Arial" w:hAnsi="Arial" w:cs="Arial"/>
          <w:color w:val="000000" w:themeColor="text1"/>
          <w:sz w:val="24"/>
          <w:szCs w:val="24"/>
        </w:rPr>
        <w:t>upon some future cases as it can allow for</w:t>
      </w:r>
      <w:r w:rsidR="008317FE" w:rsidRPr="00A24DF1">
        <w:rPr>
          <w:rFonts w:ascii="Arial" w:hAnsi="Arial" w:cs="Arial"/>
          <w:color w:val="000000" w:themeColor="text1"/>
          <w:sz w:val="24"/>
          <w:szCs w:val="24"/>
        </w:rPr>
        <w:t xml:space="preserve"> </w:t>
      </w:r>
      <w:r w:rsidR="007845B1" w:rsidRPr="007845B1">
        <w:rPr>
          <w:rFonts w:ascii="Arial" w:hAnsi="Arial" w:cs="Arial"/>
          <w:color w:val="000000" w:themeColor="text1"/>
          <w:sz w:val="24"/>
          <w:szCs w:val="24"/>
        </w:rPr>
        <w:t>prosecutors to bypass altogether previous subjective defences such as market practice, or cultural standards, and</w:t>
      </w:r>
      <w:r w:rsidR="00E720F8" w:rsidRPr="00A24DF1">
        <w:rPr>
          <w:rFonts w:ascii="Arial" w:hAnsi="Arial" w:cs="Arial"/>
          <w:color w:val="000000" w:themeColor="text1"/>
          <w:sz w:val="24"/>
          <w:szCs w:val="24"/>
        </w:rPr>
        <w:t xml:space="preserve"> the decision of whether it was</w:t>
      </w:r>
      <w:r w:rsidR="00147FDF" w:rsidRPr="00A24DF1">
        <w:rPr>
          <w:rFonts w:ascii="Arial" w:hAnsi="Arial" w:cs="Arial"/>
          <w:color w:val="000000" w:themeColor="text1"/>
          <w:sz w:val="24"/>
          <w:szCs w:val="24"/>
        </w:rPr>
        <w:t xml:space="preserve"> objectively</w:t>
      </w:r>
      <w:r w:rsidR="00E720F8" w:rsidRPr="00A24DF1">
        <w:rPr>
          <w:rFonts w:ascii="Arial" w:hAnsi="Arial" w:cs="Arial"/>
          <w:color w:val="000000" w:themeColor="text1"/>
          <w:sz w:val="24"/>
          <w:szCs w:val="24"/>
        </w:rPr>
        <w:t xml:space="preserve"> dishonest is left to the jury</w:t>
      </w:r>
      <w:r w:rsidR="00147FDF" w:rsidRPr="00A24DF1">
        <w:rPr>
          <w:rFonts w:ascii="Arial" w:hAnsi="Arial" w:cs="Arial"/>
          <w:color w:val="000000" w:themeColor="text1"/>
          <w:sz w:val="24"/>
          <w:szCs w:val="24"/>
        </w:rPr>
        <w:t>. T</w:t>
      </w:r>
      <w:r w:rsidR="007845B1" w:rsidRPr="007845B1">
        <w:rPr>
          <w:rFonts w:ascii="Arial" w:hAnsi="Arial" w:cs="Arial"/>
          <w:color w:val="000000" w:themeColor="text1"/>
          <w:sz w:val="24"/>
          <w:szCs w:val="24"/>
        </w:rPr>
        <w:t xml:space="preserve">his change to the criminal test for dishonesty </w:t>
      </w:r>
      <w:r w:rsidR="00904F87" w:rsidRPr="00A24DF1">
        <w:rPr>
          <w:rFonts w:ascii="Arial" w:hAnsi="Arial" w:cs="Arial"/>
          <w:color w:val="000000" w:themeColor="text1"/>
          <w:sz w:val="24"/>
          <w:szCs w:val="24"/>
        </w:rPr>
        <w:t>was</w:t>
      </w:r>
      <w:r w:rsidR="007845B1" w:rsidRPr="007845B1">
        <w:rPr>
          <w:rFonts w:ascii="Arial" w:hAnsi="Arial" w:cs="Arial"/>
          <w:color w:val="000000" w:themeColor="text1"/>
          <w:sz w:val="24"/>
          <w:szCs w:val="24"/>
        </w:rPr>
        <w:t xml:space="preserve"> significant for both </w:t>
      </w:r>
      <w:r w:rsidR="00904F87" w:rsidRPr="00A24DF1">
        <w:rPr>
          <w:rFonts w:ascii="Arial" w:hAnsi="Arial" w:cs="Arial"/>
          <w:color w:val="000000" w:themeColor="text1"/>
          <w:sz w:val="24"/>
          <w:szCs w:val="24"/>
        </w:rPr>
        <w:t xml:space="preserve">the court </w:t>
      </w:r>
      <w:r w:rsidR="0038540C" w:rsidRPr="00A24DF1">
        <w:rPr>
          <w:rFonts w:ascii="Arial" w:hAnsi="Arial" w:cs="Arial"/>
          <w:color w:val="000000" w:themeColor="text1"/>
          <w:sz w:val="24"/>
          <w:szCs w:val="24"/>
        </w:rPr>
        <w:t xml:space="preserve">and </w:t>
      </w:r>
      <w:r w:rsidR="007845B1" w:rsidRPr="007845B1">
        <w:rPr>
          <w:rFonts w:ascii="Arial" w:hAnsi="Arial" w:cs="Arial"/>
          <w:color w:val="000000" w:themeColor="text1"/>
          <w:sz w:val="24"/>
          <w:szCs w:val="24"/>
        </w:rPr>
        <w:t>organisations and their employees</w:t>
      </w:r>
      <w:r w:rsidR="0038540C" w:rsidRPr="00A24DF1">
        <w:rPr>
          <w:rFonts w:ascii="Arial" w:hAnsi="Arial" w:cs="Arial"/>
          <w:color w:val="000000" w:themeColor="text1"/>
          <w:sz w:val="24"/>
          <w:szCs w:val="24"/>
        </w:rPr>
        <w:t xml:space="preserve"> as it causes</w:t>
      </w:r>
      <w:r w:rsidR="007845B1" w:rsidRPr="007845B1">
        <w:rPr>
          <w:rFonts w:ascii="Arial" w:hAnsi="Arial" w:cs="Arial"/>
          <w:color w:val="000000" w:themeColor="text1"/>
          <w:sz w:val="24"/>
          <w:szCs w:val="24"/>
        </w:rPr>
        <w:t xml:space="preserve"> businesses to operate in a way that reduces the risk of their employees</w:t>
      </w:r>
      <w:r w:rsidR="0038540C" w:rsidRPr="00A24DF1">
        <w:rPr>
          <w:rFonts w:ascii="Arial" w:hAnsi="Arial" w:cs="Arial"/>
          <w:color w:val="000000" w:themeColor="text1"/>
          <w:sz w:val="24"/>
          <w:szCs w:val="24"/>
        </w:rPr>
        <w:t xml:space="preserve"> where for example now in Casinos </w:t>
      </w:r>
      <w:r w:rsidR="00033655" w:rsidRPr="00A24DF1">
        <w:rPr>
          <w:rFonts w:ascii="Arial" w:hAnsi="Arial" w:cs="Arial"/>
          <w:color w:val="000000" w:themeColor="text1"/>
          <w:sz w:val="24"/>
          <w:szCs w:val="24"/>
        </w:rPr>
        <w:t xml:space="preserve">there is always CCTV running to catch out cheating and </w:t>
      </w:r>
      <w:r w:rsidR="00A24DF1" w:rsidRPr="00A24DF1">
        <w:rPr>
          <w:rFonts w:ascii="Arial" w:hAnsi="Arial" w:cs="Arial"/>
          <w:color w:val="000000" w:themeColor="text1"/>
          <w:sz w:val="24"/>
          <w:szCs w:val="24"/>
        </w:rPr>
        <w:t>claiming</w:t>
      </w:r>
      <w:r w:rsidR="00033655" w:rsidRPr="00A24DF1">
        <w:rPr>
          <w:rFonts w:ascii="Arial" w:hAnsi="Arial" w:cs="Arial"/>
          <w:color w:val="000000" w:themeColor="text1"/>
          <w:sz w:val="24"/>
          <w:szCs w:val="24"/>
        </w:rPr>
        <w:t xml:space="preserve"> large winnings is now more difficult as </w:t>
      </w:r>
      <w:r w:rsidR="00A24DF1" w:rsidRPr="00A24DF1">
        <w:rPr>
          <w:rFonts w:ascii="Arial" w:hAnsi="Arial" w:cs="Arial"/>
          <w:color w:val="000000" w:themeColor="text1"/>
          <w:sz w:val="24"/>
          <w:szCs w:val="24"/>
        </w:rPr>
        <w:t>dishonesty is considered and therefore investigated.</w:t>
      </w:r>
      <w:r w:rsidR="00A24DF1" w:rsidRPr="00A24DF1">
        <w:rPr>
          <w:rFonts w:ascii="Lato" w:hAnsi="Lato"/>
          <w:color w:val="000000" w:themeColor="text1"/>
          <w:sz w:val="24"/>
          <w:szCs w:val="24"/>
        </w:rPr>
        <w:t xml:space="preserve"> </w:t>
      </w:r>
    </w:p>
    <w:p w14:paraId="5C8893AE" w14:textId="77777777" w:rsidR="00261DD2" w:rsidRDefault="00261DD2" w:rsidP="005D4558">
      <w:pPr>
        <w:spacing w:line="360" w:lineRule="auto"/>
        <w:jc w:val="both"/>
        <w:rPr>
          <w:rFonts w:ascii="Lato" w:hAnsi="Lato"/>
          <w:color w:val="000000" w:themeColor="text1"/>
          <w:sz w:val="24"/>
          <w:szCs w:val="24"/>
        </w:rPr>
      </w:pPr>
    </w:p>
    <w:p w14:paraId="6AFA19CD" w14:textId="00F13655" w:rsidR="004846ED" w:rsidRPr="003F1016" w:rsidRDefault="00A756ED" w:rsidP="005D4558">
      <w:pPr>
        <w:spacing w:line="360" w:lineRule="auto"/>
        <w:jc w:val="both"/>
        <w:rPr>
          <w:rFonts w:ascii="Arial" w:hAnsi="Arial" w:cs="Arial"/>
          <w:color w:val="000000" w:themeColor="text1"/>
          <w:sz w:val="24"/>
          <w:szCs w:val="24"/>
        </w:rPr>
      </w:pPr>
      <w:r w:rsidRPr="003F1016">
        <w:rPr>
          <w:rFonts w:ascii="Arial" w:hAnsi="Arial" w:cs="Arial"/>
          <w:color w:val="000000" w:themeColor="text1"/>
          <w:sz w:val="24"/>
          <w:szCs w:val="24"/>
        </w:rPr>
        <w:t xml:space="preserve">Another </w:t>
      </w:r>
      <w:r w:rsidR="006A62FD" w:rsidRPr="003F1016">
        <w:rPr>
          <w:rFonts w:ascii="Arial" w:hAnsi="Arial" w:cs="Arial"/>
          <w:color w:val="000000" w:themeColor="text1"/>
          <w:sz w:val="24"/>
          <w:szCs w:val="24"/>
        </w:rPr>
        <w:t>form</w:t>
      </w:r>
      <w:r w:rsidRPr="003F1016">
        <w:rPr>
          <w:rFonts w:ascii="Arial" w:hAnsi="Arial" w:cs="Arial"/>
          <w:color w:val="000000" w:themeColor="text1"/>
          <w:sz w:val="24"/>
          <w:szCs w:val="24"/>
        </w:rPr>
        <w:t xml:space="preserve"> of </w:t>
      </w:r>
      <w:r w:rsidR="006A62FD" w:rsidRPr="003F1016">
        <w:rPr>
          <w:rFonts w:ascii="Arial" w:hAnsi="Arial" w:cs="Arial"/>
          <w:color w:val="000000" w:themeColor="text1"/>
          <w:sz w:val="24"/>
          <w:szCs w:val="24"/>
        </w:rPr>
        <w:t>dishonesty is trespassing with intent such as when customer goes behind a counter without permission</w:t>
      </w:r>
      <w:r w:rsidR="003171B8" w:rsidRPr="003F1016">
        <w:rPr>
          <w:rFonts w:ascii="Arial" w:hAnsi="Arial" w:cs="Arial"/>
          <w:color w:val="000000" w:themeColor="text1"/>
          <w:sz w:val="24"/>
          <w:szCs w:val="24"/>
        </w:rPr>
        <w:t xml:space="preserve"> this is because the purpose of going behind the counter could be perceived as a way of committing theft and therefore being dishonest</w:t>
      </w:r>
      <w:r w:rsidR="006A62FD" w:rsidRPr="003F1016">
        <w:rPr>
          <w:rFonts w:ascii="Arial" w:hAnsi="Arial" w:cs="Arial"/>
          <w:color w:val="000000" w:themeColor="text1"/>
          <w:sz w:val="24"/>
          <w:szCs w:val="24"/>
        </w:rPr>
        <w:t>.</w:t>
      </w:r>
      <w:r w:rsidR="00FE7CC4" w:rsidRPr="003F1016">
        <w:rPr>
          <w:rFonts w:ascii="Arial" w:hAnsi="Arial" w:cs="Arial"/>
          <w:color w:val="000000" w:themeColor="text1"/>
          <w:sz w:val="24"/>
          <w:szCs w:val="24"/>
        </w:rPr>
        <w:t xml:space="preserve"> An example of this is R v Walkington </w:t>
      </w:r>
      <w:r w:rsidR="004846ED" w:rsidRPr="003F1016">
        <w:rPr>
          <w:rFonts w:ascii="Arial" w:hAnsi="Arial" w:cs="Arial"/>
          <w:color w:val="000000" w:themeColor="text1"/>
          <w:sz w:val="24"/>
          <w:szCs w:val="24"/>
        </w:rPr>
        <w:t xml:space="preserve">in </w:t>
      </w:r>
      <w:r w:rsidR="00FE7CC4" w:rsidRPr="003F1016">
        <w:rPr>
          <w:rFonts w:ascii="Arial" w:hAnsi="Arial" w:cs="Arial"/>
          <w:color w:val="000000" w:themeColor="text1"/>
          <w:sz w:val="24"/>
          <w:szCs w:val="24"/>
        </w:rPr>
        <w:t xml:space="preserve">1979 </w:t>
      </w:r>
      <w:r w:rsidR="004846ED" w:rsidRPr="003F1016">
        <w:rPr>
          <w:rFonts w:ascii="Arial" w:hAnsi="Arial" w:cs="Arial"/>
          <w:color w:val="000000" w:themeColor="text1"/>
          <w:sz w:val="24"/>
          <w:szCs w:val="24"/>
        </w:rPr>
        <w:t xml:space="preserve">this case </w:t>
      </w:r>
      <w:r w:rsidR="00FE7CC4" w:rsidRPr="003F1016">
        <w:rPr>
          <w:rFonts w:ascii="Arial" w:hAnsi="Arial" w:cs="Arial"/>
          <w:color w:val="000000" w:themeColor="text1"/>
          <w:sz w:val="24"/>
          <w:szCs w:val="24"/>
        </w:rPr>
        <w:t>addressed the legal principles surrounding trespass and burglary under Section 9 of the Theft Act 1968</w:t>
      </w:r>
      <w:r w:rsidR="003C00F3" w:rsidRPr="003F1016">
        <w:rPr>
          <w:rFonts w:ascii="Arial" w:hAnsi="Arial" w:cs="Arial"/>
          <w:color w:val="000000" w:themeColor="text1"/>
          <w:sz w:val="24"/>
          <w:szCs w:val="24"/>
        </w:rPr>
        <w:t xml:space="preserve"> (UOLLB 2024)</w:t>
      </w:r>
      <w:r w:rsidR="00B925A9" w:rsidRPr="003F1016">
        <w:rPr>
          <w:rFonts w:ascii="Arial" w:hAnsi="Arial" w:cs="Arial"/>
          <w:color w:val="000000" w:themeColor="text1"/>
          <w:sz w:val="24"/>
          <w:szCs w:val="24"/>
        </w:rPr>
        <w:t>. In this case Walkington went behind the counter</w:t>
      </w:r>
      <w:r w:rsidR="00737F72" w:rsidRPr="003F1016">
        <w:rPr>
          <w:rFonts w:ascii="Arial" w:hAnsi="Arial" w:cs="Arial"/>
          <w:color w:val="000000" w:themeColor="text1"/>
          <w:sz w:val="24"/>
          <w:szCs w:val="24"/>
        </w:rPr>
        <w:t xml:space="preserve"> of a department store after closing. He proceeded to open the till which was found to be empty</w:t>
      </w:r>
      <w:r w:rsidR="003F1016" w:rsidRPr="003F1016">
        <w:rPr>
          <w:rFonts w:ascii="Arial" w:hAnsi="Arial" w:cs="Arial"/>
          <w:color w:val="000000" w:themeColor="text1"/>
          <w:sz w:val="24"/>
          <w:szCs w:val="24"/>
        </w:rPr>
        <w:t xml:space="preserve">. As a result of his </w:t>
      </w:r>
      <w:r w:rsidR="005076F4" w:rsidRPr="003F1016">
        <w:rPr>
          <w:rFonts w:ascii="Arial" w:hAnsi="Arial" w:cs="Arial"/>
          <w:color w:val="000000" w:themeColor="text1"/>
          <w:sz w:val="24"/>
          <w:szCs w:val="24"/>
        </w:rPr>
        <w:t>actions,</w:t>
      </w:r>
      <w:r w:rsidR="003F1016" w:rsidRPr="003F1016">
        <w:rPr>
          <w:rFonts w:ascii="Arial" w:hAnsi="Arial" w:cs="Arial"/>
          <w:color w:val="000000" w:themeColor="text1"/>
          <w:sz w:val="24"/>
          <w:szCs w:val="24"/>
        </w:rPr>
        <w:t xml:space="preserve"> he was charged and convicted of burglary</w:t>
      </w:r>
      <w:r w:rsidR="003F1016">
        <w:rPr>
          <w:rFonts w:ascii="Arial" w:hAnsi="Arial" w:cs="Arial"/>
          <w:color w:val="000000" w:themeColor="text1"/>
          <w:sz w:val="24"/>
          <w:szCs w:val="24"/>
        </w:rPr>
        <w:t xml:space="preserve">. His actions were found to be dishonest and although no theft occurred because the till was empty </w:t>
      </w:r>
      <w:r w:rsidR="0074264E">
        <w:rPr>
          <w:rFonts w:ascii="Arial" w:hAnsi="Arial" w:cs="Arial"/>
          <w:color w:val="000000" w:themeColor="text1"/>
          <w:sz w:val="24"/>
          <w:szCs w:val="24"/>
        </w:rPr>
        <w:t xml:space="preserve">his intentions were questionable as what would he have done if the till had money in it. </w:t>
      </w:r>
    </w:p>
    <w:p w14:paraId="0C51D658" w14:textId="77777777" w:rsidR="005368CD" w:rsidRDefault="005368CD" w:rsidP="005D4558">
      <w:pPr>
        <w:spacing w:line="360" w:lineRule="auto"/>
        <w:jc w:val="both"/>
        <w:rPr>
          <w:rFonts w:ascii="Lato" w:hAnsi="Lato"/>
          <w:color w:val="000000" w:themeColor="text1"/>
          <w:sz w:val="24"/>
          <w:szCs w:val="24"/>
        </w:rPr>
      </w:pPr>
    </w:p>
    <w:p w14:paraId="0ABE97E0" w14:textId="2C22EC71" w:rsidR="005368CD" w:rsidRPr="008A605A" w:rsidRDefault="005368CD" w:rsidP="005D4558">
      <w:pPr>
        <w:spacing w:line="360" w:lineRule="auto"/>
        <w:jc w:val="both"/>
        <w:rPr>
          <w:rFonts w:ascii="Arial" w:hAnsi="Arial" w:cs="Arial"/>
          <w:color w:val="000000" w:themeColor="text1"/>
          <w:sz w:val="24"/>
          <w:szCs w:val="24"/>
        </w:rPr>
      </w:pPr>
      <w:r w:rsidRPr="008A605A">
        <w:rPr>
          <w:rFonts w:ascii="Arial" w:hAnsi="Arial" w:cs="Arial"/>
          <w:color w:val="000000" w:themeColor="text1"/>
          <w:sz w:val="24"/>
          <w:szCs w:val="24"/>
        </w:rPr>
        <w:t>Leggett (2018) wrote about another case of dishonesty</w:t>
      </w:r>
      <w:r w:rsidR="00726D9C">
        <w:rPr>
          <w:rFonts w:ascii="Arial" w:hAnsi="Arial" w:cs="Arial"/>
          <w:color w:val="000000" w:themeColor="text1"/>
          <w:sz w:val="24"/>
          <w:szCs w:val="24"/>
        </w:rPr>
        <w:t>:</w:t>
      </w:r>
      <w:r w:rsidR="001C5A05">
        <w:rPr>
          <w:rFonts w:ascii="Arial" w:hAnsi="Arial" w:cs="Arial"/>
          <w:color w:val="000000" w:themeColor="text1"/>
          <w:sz w:val="24"/>
          <w:szCs w:val="24"/>
        </w:rPr>
        <w:t xml:space="preserve"> </w:t>
      </w:r>
      <w:r w:rsidR="001C5A05" w:rsidRPr="001C5A05">
        <w:rPr>
          <w:rFonts w:ascii="Arial" w:hAnsi="Arial" w:cs="Arial"/>
          <w:color w:val="000000" w:themeColor="text1"/>
          <w:sz w:val="24"/>
          <w:szCs w:val="24"/>
        </w:rPr>
        <w:t xml:space="preserve">R. v </w:t>
      </w:r>
      <w:r w:rsidR="00726D9C" w:rsidRPr="001C5A05">
        <w:rPr>
          <w:rFonts w:ascii="Arial" w:hAnsi="Arial" w:cs="Arial"/>
          <w:color w:val="000000" w:themeColor="text1"/>
          <w:sz w:val="24"/>
          <w:szCs w:val="24"/>
        </w:rPr>
        <w:t>Darroux</w:t>
      </w:r>
      <w:r w:rsidR="00726D9C">
        <w:rPr>
          <w:rFonts w:ascii="Arial" w:hAnsi="Arial" w:cs="Arial"/>
          <w:color w:val="000000" w:themeColor="text1"/>
          <w:sz w:val="24"/>
          <w:szCs w:val="24"/>
        </w:rPr>
        <w:t>,</w:t>
      </w:r>
      <w:r w:rsidR="007F151A">
        <w:rPr>
          <w:rFonts w:ascii="Arial" w:hAnsi="Arial" w:cs="Arial"/>
          <w:color w:val="000000" w:themeColor="text1"/>
          <w:sz w:val="24"/>
          <w:szCs w:val="24"/>
        </w:rPr>
        <w:t xml:space="preserve"> Darroux worked for a housing association as </w:t>
      </w:r>
      <w:r w:rsidR="00B30F0F">
        <w:rPr>
          <w:rFonts w:ascii="Arial" w:hAnsi="Arial" w:cs="Arial"/>
          <w:color w:val="000000" w:themeColor="text1"/>
          <w:sz w:val="24"/>
          <w:szCs w:val="24"/>
        </w:rPr>
        <w:t xml:space="preserve">manager of the charity </w:t>
      </w:r>
      <w:r w:rsidR="0051132E">
        <w:rPr>
          <w:rFonts w:ascii="Arial" w:hAnsi="Arial" w:cs="Arial"/>
          <w:color w:val="000000" w:themeColor="text1"/>
          <w:sz w:val="24"/>
          <w:szCs w:val="24"/>
        </w:rPr>
        <w:t xml:space="preserve">where one responsibility was to authorise and oversee salaries, </w:t>
      </w:r>
      <w:r w:rsidR="007B38B7">
        <w:rPr>
          <w:rFonts w:ascii="Arial" w:hAnsi="Arial" w:cs="Arial"/>
          <w:color w:val="000000" w:themeColor="text1"/>
          <w:sz w:val="24"/>
          <w:szCs w:val="24"/>
        </w:rPr>
        <w:t>overtime,</w:t>
      </w:r>
      <w:r w:rsidR="0051132E">
        <w:rPr>
          <w:rFonts w:ascii="Arial" w:hAnsi="Arial" w:cs="Arial"/>
          <w:color w:val="000000" w:themeColor="text1"/>
          <w:sz w:val="24"/>
          <w:szCs w:val="24"/>
        </w:rPr>
        <w:t xml:space="preserve"> </w:t>
      </w:r>
      <w:r w:rsidR="00523CCF">
        <w:rPr>
          <w:rFonts w:ascii="Arial" w:hAnsi="Arial" w:cs="Arial"/>
          <w:color w:val="000000" w:themeColor="text1"/>
          <w:sz w:val="24"/>
          <w:szCs w:val="24"/>
        </w:rPr>
        <w:t xml:space="preserve">and holiday payments. </w:t>
      </w:r>
      <w:r w:rsidR="00726D9C">
        <w:rPr>
          <w:rFonts w:ascii="Arial" w:hAnsi="Arial" w:cs="Arial"/>
          <w:color w:val="000000" w:themeColor="text1"/>
          <w:sz w:val="24"/>
          <w:szCs w:val="24"/>
        </w:rPr>
        <w:t>However,</w:t>
      </w:r>
      <w:r w:rsidR="00523CCF">
        <w:rPr>
          <w:rFonts w:ascii="Arial" w:hAnsi="Arial" w:cs="Arial"/>
          <w:color w:val="000000" w:themeColor="text1"/>
          <w:sz w:val="24"/>
          <w:szCs w:val="24"/>
        </w:rPr>
        <w:t xml:space="preserve"> some financial irregularities were found to have been conducted by Darroux prompting a</w:t>
      </w:r>
      <w:r w:rsidR="00117433">
        <w:rPr>
          <w:rFonts w:ascii="Arial" w:hAnsi="Arial" w:cs="Arial"/>
          <w:color w:val="000000" w:themeColor="text1"/>
          <w:sz w:val="24"/>
          <w:szCs w:val="24"/>
        </w:rPr>
        <w:t xml:space="preserve">n </w:t>
      </w:r>
      <w:r w:rsidR="00523CCF">
        <w:rPr>
          <w:rFonts w:ascii="Arial" w:hAnsi="Arial" w:cs="Arial"/>
          <w:color w:val="000000" w:themeColor="text1"/>
          <w:sz w:val="24"/>
          <w:szCs w:val="24"/>
        </w:rPr>
        <w:t>investigation and led to her dismissal from the position. In 2011</w:t>
      </w:r>
      <w:r w:rsidR="00726D9C">
        <w:rPr>
          <w:rFonts w:ascii="Arial" w:hAnsi="Arial" w:cs="Arial"/>
          <w:color w:val="000000" w:themeColor="text1"/>
          <w:sz w:val="24"/>
          <w:szCs w:val="24"/>
        </w:rPr>
        <w:t xml:space="preserve"> </w:t>
      </w:r>
      <w:r w:rsidR="007B38B7">
        <w:rPr>
          <w:rFonts w:ascii="Arial" w:hAnsi="Arial" w:cs="Arial"/>
          <w:color w:val="000000" w:themeColor="text1"/>
          <w:sz w:val="24"/>
          <w:szCs w:val="24"/>
        </w:rPr>
        <w:t xml:space="preserve">Darroux was charged with nine counts of </w:t>
      </w:r>
      <w:r w:rsidR="009300C3">
        <w:rPr>
          <w:rFonts w:ascii="Arial" w:hAnsi="Arial" w:cs="Arial"/>
          <w:color w:val="000000" w:themeColor="text1"/>
          <w:sz w:val="24"/>
          <w:szCs w:val="24"/>
        </w:rPr>
        <w:t>theft,</w:t>
      </w:r>
      <w:r w:rsidR="007B38B7">
        <w:rPr>
          <w:rFonts w:ascii="Arial" w:hAnsi="Arial" w:cs="Arial"/>
          <w:color w:val="000000" w:themeColor="text1"/>
          <w:sz w:val="24"/>
          <w:szCs w:val="24"/>
        </w:rPr>
        <w:t xml:space="preserve"> </w:t>
      </w:r>
      <w:r w:rsidR="00A2299B">
        <w:rPr>
          <w:rFonts w:ascii="Arial" w:hAnsi="Arial" w:cs="Arial"/>
          <w:color w:val="000000" w:themeColor="text1"/>
          <w:sz w:val="24"/>
          <w:szCs w:val="24"/>
        </w:rPr>
        <w:t>but</w:t>
      </w:r>
      <w:r w:rsidR="007B38B7">
        <w:rPr>
          <w:rFonts w:ascii="Arial" w:hAnsi="Arial" w:cs="Arial"/>
          <w:color w:val="000000" w:themeColor="text1"/>
          <w:sz w:val="24"/>
          <w:szCs w:val="24"/>
        </w:rPr>
        <w:t xml:space="preserve"> the case was later quashed</w:t>
      </w:r>
      <w:r w:rsidR="00117433">
        <w:rPr>
          <w:rFonts w:ascii="Arial" w:hAnsi="Arial" w:cs="Arial"/>
          <w:color w:val="000000" w:themeColor="text1"/>
          <w:sz w:val="24"/>
          <w:szCs w:val="24"/>
        </w:rPr>
        <w:t xml:space="preserve"> because the</w:t>
      </w:r>
      <w:r w:rsidR="00117433" w:rsidRPr="00117433">
        <w:rPr>
          <w:rFonts w:ascii="Arial" w:hAnsi="Arial" w:cs="Arial"/>
          <w:color w:val="000000" w:themeColor="text1"/>
          <w:sz w:val="24"/>
          <w:szCs w:val="24"/>
        </w:rPr>
        <w:t xml:space="preserve"> Court of Appeal </w:t>
      </w:r>
      <w:r w:rsidR="00117433">
        <w:rPr>
          <w:rFonts w:ascii="Arial" w:hAnsi="Arial" w:cs="Arial"/>
          <w:color w:val="000000" w:themeColor="text1"/>
          <w:sz w:val="24"/>
          <w:szCs w:val="24"/>
        </w:rPr>
        <w:t>felt a more</w:t>
      </w:r>
      <w:r w:rsidR="00117433" w:rsidRPr="00117433">
        <w:rPr>
          <w:rFonts w:ascii="Arial" w:hAnsi="Arial" w:cs="Arial"/>
          <w:color w:val="000000" w:themeColor="text1"/>
          <w:sz w:val="24"/>
          <w:szCs w:val="24"/>
        </w:rPr>
        <w:t xml:space="preserve"> appropriate charge in this case would have</w:t>
      </w:r>
      <w:r w:rsidR="00117433">
        <w:rPr>
          <w:rFonts w:ascii="Arial" w:hAnsi="Arial" w:cs="Arial"/>
          <w:color w:val="000000" w:themeColor="text1"/>
          <w:sz w:val="24"/>
          <w:szCs w:val="24"/>
        </w:rPr>
        <w:t xml:space="preserve"> </w:t>
      </w:r>
      <w:r w:rsidR="00117433" w:rsidRPr="00117433">
        <w:rPr>
          <w:rFonts w:ascii="Arial" w:hAnsi="Arial" w:cs="Arial"/>
          <w:color w:val="000000" w:themeColor="text1"/>
          <w:sz w:val="24"/>
          <w:szCs w:val="24"/>
        </w:rPr>
        <w:t>been under s</w:t>
      </w:r>
      <w:r w:rsidR="00DA169D">
        <w:rPr>
          <w:rFonts w:ascii="Arial" w:hAnsi="Arial" w:cs="Arial"/>
          <w:color w:val="000000" w:themeColor="text1"/>
          <w:sz w:val="24"/>
          <w:szCs w:val="24"/>
        </w:rPr>
        <w:t>ection</w:t>
      </w:r>
      <w:r w:rsidR="00117433" w:rsidRPr="00117433">
        <w:rPr>
          <w:rFonts w:ascii="Arial" w:hAnsi="Arial" w:cs="Arial"/>
          <w:color w:val="000000" w:themeColor="text1"/>
          <w:sz w:val="24"/>
          <w:szCs w:val="24"/>
        </w:rPr>
        <w:t xml:space="preserve"> 2 of the Fraud Act 2006.</w:t>
      </w:r>
      <w:r w:rsidR="00117433">
        <w:rPr>
          <w:rFonts w:ascii="Arial" w:hAnsi="Arial" w:cs="Arial"/>
          <w:color w:val="000000" w:themeColor="text1"/>
          <w:sz w:val="24"/>
          <w:szCs w:val="24"/>
        </w:rPr>
        <w:t xml:space="preserve"> But </w:t>
      </w:r>
      <w:r w:rsidR="009300C3">
        <w:rPr>
          <w:rFonts w:ascii="Arial" w:hAnsi="Arial" w:cs="Arial"/>
          <w:color w:val="000000" w:themeColor="text1"/>
          <w:sz w:val="24"/>
          <w:szCs w:val="24"/>
        </w:rPr>
        <w:t>this case again</w:t>
      </w:r>
      <w:r w:rsidR="00A2299B">
        <w:rPr>
          <w:rFonts w:ascii="Arial" w:hAnsi="Arial" w:cs="Arial"/>
          <w:color w:val="000000" w:themeColor="text1"/>
          <w:sz w:val="24"/>
          <w:szCs w:val="24"/>
        </w:rPr>
        <w:t xml:space="preserve"> shows an abuse of positions and power </w:t>
      </w:r>
      <w:r w:rsidR="00796807">
        <w:rPr>
          <w:rFonts w:ascii="Arial" w:hAnsi="Arial" w:cs="Arial"/>
          <w:color w:val="000000" w:themeColor="text1"/>
          <w:sz w:val="24"/>
          <w:szCs w:val="24"/>
        </w:rPr>
        <w:t>where dishonesty is used for financial gain.</w:t>
      </w:r>
      <w:r w:rsidR="006866B0">
        <w:rPr>
          <w:rFonts w:ascii="Arial" w:hAnsi="Arial" w:cs="Arial"/>
          <w:color w:val="000000" w:themeColor="text1"/>
          <w:sz w:val="24"/>
          <w:szCs w:val="24"/>
        </w:rPr>
        <w:t xml:space="preserve"> </w:t>
      </w:r>
    </w:p>
    <w:p w14:paraId="08ECE5ED" w14:textId="77777777" w:rsidR="00967B50" w:rsidRDefault="00967B50" w:rsidP="005D4558">
      <w:pPr>
        <w:spacing w:line="360" w:lineRule="auto"/>
        <w:jc w:val="both"/>
        <w:rPr>
          <w:rFonts w:ascii="Lato" w:hAnsi="Lato"/>
          <w:color w:val="000000" w:themeColor="text1"/>
          <w:sz w:val="24"/>
          <w:szCs w:val="24"/>
        </w:rPr>
      </w:pPr>
    </w:p>
    <w:p w14:paraId="6E6BB537" w14:textId="379BFD4A" w:rsidR="00794BDB" w:rsidRPr="006866B0" w:rsidRDefault="00967B50" w:rsidP="005D4558">
      <w:pPr>
        <w:spacing w:line="360" w:lineRule="auto"/>
        <w:jc w:val="both"/>
        <w:rPr>
          <w:rFonts w:ascii="Arial" w:hAnsi="Arial" w:cs="Arial"/>
          <w:color w:val="000000" w:themeColor="text1"/>
          <w:sz w:val="24"/>
          <w:szCs w:val="24"/>
        </w:rPr>
      </w:pPr>
      <w:r w:rsidRPr="008272DD">
        <w:rPr>
          <w:rFonts w:ascii="Arial" w:hAnsi="Arial" w:cs="Arial"/>
          <w:color w:val="000000" w:themeColor="text1"/>
          <w:sz w:val="24"/>
          <w:szCs w:val="24"/>
        </w:rPr>
        <w:t>In conclusion</w:t>
      </w:r>
      <w:r w:rsidR="003A3F80">
        <w:rPr>
          <w:rFonts w:ascii="Arial" w:hAnsi="Arial" w:cs="Arial"/>
          <w:color w:val="000000" w:themeColor="text1"/>
          <w:sz w:val="24"/>
          <w:szCs w:val="24"/>
        </w:rPr>
        <w:t xml:space="preserve"> it has been seen in the cases mentioned that the victims of </w:t>
      </w:r>
      <w:r w:rsidR="0001091F">
        <w:rPr>
          <w:rFonts w:ascii="Arial" w:hAnsi="Arial" w:cs="Arial"/>
          <w:color w:val="000000" w:themeColor="text1"/>
          <w:sz w:val="24"/>
          <w:szCs w:val="24"/>
        </w:rPr>
        <w:t xml:space="preserve">theft are usually those </w:t>
      </w:r>
      <w:r w:rsidR="000F5976">
        <w:rPr>
          <w:rFonts w:ascii="Arial" w:hAnsi="Arial" w:cs="Arial"/>
          <w:color w:val="000000" w:themeColor="text1"/>
          <w:sz w:val="24"/>
          <w:szCs w:val="24"/>
        </w:rPr>
        <w:t>vulnerable</w:t>
      </w:r>
      <w:r w:rsidR="0001091F">
        <w:rPr>
          <w:rFonts w:ascii="Arial" w:hAnsi="Arial" w:cs="Arial"/>
          <w:color w:val="000000" w:themeColor="text1"/>
          <w:sz w:val="24"/>
          <w:szCs w:val="24"/>
        </w:rPr>
        <w:t xml:space="preserve"> such as the care home cases where </w:t>
      </w:r>
      <w:r w:rsidR="000F5976">
        <w:rPr>
          <w:rFonts w:ascii="Arial" w:hAnsi="Arial" w:cs="Arial"/>
          <w:color w:val="000000" w:themeColor="text1"/>
          <w:sz w:val="24"/>
          <w:szCs w:val="24"/>
        </w:rPr>
        <w:t>older</w:t>
      </w:r>
      <w:r w:rsidR="0001091F">
        <w:rPr>
          <w:rFonts w:ascii="Arial" w:hAnsi="Arial" w:cs="Arial"/>
          <w:color w:val="000000" w:themeColor="text1"/>
          <w:sz w:val="24"/>
          <w:szCs w:val="24"/>
        </w:rPr>
        <w:t xml:space="preserve"> people are </w:t>
      </w:r>
      <w:r w:rsidR="000F5976">
        <w:rPr>
          <w:rFonts w:ascii="Arial" w:hAnsi="Arial" w:cs="Arial"/>
          <w:color w:val="000000" w:themeColor="text1"/>
          <w:sz w:val="24"/>
          <w:szCs w:val="24"/>
        </w:rPr>
        <w:t xml:space="preserve">targeted </w:t>
      </w:r>
      <w:r w:rsidR="000F5976">
        <w:rPr>
          <w:rFonts w:ascii="Arial" w:hAnsi="Arial" w:cs="Arial"/>
          <w:color w:val="000000" w:themeColor="text1"/>
          <w:sz w:val="24"/>
          <w:szCs w:val="24"/>
        </w:rPr>
        <w:lastRenderedPageBreak/>
        <w:t xml:space="preserve">as they are often seen as ‘easy targets’ this is felt to be </w:t>
      </w:r>
      <w:r w:rsidR="002E5678">
        <w:rPr>
          <w:rFonts w:ascii="Arial" w:hAnsi="Arial" w:cs="Arial"/>
          <w:color w:val="000000" w:themeColor="text1"/>
          <w:sz w:val="24"/>
          <w:szCs w:val="24"/>
        </w:rPr>
        <w:t xml:space="preserve">one of the worst forms of dishonesty and theft as they place their trust in these people to look after them in their final years </w:t>
      </w:r>
      <w:r w:rsidR="009A746B">
        <w:rPr>
          <w:rFonts w:ascii="Arial" w:hAnsi="Arial" w:cs="Arial"/>
          <w:color w:val="000000" w:themeColor="text1"/>
          <w:sz w:val="24"/>
          <w:szCs w:val="24"/>
        </w:rPr>
        <w:t>built</w:t>
      </w:r>
      <w:r w:rsidR="002E5678">
        <w:rPr>
          <w:rFonts w:ascii="Arial" w:hAnsi="Arial" w:cs="Arial"/>
          <w:color w:val="000000" w:themeColor="text1"/>
          <w:sz w:val="24"/>
          <w:szCs w:val="24"/>
        </w:rPr>
        <w:t xml:space="preserve"> instead are taken advantage of for </w:t>
      </w:r>
      <w:r w:rsidR="009A746B">
        <w:rPr>
          <w:rFonts w:ascii="Arial" w:hAnsi="Arial" w:cs="Arial"/>
          <w:color w:val="000000" w:themeColor="text1"/>
          <w:sz w:val="24"/>
          <w:szCs w:val="24"/>
        </w:rPr>
        <w:t>the perpetrators own financial gain. Financial gain is a common motivator for committing theft as seen in the above cases it is not physical property being stolen but money in each case</w:t>
      </w:r>
      <w:r w:rsidR="00394B36">
        <w:rPr>
          <w:rFonts w:ascii="Arial" w:hAnsi="Arial" w:cs="Arial"/>
          <w:color w:val="000000" w:themeColor="text1"/>
          <w:sz w:val="24"/>
          <w:szCs w:val="24"/>
        </w:rPr>
        <w:t>. It is also felt that t</w:t>
      </w:r>
      <w:r w:rsidRPr="008272DD">
        <w:rPr>
          <w:rFonts w:ascii="Arial" w:hAnsi="Arial" w:cs="Arial"/>
          <w:color w:val="000000" w:themeColor="text1"/>
          <w:sz w:val="24"/>
          <w:szCs w:val="24"/>
        </w:rPr>
        <w:t xml:space="preserve">he introduction </w:t>
      </w:r>
      <w:r w:rsidR="008272DD">
        <w:rPr>
          <w:rFonts w:ascii="Arial" w:hAnsi="Arial" w:cs="Arial"/>
          <w:color w:val="000000" w:themeColor="text1"/>
          <w:sz w:val="24"/>
          <w:szCs w:val="24"/>
        </w:rPr>
        <w:t>of the Ghosh Test has been proved as benefi</w:t>
      </w:r>
      <w:r w:rsidR="006C124F">
        <w:rPr>
          <w:rFonts w:ascii="Arial" w:hAnsi="Arial" w:cs="Arial"/>
          <w:color w:val="000000" w:themeColor="text1"/>
          <w:sz w:val="24"/>
          <w:szCs w:val="24"/>
        </w:rPr>
        <w:t xml:space="preserve">cial in relation to gaining convictions under the Gambling act 2005 and the Theft Act 1968 </w:t>
      </w:r>
      <w:r w:rsidR="00394B36">
        <w:rPr>
          <w:rFonts w:ascii="Arial" w:hAnsi="Arial" w:cs="Arial"/>
          <w:color w:val="000000" w:themeColor="text1"/>
          <w:sz w:val="24"/>
          <w:szCs w:val="24"/>
        </w:rPr>
        <w:t xml:space="preserve">but may also raise more questions as it is </w:t>
      </w:r>
      <w:r w:rsidR="0031097E">
        <w:rPr>
          <w:rFonts w:ascii="Arial" w:hAnsi="Arial" w:cs="Arial"/>
          <w:color w:val="000000" w:themeColor="text1"/>
          <w:sz w:val="24"/>
          <w:szCs w:val="24"/>
        </w:rPr>
        <w:t>often left to the jury’s personal feelings of what is dishonest</w:t>
      </w:r>
      <w:r w:rsidR="00175AF2">
        <w:rPr>
          <w:rFonts w:ascii="Arial" w:hAnsi="Arial" w:cs="Arial"/>
          <w:color w:val="000000" w:themeColor="text1"/>
          <w:sz w:val="24"/>
          <w:szCs w:val="24"/>
        </w:rPr>
        <w:t xml:space="preserve"> as this is a big moral </w:t>
      </w:r>
      <w:r w:rsidR="003B678B">
        <w:rPr>
          <w:rFonts w:ascii="Arial" w:hAnsi="Arial" w:cs="Arial"/>
          <w:color w:val="000000" w:themeColor="text1"/>
          <w:sz w:val="24"/>
          <w:szCs w:val="24"/>
        </w:rPr>
        <w:t xml:space="preserve">issue where some people </w:t>
      </w:r>
      <w:r w:rsidR="00311086">
        <w:rPr>
          <w:rFonts w:ascii="Arial" w:hAnsi="Arial" w:cs="Arial"/>
          <w:color w:val="000000" w:themeColor="text1"/>
          <w:sz w:val="24"/>
          <w:szCs w:val="24"/>
        </w:rPr>
        <w:t>will feel very different to committing theft or fraud against companies such as the</w:t>
      </w:r>
      <w:r w:rsidR="00F17B13">
        <w:rPr>
          <w:rFonts w:ascii="Arial" w:hAnsi="Arial" w:cs="Arial"/>
          <w:color w:val="000000" w:themeColor="text1"/>
          <w:sz w:val="24"/>
          <w:szCs w:val="24"/>
        </w:rPr>
        <w:t xml:space="preserve"> Genting</w:t>
      </w:r>
      <w:r w:rsidR="00311086">
        <w:rPr>
          <w:rFonts w:ascii="Arial" w:hAnsi="Arial" w:cs="Arial"/>
          <w:color w:val="000000" w:themeColor="text1"/>
          <w:sz w:val="24"/>
          <w:szCs w:val="24"/>
        </w:rPr>
        <w:t xml:space="preserve"> Casino </w:t>
      </w:r>
      <w:r w:rsidR="00003851">
        <w:rPr>
          <w:rFonts w:ascii="Arial" w:hAnsi="Arial" w:cs="Arial"/>
          <w:color w:val="000000" w:themeColor="text1"/>
          <w:sz w:val="24"/>
          <w:szCs w:val="24"/>
        </w:rPr>
        <w:t xml:space="preserve">to other </w:t>
      </w:r>
      <w:r w:rsidR="006866B0">
        <w:rPr>
          <w:rFonts w:ascii="Arial" w:hAnsi="Arial" w:cs="Arial"/>
          <w:color w:val="000000" w:themeColor="text1"/>
          <w:sz w:val="24"/>
          <w:szCs w:val="24"/>
        </w:rPr>
        <w:t>people such as those who were targeted in the</w:t>
      </w:r>
      <w:r w:rsidR="006866B0" w:rsidRPr="006866B0">
        <w:t xml:space="preserve"> </w:t>
      </w:r>
      <w:r w:rsidR="006866B0" w:rsidRPr="006866B0">
        <w:rPr>
          <w:rFonts w:ascii="Arial" w:hAnsi="Arial" w:cs="Arial"/>
          <w:color w:val="000000" w:themeColor="text1"/>
          <w:sz w:val="24"/>
          <w:szCs w:val="24"/>
        </w:rPr>
        <w:t>David Barton</w:t>
      </w:r>
      <w:r w:rsidR="006866B0">
        <w:rPr>
          <w:rFonts w:ascii="Arial" w:hAnsi="Arial" w:cs="Arial"/>
          <w:color w:val="000000" w:themeColor="text1"/>
          <w:sz w:val="24"/>
          <w:szCs w:val="24"/>
        </w:rPr>
        <w:t xml:space="preserve"> case.</w:t>
      </w:r>
    </w:p>
    <w:p w14:paraId="502340C7" w14:textId="77777777" w:rsidR="0084551C" w:rsidRPr="0084551C" w:rsidRDefault="0084551C" w:rsidP="005D4558">
      <w:pPr>
        <w:spacing w:line="360" w:lineRule="auto"/>
        <w:jc w:val="both"/>
        <w:rPr>
          <w:color w:val="C00000"/>
        </w:rPr>
      </w:pPr>
    </w:p>
    <w:p w14:paraId="01E6F13E" w14:textId="77777777" w:rsidR="002208AB" w:rsidRPr="002208AB" w:rsidRDefault="002208AB" w:rsidP="005D4558">
      <w:pPr>
        <w:spacing w:line="360" w:lineRule="auto"/>
        <w:jc w:val="both"/>
        <w:rPr>
          <w:rFonts w:ascii="Lato" w:hAnsi="Lato"/>
          <w:color w:val="FF0000"/>
          <w:sz w:val="24"/>
          <w:szCs w:val="24"/>
        </w:rPr>
      </w:pPr>
    </w:p>
    <w:p w14:paraId="60B93BE6" w14:textId="1CFE03F2" w:rsidR="002D38FD" w:rsidRDefault="007337AC" w:rsidP="005D4558">
      <w:pPr>
        <w:spacing w:line="360" w:lineRule="auto"/>
        <w:jc w:val="both"/>
        <w:rPr>
          <w:rFonts w:ascii="Arial" w:hAnsi="Arial" w:cs="Arial"/>
          <w:sz w:val="24"/>
          <w:szCs w:val="24"/>
        </w:rPr>
      </w:pPr>
      <w:r>
        <w:rPr>
          <w:rFonts w:ascii="Segoe UI" w:hAnsi="Segoe UI" w:cs="Segoe UI"/>
          <w:color w:val="212529"/>
          <w:shd w:val="clear" w:color="auto" w:fill="FFFFFF"/>
        </w:rPr>
        <w:t>.</w:t>
      </w:r>
    </w:p>
    <w:p w14:paraId="2D501908" w14:textId="77777777" w:rsidR="00D87324" w:rsidRDefault="00D87324" w:rsidP="005D4558">
      <w:pPr>
        <w:spacing w:line="360" w:lineRule="auto"/>
        <w:jc w:val="both"/>
        <w:rPr>
          <w:rFonts w:ascii="Arial" w:hAnsi="Arial" w:cs="Arial"/>
          <w:sz w:val="24"/>
          <w:szCs w:val="24"/>
        </w:rPr>
      </w:pPr>
    </w:p>
    <w:p w14:paraId="5F790FAF" w14:textId="77777777" w:rsidR="00D87324" w:rsidRDefault="00D87324" w:rsidP="005D4558">
      <w:pPr>
        <w:spacing w:line="360" w:lineRule="auto"/>
        <w:jc w:val="both"/>
        <w:rPr>
          <w:rFonts w:ascii="Arial" w:hAnsi="Arial" w:cs="Arial"/>
          <w:sz w:val="24"/>
          <w:szCs w:val="24"/>
        </w:rPr>
      </w:pPr>
    </w:p>
    <w:p w14:paraId="4BCD675A" w14:textId="77777777" w:rsidR="00D87324" w:rsidRDefault="00D87324" w:rsidP="005D4558">
      <w:pPr>
        <w:spacing w:line="360" w:lineRule="auto"/>
        <w:jc w:val="both"/>
        <w:rPr>
          <w:rFonts w:ascii="Arial" w:hAnsi="Arial" w:cs="Arial"/>
          <w:sz w:val="24"/>
          <w:szCs w:val="24"/>
        </w:rPr>
      </w:pPr>
    </w:p>
    <w:p w14:paraId="606B238F" w14:textId="77777777" w:rsidR="00D87324" w:rsidRDefault="00D87324" w:rsidP="005D4558">
      <w:pPr>
        <w:spacing w:line="360" w:lineRule="auto"/>
        <w:jc w:val="both"/>
        <w:rPr>
          <w:rFonts w:ascii="Arial" w:hAnsi="Arial" w:cs="Arial"/>
          <w:sz w:val="24"/>
          <w:szCs w:val="24"/>
        </w:rPr>
      </w:pPr>
    </w:p>
    <w:p w14:paraId="78DEC8E0" w14:textId="77777777" w:rsidR="00D87324" w:rsidRDefault="00D87324" w:rsidP="005D4558">
      <w:pPr>
        <w:spacing w:line="360" w:lineRule="auto"/>
        <w:jc w:val="both"/>
        <w:rPr>
          <w:rFonts w:ascii="Arial" w:hAnsi="Arial" w:cs="Arial"/>
          <w:sz w:val="24"/>
          <w:szCs w:val="24"/>
        </w:rPr>
      </w:pPr>
    </w:p>
    <w:p w14:paraId="7E79E540" w14:textId="77777777" w:rsidR="00D87324" w:rsidRDefault="00D87324" w:rsidP="005D4558">
      <w:pPr>
        <w:spacing w:line="360" w:lineRule="auto"/>
        <w:jc w:val="both"/>
        <w:rPr>
          <w:rFonts w:ascii="Arial" w:hAnsi="Arial" w:cs="Arial"/>
          <w:sz w:val="24"/>
          <w:szCs w:val="24"/>
        </w:rPr>
      </w:pPr>
    </w:p>
    <w:p w14:paraId="709A5D4E" w14:textId="77777777" w:rsidR="00D87324" w:rsidRDefault="00D87324" w:rsidP="005D4558">
      <w:pPr>
        <w:spacing w:line="360" w:lineRule="auto"/>
        <w:jc w:val="both"/>
        <w:rPr>
          <w:rFonts w:ascii="Arial" w:hAnsi="Arial" w:cs="Arial"/>
          <w:sz w:val="24"/>
          <w:szCs w:val="24"/>
        </w:rPr>
      </w:pPr>
    </w:p>
    <w:p w14:paraId="5EFEA17F" w14:textId="77777777" w:rsidR="00D87324" w:rsidRDefault="00D87324" w:rsidP="005D4558">
      <w:pPr>
        <w:spacing w:line="360" w:lineRule="auto"/>
        <w:jc w:val="both"/>
        <w:rPr>
          <w:rFonts w:ascii="Arial" w:hAnsi="Arial" w:cs="Arial"/>
          <w:sz w:val="24"/>
          <w:szCs w:val="24"/>
        </w:rPr>
      </w:pPr>
    </w:p>
    <w:p w14:paraId="6768BB47" w14:textId="77777777" w:rsidR="00D87324" w:rsidRDefault="00D87324" w:rsidP="005D4558">
      <w:pPr>
        <w:spacing w:line="360" w:lineRule="auto"/>
        <w:jc w:val="both"/>
        <w:rPr>
          <w:rFonts w:ascii="Arial" w:hAnsi="Arial" w:cs="Arial"/>
          <w:sz w:val="24"/>
          <w:szCs w:val="24"/>
        </w:rPr>
      </w:pPr>
    </w:p>
    <w:p w14:paraId="7A1A76C6" w14:textId="77777777" w:rsidR="00D87324" w:rsidRDefault="00D87324" w:rsidP="005D4558">
      <w:pPr>
        <w:spacing w:line="360" w:lineRule="auto"/>
        <w:jc w:val="both"/>
        <w:rPr>
          <w:rFonts w:ascii="Arial" w:hAnsi="Arial" w:cs="Arial"/>
          <w:sz w:val="24"/>
          <w:szCs w:val="24"/>
        </w:rPr>
      </w:pPr>
    </w:p>
    <w:p w14:paraId="429CF97A" w14:textId="77777777" w:rsidR="00D87324" w:rsidRDefault="00D87324" w:rsidP="005D4558">
      <w:pPr>
        <w:spacing w:line="360" w:lineRule="auto"/>
        <w:jc w:val="both"/>
        <w:rPr>
          <w:rFonts w:ascii="Arial" w:hAnsi="Arial" w:cs="Arial"/>
          <w:sz w:val="24"/>
          <w:szCs w:val="24"/>
        </w:rPr>
      </w:pPr>
    </w:p>
    <w:p w14:paraId="0ACB055B" w14:textId="77777777" w:rsidR="00D87324" w:rsidRDefault="00D87324" w:rsidP="005D4558">
      <w:pPr>
        <w:spacing w:line="360" w:lineRule="auto"/>
        <w:jc w:val="both"/>
        <w:rPr>
          <w:rFonts w:ascii="Arial" w:hAnsi="Arial" w:cs="Arial"/>
          <w:sz w:val="24"/>
          <w:szCs w:val="24"/>
        </w:rPr>
      </w:pPr>
    </w:p>
    <w:p w14:paraId="75FE4860" w14:textId="77777777" w:rsidR="00D87324" w:rsidRDefault="00D87324" w:rsidP="005D4558">
      <w:pPr>
        <w:spacing w:line="360" w:lineRule="auto"/>
        <w:jc w:val="both"/>
        <w:rPr>
          <w:rFonts w:ascii="Arial" w:hAnsi="Arial" w:cs="Arial"/>
          <w:sz w:val="24"/>
          <w:szCs w:val="24"/>
        </w:rPr>
      </w:pPr>
    </w:p>
    <w:p w14:paraId="1AA9056E" w14:textId="77777777" w:rsidR="00D87324" w:rsidRDefault="00D87324" w:rsidP="005D4558">
      <w:pPr>
        <w:spacing w:line="360" w:lineRule="auto"/>
        <w:jc w:val="both"/>
        <w:rPr>
          <w:rFonts w:ascii="Arial" w:hAnsi="Arial" w:cs="Arial"/>
          <w:sz w:val="24"/>
          <w:szCs w:val="24"/>
        </w:rPr>
      </w:pPr>
    </w:p>
    <w:p w14:paraId="3C87B551" w14:textId="77777777" w:rsidR="00D87324" w:rsidRDefault="00D87324" w:rsidP="005D4558">
      <w:pPr>
        <w:spacing w:line="360" w:lineRule="auto"/>
        <w:jc w:val="both"/>
        <w:rPr>
          <w:rFonts w:ascii="Arial" w:hAnsi="Arial" w:cs="Arial"/>
          <w:sz w:val="24"/>
          <w:szCs w:val="24"/>
        </w:rPr>
      </w:pPr>
    </w:p>
    <w:p w14:paraId="69BEF5B1" w14:textId="77777777" w:rsidR="00D87324" w:rsidRDefault="00D87324" w:rsidP="005D4558">
      <w:pPr>
        <w:spacing w:line="360" w:lineRule="auto"/>
        <w:jc w:val="both"/>
        <w:rPr>
          <w:rFonts w:ascii="Arial" w:hAnsi="Arial" w:cs="Arial"/>
          <w:sz w:val="24"/>
          <w:szCs w:val="24"/>
        </w:rPr>
      </w:pPr>
    </w:p>
    <w:p w14:paraId="237CCE0C" w14:textId="77777777" w:rsidR="00D87324" w:rsidRDefault="00D87324" w:rsidP="005D4558">
      <w:pPr>
        <w:spacing w:line="360" w:lineRule="auto"/>
        <w:jc w:val="both"/>
        <w:rPr>
          <w:rFonts w:ascii="Arial" w:hAnsi="Arial" w:cs="Arial"/>
          <w:sz w:val="24"/>
          <w:szCs w:val="24"/>
        </w:rPr>
      </w:pPr>
    </w:p>
    <w:p w14:paraId="0338B807" w14:textId="7FA9AC95" w:rsidR="00256F69" w:rsidRDefault="004008E5" w:rsidP="005D4558">
      <w:pPr>
        <w:spacing w:line="360" w:lineRule="auto"/>
        <w:rPr>
          <w:rFonts w:ascii="Arial" w:hAnsi="Arial" w:cs="Arial"/>
          <w:sz w:val="24"/>
          <w:szCs w:val="24"/>
        </w:rPr>
      </w:pPr>
      <w:r w:rsidRPr="004008E5">
        <w:rPr>
          <w:rFonts w:ascii="Arial" w:hAnsi="Arial" w:cs="Arial"/>
          <w:sz w:val="24"/>
          <w:szCs w:val="24"/>
        </w:rPr>
        <w:t>Word count: 14</w:t>
      </w:r>
      <w:r w:rsidR="005D4558">
        <w:rPr>
          <w:rFonts w:ascii="Arial" w:hAnsi="Arial" w:cs="Arial"/>
          <w:sz w:val="24"/>
          <w:szCs w:val="24"/>
        </w:rPr>
        <w:t>24</w:t>
      </w:r>
    </w:p>
    <w:p w14:paraId="07761741" w14:textId="77777777" w:rsidR="005D4558" w:rsidRDefault="005D4558" w:rsidP="005D4558">
      <w:pPr>
        <w:spacing w:line="360" w:lineRule="auto"/>
        <w:rPr>
          <w:rFonts w:ascii="Arial" w:hAnsi="Arial" w:cs="Arial"/>
          <w:sz w:val="24"/>
          <w:szCs w:val="24"/>
        </w:rPr>
      </w:pPr>
    </w:p>
    <w:p w14:paraId="7D98DE87" w14:textId="77777777" w:rsidR="005D4558" w:rsidRDefault="005D4558" w:rsidP="005D4558">
      <w:pPr>
        <w:spacing w:line="360" w:lineRule="auto"/>
        <w:rPr>
          <w:rFonts w:ascii="Arial" w:hAnsi="Arial" w:cs="Arial"/>
          <w:sz w:val="24"/>
          <w:szCs w:val="24"/>
        </w:rPr>
      </w:pPr>
    </w:p>
    <w:p w14:paraId="75065C62" w14:textId="78B64317" w:rsidR="00D87324" w:rsidRPr="004008E5" w:rsidRDefault="00D87324" w:rsidP="005D4558">
      <w:pPr>
        <w:spacing w:line="360" w:lineRule="auto"/>
        <w:jc w:val="center"/>
        <w:rPr>
          <w:rFonts w:ascii="Arial" w:hAnsi="Arial" w:cs="Arial"/>
          <w:sz w:val="24"/>
          <w:szCs w:val="24"/>
        </w:rPr>
      </w:pPr>
      <w:r w:rsidRPr="00D87324">
        <w:rPr>
          <w:rFonts w:ascii="Arial" w:hAnsi="Arial" w:cs="Arial"/>
          <w:b/>
          <w:bCs/>
          <w:sz w:val="24"/>
          <w:szCs w:val="24"/>
          <w:u w:val="single"/>
        </w:rPr>
        <w:lastRenderedPageBreak/>
        <w:t>Bibliography</w:t>
      </w:r>
    </w:p>
    <w:p w14:paraId="0F763500" w14:textId="77777777" w:rsidR="00D87324" w:rsidRDefault="00D87324" w:rsidP="005D4558">
      <w:pPr>
        <w:spacing w:line="360" w:lineRule="auto"/>
        <w:rPr>
          <w:rFonts w:ascii="Arial" w:hAnsi="Arial" w:cs="Arial"/>
          <w:sz w:val="24"/>
          <w:szCs w:val="24"/>
        </w:rPr>
      </w:pPr>
    </w:p>
    <w:p w14:paraId="56FC758A" w14:textId="2304AC2B" w:rsidR="003511B9" w:rsidRDefault="003511B9" w:rsidP="005D4558">
      <w:pPr>
        <w:spacing w:line="360" w:lineRule="auto"/>
        <w:rPr>
          <w:rFonts w:ascii="Arial" w:hAnsi="Arial" w:cs="Arial"/>
          <w:sz w:val="24"/>
          <w:szCs w:val="24"/>
        </w:rPr>
      </w:pPr>
      <w:r w:rsidRPr="003511B9">
        <w:rPr>
          <w:rFonts w:ascii="Arial" w:hAnsi="Arial" w:cs="Arial"/>
          <w:sz w:val="24"/>
          <w:szCs w:val="24"/>
        </w:rPr>
        <w:t>CPS (2020) Update: CPS case redefines the legal test for ‘dishonesty’ in criminal law found on: https://www.cps.gov.uk/cps/news/update-cps-case-redefines-legal-test-dishonesty-criminal-law last accessed 14.04.2024.</w:t>
      </w:r>
    </w:p>
    <w:p w14:paraId="2A90769C" w14:textId="77777777" w:rsidR="00256F69" w:rsidRDefault="00256F69" w:rsidP="005D4558">
      <w:pPr>
        <w:spacing w:line="360" w:lineRule="auto"/>
        <w:rPr>
          <w:rFonts w:ascii="Arial" w:hAnsi="Arial" w:cs="Arial"/>
          <w:sz w:val="24"/>
          <w:szCs w:val="24"/>
        </w:rPr>
      </w:pPr>
    </w:p>
    <w:p w14:paraId="1725A349" w14:textId="2EE7A5A0" w:rsidR="003511B9" w:rsidRDefault="003511B9" w:rsidP="005D4558">
      <w:pPr>
        <w:spacing w:line="360" w:lineRule="auto"/>
        <w:rPr>
          <w:rFonts w:ascii="Arial" w:hAnsi="Arial" w:cs="Arial"/>
          <w:sz w:val="24"/>
          <w:szCs w:val="24"/>
        </w:rPr>
      </w:pPr>
      <w:r w:rsidRPr="003511B9">
        <w:rPr>
          <w:rFonts w:ascii="Arial" w:hAnsi="Arial" w:cs="Arial"/>
          <w:sz w:val="24"/>
          <w:szCs w:val="24"/>
        </w:rPr>
        <w:t>Edwards, Amy (2017) Re-defining criminal dishonesty: why does it matter? Allen &amp; Overy. found on https://www.allenovery.com/en-gb/global/news-and-insights/publications/re-defining-criminal-dishonesty-why-does-it-matter last accessed: 15.02.2024.</w:t>
      </w:r>
    </w:p>
    <w:p w14:paraId="73E35199" w14:textId="77777777" w:rsidR="00256F69" w:rsidRDefault="00256F69" w:rsidP="005D4558">
      <w:pPr>
        <w:spacing w:line="360" w:lineRule="auto"/>
        <w:rPr>
          <w:rFonts w:ascii="Arial" w:hAnsi="Arial" w:cs="Arial"/>
          <w:sz w:val="24"/>
          <w:szCs w:val="24"/>
        </w:rPr>
      </w:pPr>
    </w:p>
    <w:p w14:paraId="64E0AF60" w14:textId="35B0B42A" w:rsidR="003A7978" w:rsidRDefault="003A7978" w:rsidP="005D4558">
      <w:pPr>
        <w:spacing w:line="360" w:lineRule="auto"/>
        <w:rPr>
          <w:rFonts w:ascii="Arial" w:hAnsi="Arial" w:cs="Arial"/>
          <w:sz w:val="24"/>
          <w:szCs w:val="24"/>
        </w:rPr>
      </w:pPr>
      <w:r>
        <w:rPr>
          <w:rFonts w:ascii="Arial" w:hAnsi="Arial" w:cs="Arial"/>
          <w:sz w:val="24"/>
          <w:szCs w:val="24"/>
        </w:rPr>
        <w:t>E-</w:t>
      </w:r>
      <w:proofErr w:type="spellStart"/>
      <w:r>
        <w:rPr>
          <w:rFonts w:ascii="Arial" w:hAnsi="Arial" w:cs="Arial"/>
          <w:sz w:val="24"/>
          <w:szCs w:val="24"/>
        </w:rPr>
        <w:t>Lawresources</w:t>
      </w:r>
      <w:proofErr w:type="spellEnd"/>
      <w:r>
        <w:rPr>
          <w:rFonts w:ascii="Arial" w:hAnsi="Arial" w:cs="Arial"/>
          <w:sz w:val="24"/>
          <w:szCs w:val="24"/>
        </w:rPr>
        <w:t xml:space="preserve"> (no date) </w:t>
      </w:r>
      <w:r w:rsidR="003511B9" w:rsidRPr="003511B9">
        <w:rPr>
          <w:rFonts w:ascii="Arial" w:hAnsi="Arial" w:cs="Arial"/>
          <w:i/>
          <w:iCs/>
          <w:sz w:val="24"/>
          <w:szCs w:val="24"/>
        </w:rPr>
        <w:t>R v Ghosh [1982] 3 WLR 110</w:t>
      </w:r>
      <w:r w:rsidR="003511B9" w:rsidRPr="003511B9">
        <w:rPr>
          <w:rFonts w:ascii="Arial" w:hAnsi="Arial" w:cs="Arial"/>
          <w:sz w:val="24"/>
          <w:szCs w:val="24"/>
        </w:rPr>
        <w:t xml:space="preserve"> </w:t>
      </w:r>
      <w:r>
        <w:rPr>
          <w:rFonts w:ascii="Arial" w:hAnsi="Arial" w:cs="Arial"/>
          <w:sz w:val="24"/>
          <w:szCs w:val="24"/>
        </w:rPr>
        <w:t xml:space="preserve">found on </w:t>
      </w:r>
      <w:hyperlink r:id="rId6" w:history="1">
        <w:r w:rsidRPr="00823700">
          <w:rPr>
            <w:rStyle w:val="Hyperlink"/>
            <w:rFonts w:ascii="Arial" w:hAnsi="Arial" w:cs="Arial"/>
            <w:sz w:val="24"/>
            <w:szCs w:val="24"/>
          </w:rPr>
          <w:t>https://e-lawresources.co.uk/R-v-Ghosh.php</w:t>
        </w:r>
      </w:hyperlink>
      <w:r>
        <w:rPr>
          <w:rFonts w:ascii="Arial" w:hAnsi="Arial" w:cs="Arial"/>
          <w:sz w:val="24"/>
          <w:szCs w:val="24"/>
        </w:rPr>
        <w:t xml:space="preserve"> last accessed: </w:t>
      </w:r>
      <w:r w:rsidR="003511B9">
        <w:rPr>
          <w:rFonts w:ascii="Arial" w:hAnsi="Arial" w:cs="Arial"/>
          <w:sz w:val="24"/>
          <w:szCs w:val="24"/>
        </w:rPr>
        <w:t>15.04.2024.</w:t>
      </w:r>
    </w:p>
    <w:p w14:paraId="0760CB4E" w14:textId="77777777" w:rsidR="00256F69" w:rsidRDefault="00256F69" w:rsidP="005D4558">
      <w:pPr>
        <w:spacing w:line="360" w:lineRule="auto"/>
        <w:rPr>
          <w:rFonts w:ascii="Arial" w:hAnsi="Arial" w:cs="Arial"/>
          <w:sz w:val="24"/>
          <w:szCs w:val="24"/>
        </w:rPr>
      </w:pPr>
    </w:p>
    <w:p w14:paraId="6BDB822F" w14:textId="4181C046" w:rsidR="003511B9" w:rsidRDefault="003511B9" w:rsidP="005D4558">
      <w:pPr>
        <w:spacing w:line="360" w:lineRule="auto"/>
        <w:rPr>
          <w:rFonts w:ascii="Arial" w:hAnsi="Arial" w:cs="Arial"/>
          <w:sz w:val="24"/>
          <w:szCs w:val="24"/>
        </w:rPr>
      </w:pPr>
      <w:r w:rsidRPr="003511B9">
        <w:rPr>
          <w:rFonts w:ascii="Arial" w:hAnsi="Arial" w:cs="Arial"/>
          <w:sz w:val="24"/>
          <w:szCs w:val="24"/>
        </w:rPr>
        <w:t>Hale, Brenda (2019). Dishonesty. Common Law World Review, 48(1–2), 5–14. https://doi.org/10.1177/1473779519834851 last accessed 15.04.2024.</w:t>
      </w:r>
    </w:p>
    <w:p w14:paraId="480B5210" w14:textId="77777777" w:rsidR="00256F69" w:rsidRDefault="00256F69" w:rsidP="005D4558">
      <w:pPr>
        <w:spacing w:line="360" w:lineRule="auto"/>
        <w:rPr>
          <w:rFonts w:ascii="Arial" w:hAnsi="Arial" w:cs="Arial"/>
          <w:sz w:val="24"/>
          <w:szCs w:val="24"/>
        </w:rPr>
      </w:pPr>
    </w:p>
    <w:p w14:paraId="6DDE99A1" w14:textId="1C64571C" w:rsidR="004A4ED4" w:rsidRDefault="004A4ED4" w:rsidP="005D4558">
      <w:pPr>
        <w:spacing w:line="360" w:lineRule="auto"/>
        <w:rPr>
          <w:rFonts w:ascii="Arial" w:hAnsi="Arial" w:cs="Arial"/>
          <w:sz w:val="24"/>
          <w:szCs w:val="24"/>
        </w:rPr>
      </w:pPr>
      <w:r>
        <w:rPr>
          <w:rFonts w:ascii="Arial" w:hAnsi="Arial" w:cs="Arial"/>
          <w:sz w:val="24"/>
          <w:szCs w:val="24"/>
        </w:rPr>
        <w:t xml:space="preserve">Legislation Gov.UK (no date) </w:t>
      </w:r>
      <w:r w:rsidRPr="004A4ED4">
        <w:rPr>
          <w:rFonts w:ascii="Arial" w:hAnsi="Arial" w:cs="Arial"/>
          <w:i/>
          <w:iCs/>
          <w:sz w:val="24"/>
          <w:szCs w:val="24"/>
        </w:rPr>
        <w:t>Theft Act 1968</w:t>
      </w:r>
      <w:r>
        <w:rPr>
          <w:rFonts w:ascii="Arial" w:hAnsi="Arial" w:cs="Arial"/>
          <w:sz w:val="24"/>
          <w:szCs w:val="24"/>
        </w:rPr>
        <w:t xml:space="preserve"> Found on </w:t>
      </w:r>
      <w:hyperlink r:id="rId7" w:history="1">
        <w:r w:rsidRPr="00B8384A">
          <w:rPr>
            <w:rStyle w:val="Hyperlink"/>
            <w:rFonts w:ascii="Arial" w:hAnsi="Arial" w:cs="Arial"/>
            <w:sz w:val="24"/>
            <w:szCs w:val="24"/>
          </w:rPr>
          <w:t>https://www.legislation.gov.uk/ukpga/1968/60/section/1 last accessed 14.04.2024</w:t>
        </w:r>
      </w:hyperlink>
      <w:r>
        <w:rPr>
          <w:rFonts w:ascii="Arial" w:hAnsi="Arial" w:cs="Arial"/>
          <w:sz w:val="24"/>
          <w:szCs w:val="24"/>
        </w:rPr>
        <w:t>.</w:t>
      </w:r>
    </w:p>
    <w:p w14:paraId="4BB0F1C6" w14:textId="77777777" w:rsidR="00256F69" w:rsidRDefault="00256F69" w:rsidP="005D4558">
      <w:pPr>
        <w:spacing w:line="360" w:lineRule="auto"/>
        <w:rPr>
          <w:rFonts w:ascii="Arial" w:hAnsi="Arial" w:cs="Arial"/>
          <w:sz w:val="24"/>
          <w:szCs w:val="24"/>
        </w:rPr>
      </w:pPr>
    </w:p>
    <w:p w14:paraId="16C21F24" w14:textId="69EBC2D8" w:rsidR="00E661B9" w:rsidRDefault="00E661B9" w:rsidP="005D4558">
      <w:pPr>
        <w:spacing w:line="360" w:lineRule="auto"/>
        <w:rPr>
          <w:rFonts w:ascii="Arial" w:hAnsi="Arial" w:cs="Arial"/>
          <w:sz w:val="24"/>
          <w:szCs w:val="24"/>
        </w:rPr>
      </w:pPr>
      <w:r>
        <w:rPr>
          <w:rFonts w:ascii="Arial" w:hAnsi="Arial" w:cs="Arial"/>
          <w:sz w:val="24"/>
          <w:szCs w:val="24"/>
        </w:rPr>
        <w:t>Leggett, Zach (2018</w:t>
      </w:r>
      <w:r w:rsidR="00AC7D14">
        <w:rPr>
          <w:rFonts w:ascii="Arial" w:hAnsi="Arial" w:cs="Arial"/>
          <w:sz w:val="24"/>
          <w:szCs w:val="24"/>
        </w:rPr>
        <w:t xml:space="preserve">) </w:t>
      </w:r>
      <w:r w:rsidR="00AC7D14">
        <w:rPr>
          <w:rFonts w:ascii="Arial" w:hAnsi="Arial" w:cs="Arial"/>
          <w:i/>
          <w:iCs/>
          <w:sz w:val="24"/>
          <w:szCs w:val="24"/>
        </w:rPr>
        <w:t>Theft: appropriation though submitting false claims</w:t>
      </w:r>
      <w:r w:rsidR="00D24286">
        <w:rPr>
          <w:rFonts w:ascii="Arial" w:hAnsi="Arial" w:cs="Arial"/>
          <w:i/>
          <w:iCs/>
          <w:sz w:val="24"/>
          <w:szCs w:val="24"/>
        </w:rPr>
        <w:t xml:space="preserve">? Darroux v R. </w:t>
      </w:r>
      <w:r w:rsidR="00D24286">
        <w:rPr>
          <w:rFonts w:ascii="Arial" w:hAnsi="Arial" w:cs="Arial"/>
          <w:sz w:val="24"/>
          <w:szCs w:val="24"/>
        </w:rPr>
        <w:t>Journal of Criminal Law, 82 (4)</w:t>
      </w:r>
      <w:r w:rsidR="00F66D41">
        <w:rPr>
          <w:rFonts w:ascii="Arial" w:hAnsi="Arial" w:cs="Arial"/>
          <w:sz w:val="24"/>
          <w:szCs w:val="24"/>
        </w:rPr>
        <w:t xml:space="preserve"> pp.287-291 last accessed: 15.04.2024.</w:t>
      </w:r>
    </w:p>
    <w:p w14:paraId="27FB63D4" w14:textId="77777777" w:rsidR="00256F69" w:rsidRPr="00D24286" w:rsidRDefault="00256F69" w:rsidP="005D4558">
      <w:pPr>
        <w:spacing w:line="360" w:lineRule="auto"/>
        <w:rPr>
          <w:rFonts w:ascii="Arial" w:hAnsi="Arial" w:cs="Arial"/>
          <w:sz w:val="24"/>
          <w:szCs w:val="24"/>
        </w:rPr>
      </w:pPr>
    </w:p>
    <w:p w14:paraId="6301577E" w14:textId="267E6117" w:rsidR="003511B9" w:rsidRDefault="003511B9" w:rsidP="005D4558">
      <w:pPr>
        <w:spacing w:line="360" w:lineRule="auto"/>
        <w:rPr>
          <w:rFonts w:ascii="Arial" w:hAnsi="Arial" w:cs="Arial"/>
          <w:sz w:val="24"/>
          <w:szCs w:val="24"/>
        </w:rPr>
      </w:pPr>
      <w:r w:rsidRPr="003511B9">
        <w:rPr>
          <w:rFonts w:ascii="Arial" w:hAnsi="Arial" w:cs="Arial"/>
          <w:sz w:val="24"/>
          <w:szCs w:val="24"/>
        </w:rPr>
        <w:t>LexisNexis (2024) Dishonesty in the criminal law. found on: https://www.lexisnexis.co.uk/legal/guidance/dishonesty-in-the-criminal-law. Last accessed 14.04.2024.</w:t>
      </w:r>
    </w:p>
    <w:p w14:paraId="6F3F77DE" w14:textId="77777777" w:rsidR="005D4558" w:rsidRDefault="005D4558" w:rsidP="005D4558">
      <w:pPr>
        <w:spacing w:line="360" w:lineRule="auto"/>
        <w:rPr>
          <w:rFonts w:ascii="Arial" w:hAnsi="Arial" w:cs="Arial"/>
          <w:sz w:val="24"/>
          <w:szCs w:val="24"/>
        </w:rPr>
      </w:pPr>
    </w:p>
    <w:p w14:paraId="7377E76E" w14:textId="7F4AAF99" w:rsidR="004A4ED4" w:rsidRDefault="004A4ED4" w:rsidP="005D4558">
      <w:pPr>
        <w:spacing w:line="360" w:lineRule="auto"/>
        <w:rPr>
          <w:rFonts w:ascii="Arial" w:hAnsi="Arial" w:cs="Arial"/>
          <w:sz w:val="24"/>
          <w:szCs w:val="24"/>
        </w:rPr>
      </w:pPr>
      <w:r>
        <w:rPr>
          <w:rFonts w:ascii="Arial" w:hAnsi="Arial" w:cs="Arial"/>
          <w:sz w:val="24"/>
          <w:szCs w:val="24"/>
        </w:rPr>
        <w:t xml:space="preserve">Noble Solicitor’s (2018) </w:t>
      </w:r>
      <w:r>
        <w:rPr>
          <w:rFonts w:ascii="Arial" w:hAnsi="Arial" w:cs="Arial"/>
          <w:i/>
          <w:iCs/>
          <w:sz w:val="24"/>
          <w:szCs w:val="24"/>
        </w:rPr>
        <w:t xml:space="preserve">What is the Theft Act 1968 </w:t>
      </w:r>
      <w:r>
        <w:rPr>
          <w:rFonts w:ascii="Arial" w:hAnsi="Arial" w:cs="Arial"/>
          <w:sz w:val="24"/>
          <w:szCs w:val="24"/>
        </w:rPr>
        <w:t xml:space="preserve">Found on: </w:t>
      </w:r>
      <w:hyperlink r:id="rId8" w:history="1">
        <w:r w:rsidRPr="00B8384A">
          <w:rPr>
            <w:rStyle w:val="Hyperlink"/>
            <w:rFonts w:ascii="Arial" w:hAnsi="Arial" w:cs="Arial"/>
            <w:sz w:val="24"/>
            <w:szCs w:val="24"/>
          </w:rPr>
          <w:t>https://www.noblesolicitors.co.uk/about/indepth-theft.html</w:t>
        </w:r>
      </w:hyperlink>
      <w:r>
        <w:rPr>
          <w:rFonts w:ascii="Arial" w:hAnsi="Arial" w:cs="Arial"/>
          <w:sz w:val="24"/>
          <w:szCs w:val="24"/>
        </w:rPr>
        <w:t xml:space="preserve"> last accessed: 14.04.2024.</w:t>
      </w:r>
    </w:p>
    <w:p w14:paraId="63F6C754" w14:textId="77777777" w:rsidR="00256F69" w:rsidRDefault="00256F69" w:rsidP="005D4558">
      <w:pPr>
        <w:spacing w:line="360" w:lineRule="auto"/>
        <w:rPr>
          <w:rFonts w:ascii="Arial" w:hAnsi="Arial" w:cs="Arial"/>
          <w:sz w:val="24"/>
          <w:szCs w:val="24"/>
        </w:rPr>
      </w:pPr>
    </w:p>
    <w:p w14:paraId="65A829A0" w14:textId="4E43587F" w:rsidR="00835B21" w:rsidRDefault="00835B21" w:rsidP="005D4558">
      <w:pPr>
        <w:spacing w:line="360" w:lineRule="auto"/>
        <w:rPr>
          <w:rFonts w:ascii="Arial" w:hAnsi="Arial" w:cs="Arial"/>
          <w:sz w:val="24"/>
          <w:szCs w:val="24"/>
        </w:rPr>
      </w:pPr>
      <w:r>
        <w:rPr>
          <w:rFonts w:ascii="Arial" w:hAnsi="Arial" w:cs="Arial"/>
          <w:sz w:val="24"/>
          <w:szCs w:val="24"/>
        </w:rPr>
        <w:t xml:space="preserve">UOLLB (2024) </w:t>
      </w:r>
      <w:r w:rsidR="00A05BFA" w:rsidRPr="00A05BFA">
        <w:rPr>
          <w:rFonts w:ascii="Arial" w:hAnsi="Arial" w:cs="Arial"/>
          <w:i/>
          <w:iCs/>
          <w:sz w:val="24"/>
          <w:szCs w:val="24"/>
        </w:rPr>
        <w:t>R v Walkington [1979</w:t>
      </w:r>
      <w:r w:rsidR="00A05BFA" w:rsidRPr="00A05BFA">
        <w:rPr>
          <w:rFonts w:ascii="Arial" w:hAnsi="Arial" w:cs="Arial"/>
          <w:sz w:val="24"/>
          <w:szCs w:val="24"/>
        </w:rPr>
        <w:t>]</w:t>
      </w:r>
      <w:r w:rsidR="00A05BFA">
        <w:rPr>
          <w:rFonts w:ascii="Arial" w:hAnsi="Arial" w:cs="Arial"/>
          <w:sz w:val="24"/>
          <w:szCs w:val="24"/>
        </w:rPr>
        <w:t xml:space="preserve"> </w:t>
      </w:r>
      <w:r>
        <w:rPr>
          <w:rFonts w:ascii="Arial" w:hAnsi="Arial" w:cs="Arial"/>
          <w:sz w:val="24"/>
          <w:szCs w:val="24"/>
        </w:rPr>
        <w:t xml:space="preserve">found on: </w:t>
      </w:r>
      <w:hyperlink r:id="rId9" w:history="1">
        <w:r w:rsidRPr="004A0410">
          <w:rPr>
            <w:rStyle w:val="Hyperlink"/>
            <w:rFonts w:ascii="Arial" w:hAnsi="Arial" w:cs="Arial"/>
            <w:sz w:val="24"/>
            <w:szCs w:val="24"/>
          </w:rPr>
          <w:t>https://uollb.com/blog/cases/r-v-walkington-1979-criminal-law</w:t>
        </w:r>
      </w:hyperlink>
      <w:r>
        <w:rPr>
          <w:rFonts w:ascii="Arial" w:hAnsi="Arial" w:cs="Arial"/>
          <w:sz w:val="24"/>
          <w:szCs w:val="24"/>
        </w:rPr>
        <w:t xml:space="preserve"> last accessed: </w:t>
      </w:r>
      <w:r w:rsidR="00A05BFA">
        <w:rPr>
          <w:rFonts w:ascii="Arial" w:hAnsi="Arial" w:cs="Arial"/>
          <w:sz w:val="24"/>
          <w:szCs w:val="24"/>
        </w:rPr>
        <w:t>16.04.2024.</w:t>
      </w:r>
    </w:p>
    <w:p w14:paraId="62E169FE" w14:textId="77777777" w:rsidR="00256F69" w:rsidRDefault="00256F69" w:rsidP="005D4558">
      <w:pPr>
        <w:spacing w:line="360" w:lineRule="auto"/>
        <w:rPr>
          <w:rFonts w:ascii="Arial" w:hAnsi="Arial" w:cs="Arial"/>
          <w:sz w:val="24"/>
          <w:szCs w:val="24"/>
        </w:rPr>
      </w:pPr>
    </w:p>
    <w:p w14:paraId="160DE203" w14:textId="16328E3B" w:rsidR="008C1AC0" w:rsidRDefault="008C1AC0" w:rsidP="005D4558">
      <w:pPr>
        <w:spacing w:line="360" w:lineRule="auto"/>
        <w:rPr>
          <w:rFonts w:ascii="Arial" w:hAnsi="Arial" w:cs="Arial"/>
          <w:sz w:val="24"/>
          <w:szCs w:val="24"/>
        </w:rPr>
      </w:pPr>
      <w:r w:rsidRPr="008C1AC0">
        <w:rPr>
          <w:rFonts w:ascii="Arial" w:hAnsi="Arial" w:cs="Arial"/>
          <w:sz w:val="24"/>
          <w:szCs w:val="24"/>
        </w:rPr>
        <w:lastRenderedPageBreak/>
        <w:t xml:space="preserve">Virgo, G. (2018) </w:t>
      </w:r>
      <w:r w:rsidRPr="00FB1A4F">
        <w:rPr>
          <w:rFonts w:ascii="Arial" w:hAnsi="Arial" w:cs="Arial"/>
          <w:i/>
          <w:iCs/>
          <w:sz w:val="24"/>
          <w:szCs w:val="24"/>
        </w:rPr>
        <w:t>‘CHEATING AND DISHONESTY’</w:t>
      </w:r>
      <w:r w:rsidRPr="008C1AC0">
        <w:rPr>
          <w:rFonts w:ascii="Arial" w:hAnsi="Arial" w:cs="Arial"/>
          <w:sz w:val="24"/>
          <w:szCs w:val="24"/>
        </w:rPr>
        <w:t>, The Cambridge Law Journal, 77(1), pp. 18–22. doi:10.1017/S000819731800017X.</w:t>
      </w:r>
      <w:r w:rsidR="00806D20">
        <w:rPr>
          <w:rFonts w:ascii="Arial" w:hAnsi="Arial" w:cs="Arial"/>
          <w:sz w:val="24"/>
          <w:szCs w:val="24"/>
        </w:rPr>
        <w:t xml:space="preserve"> last accessed 15.04.2024.</w:t>
      </w:r>
    </w:p>
    <w:p w14:paraId="34E68A1B" w14:textId="77777777" w:rsidR="00F3370D" w:rsidRDefault="00F3370D">
      <w:pPr>
        <w:rPr>
          <w:rFonts w:ascii="Arial" w:hAnsi="Arial" w:cs="Arial"/>
          <w:sz w:val="24"/>
          <w:szCs w:val="24"/>
        </w:rPr>
      </w:pPr>
    </w:p>
    <w:sectPr w:rsidR="00F337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2F3664"/>
    <w:multiLevelType w:val="multilevel"/>
    <w:tmpl w:val="B136F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150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678"/>
    <w:rsid w:val="00003851"/>
    <w:rsid w:val="0001091F"/>
    <w:rsid w:val="00033655"/>
    <w:rsid w:val="00051206"/>
    <w:rsid w:val="0007701A"/>
    <w:rsid w:val="00077083"/>
    <w:rsid w:val="000A51EC"/>
    <w:rsid w:val="000F5976"/>
    <w:rsid w:val="00102168"/>
    <w:rsid w:val="00117433"/>
    <w:rsid w:val="001303B8"/>
    <w:rsid w:val="00147FDF"/>
    <w:rsid w:val="00171DC1"/>
    <w:rsid w:val="00175AF2"/>
    <w:rsid w:val="001821B2"/>
    <w:rsid w:val="001C18ED"/>
    <w:rsid w:val="001C5A05"/>
    <w:rsid w:val="002151C0"/>
    <w:rsid w:val="002208AB"/>
    <w:rsid w:val="00256F69"/>
    <w:rsid w:val="00261DD2"/>
    <w:rsid w:val="00273973"/>
    <w:rsid w:val="002C4509"/>
    <w:rsid w:val="002D38FD"/>
    <w:rsid w:val="002E5678"/>
    <w:rsid w:val="0030656C"/>
    <w:rsid w:val="0031097E"/>
    <w:rsid w:val="00311086"/>
    <w:rsid w:val="003171B8"/>
    <w:rsid w:val="00323C97"/>
    <w:rsid w:val="00331D14"/>
    <w:rsid w:val="003511B9"/>
    <w:rsid w:val="00377AEA"/>
    <w:rsid w:val="0038540C"/>
    <w:rsid w:val="00394B36"/>
    <w:rsid w:val="003A3F80"/>
    <w:rsid w:val="003A7978"/>
    <w:rsid w:val="003B678B"/>
    <w:rsid w:val="003C00F3"/>
    <w:rsid w:val="003F1016"/>
    <w:rsid w:val="004008E5"/>
    <w:rsid w:val="004738D1"/>
    <w:rsid w:val="00483C1A"/>
    <w:rsid w:val="004846ED"/>
    <w:rsid w:val="00486283"/>
    <w:rsid w:val="00493721"/>
    <w:rsid w:val="004A4ED4"/>
    <w:rsid w:val="004B2103"/>
    <w:rsid w:val="004C7810"/>
    <w:rsid w:val="004E62F9"/>
    <w:rsid w:val="005024CF"/>
    <w:rsid w:val="00506A34"/>
    <w:rsid w:val="005076F4"/>
    <w:rsid w:val="0051132E"/>
    <w:rsid w:val="00523CCF"/>
    <w:rsid w:val="00532DB0"/>
    <w:rsid w:val="005340B5"/>
    <w:rsid w:val="005368CD"/>
    <w:rsid w:val="005438B5"/>
    <w:rsid w:val="0057403F"/>
    <w:rsid w:val="005B7CC5"/>
    <w:rsid w:val="005D4558"/>
    <w:rsid w:val="005F7329"/>
    <w:rsid w:val="0060040C"/>
    <w:rsid w:val="0064457B"/>
    <w:rsid w:val="00645584"/>
    <w:rsid w:val="00656C11"/>
    <w:rsid w:val="00667CF5"/>
    <w:rsid w:val="006866B0"/>
    <w:rsid w:val="006A62FD"/>
    <w:rsid w:val="006C124F"/>
    <w:rsid w:val="00726D9C"/>
    <w:rsid w:val="007337AC"/>
    <w:rsid w:val="00735A62"/>
    <w:rsid w:val="00737F72"/>
    <w:rsid w:val="00740F9B"/>
    <w:rsid w:val="0074264E"/>
    <w:rsid w:val="007540FA"/>
    <w:rsid w:val="0076057A"/>
    <w:rsid w:val="00767242"/>
    <w:rsid w:val="007845B1"/>
    <w:rsid w:val="00794BDB"/>
    <w:rsid w:val="00796807"/>
    <w:rsid w:val="007B38B7"/>
    <w:rsid w:val="007D321A"/>
    <w:rsid w:val="007F151A"/>
    <w:rsid w:val="00806D20"/>
    <w:rsid w:val="008272DD"/>
    <w:rsid w:val="008317FE"/>
    <w:rsid w:val="00835B21"/>
    <w:rsid w:val="0084551C"/>
    <w:rsid w:val="00866D5D"/>
    <w:rsid w:val="008A605A"/>
    <w:rsid w:val="008C1AC0"/>
    <w:rsid w:val="008E5904"/>
    <w:rsid w:val="00904F87"/>
    <w:rsid w:val="009243B5"/>
    <w:rsid w:val="009300C3"/>
    <w:rsid w:val="00967B50"/>
    <w:rsid w:val="0099273D"/>
    <w:rsid w:val="00995E7F"/>
    <w:rsid w:val="009A746B"/>
    <w:rsid w:val="009C33B8"/>
    <w:rsid w:val="00A05BFA"/>
    <w:rsid w:val="00A151D3"/>
    <w:rsid w:val="00A2299B"/>
    <w:rsid w:val="00A24DF1"/>
    <w:rsid w:val="00A756ED"/>
    <w:rsid w:val="00A82EB9"/>
    <w:rsid w:val="00AC00B3"/>
    <w:rsid w:val="00AC1972"/>
    <w:rsid w:val="00AC7D14"/>
    <w:rsid w:val="00B30F0F"/>
    <w:rsid w:val="00B44A4E"/>
    <w:rsid w:val="00B73362"/>
    <w:rsid w:val="00B91B3A"/>
    <w:rsid w:val="00B925A9"/>
    <w:rsid w:val="00BB40E2"/>
    <w:rsid w:val="00BC116F"/>
    <w:rsid w:val="00BC2837"/>
    <w:rsid w:val="00BD0A99"/>
    <w:rsid w:val="00C3059C"/>
    <w:rsid w:val="00C50932"/>
    <w:rsid w:val="00CD177B"/>
    <w:rsid w:val="00D05520"/>
    <w:rsid w:val="00D21743"/>
    <w:rsid w:val="00D24286"/>
    <w:rsid w:val="00D3286A"/>
    <w:rsid w:val="00D8576A"/>
    <w:rsid w:val="00D8583F"/>
    <w:rsid w:val="00D87324"/>
    <w:rsid w:val="00DA169D"/>
    <w:rsid w:val="00E01EDF"/>
    <w:rsid w:val="00E054FC"/>
    <w:rsid w:val="00E13237"/>
    <w:rsid w:val="00E17B1F"/>
    <w:rsid w:val="00E661B9"/>
    <w:rsid w:val="00E720F8"/>
    <w:rsid w:val="00EC3678"/>
    <w:rsid w:val="00EC7A15"/>
    <w:rsid w:val="00F068E1"/>
    <w:rsid w:val="00F17B13"/>
    <w:rsid w:val="00F3370D"/>
    <w:rsid w:val="00F453FB"/>
    <w:rsid w:val="00F66D41"/>
    <w:rsid w:val="00FB1A4F"/>
    <w:rsid w:val="00FB1F3D"/>
    <w:rsid w:val="00FB6412"/>
    <w:rsid w:val="00FE7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7F61"/>
  <w15:chartTrackingRefBased/>
  <w15:docId w15:val="{A8E27FD3-302A-4780-B19C-E3996CC67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67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C3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6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6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6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6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6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6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6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6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678"/>
    <w:rPr>
      <w:rFonts w:eastAsiaTheme="majorEastAsia" w:cstheme="majorBidi"/>
      <w:color w:val="272727" w:themeColor="text1" w:themeTint="D8"/>
    </w:rPr>
  </w:style>
  <w:style w:type="paragraph" w:styleId="Title">
    <w:name w:val="Title"/>
    <w:basedOn w:val="Normal"/>
    <w:next w:val="Normal"/>
    <w:link w:val="TitleChar"/>
    <w:uiPriority w:val="10"/>
    <w:qFormat/>
    <w:rsid w:val="00EC36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678"/>
    <w:pPr>
      <w:spacing w:before="160"/>
      <w:jc w:val="center"/>
    </w:pPr>
    <w:rPr>
      <w:i/>
      <w:iCs/>
      <w:color w:val="404040" w:themeColor="text1" w:themeTint="BF"/>
    </w:rPr>
  </w:style>
  <w:style w:type="character" w:customStyle="1" w:styleId="QuoteChar">
    <w:name w:val="Quote Char"/>
    <w:basedOn w:val="DefaultParagraphFont"/>
    <w:link w:val="Quote"/>
    <w:uiPriority w:val="29"/>
    <w:rsid w:val="00EC3678"/>
    <w:rPr>
      <w:i/>
      <w:iCs/>
      <w:color w:val="404040" w:themeColor="text1" w:themeTint="BF"/>
    </w:rPr>
  </w:style>
  <w:style w:type="paragraph" w:styleId="ListParagraph">
    <w:name w:val="List Paragraph"/>
    <w:basedOn w:val="Normal"/>
    <w:uiPriority w:val="34"/>
    <w:qFormat/>
    <w:rsid w:val="00EC3678"/>
    <w:pPr>
      <w:ind w:left="720"/>
      <w:contextualSpacing/>
    </w:pPr>
  </w:style>
  <w:style w:type="character" w:styleId="IntenseEmphasis">
    <w:name w:val="Intense Emphasis"/>
    <w:basedOn w:val="DefaultParagraphFont"/>
    <w:uiPriority w:val="21"/>
    <w:qFormat/>
    <w:rsid w:val="00EC3678"/>
    <w:rPr>
      <w:i/>
      <w:iCs/>
      <w:color w:val="0F4761" w:themeColor="accent1" w:themeShade="BF"/>
    </w:rPr>
  </w:style>
  <w:style w:type="paragraph" w:styleId="IntenseQuote">
    <w:name w:val="Intense Quote"/>
    <w:basedOn w:val="Normal"/>
    <w:next w:val="Normal"/>
    <w:link w:val="IntenseQuoteChar"/>
    <w:uiPriority w:val="30"/>
    <w:qFormat/>
    <w:rsid w:val="00EC3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678"/>
    <w:rPr>
      <w:i/>
      <w:iCs/>
      <w:color w:val="0F4761" w:themeColor="accent1" w:themeShade="BF"/>
    </w:rPr>
  </w:style>
  <w:style w:type="character" w:styleId="IntenseReference">
    <w:name w:val="Intense Reference"/>
    <w:basedOn w:val="DefaultParagraphFont"/>
    <w:uiPriority w:val="32"/>
    <w:qFormat/>
    <w:rsid w:val="00EC3678"/>
    <w:rPr>
      <w:b/>
      <w:bCs/>
      <w:smallCaps/>
      <w:color w:val="0F4761" w:themeColor="accent1" w:themeShade="BF"/>
      <w:spacing w:val="5"/>
    </w:rPr>
  </w:style>
  <w:style w:type="character" w:styleId="Hyperlink">
    <w:name w:val="Hyperlink"/>
    <w:basedOn w:val="DefaultParagraphFont"/>
    <w:uiPriority w:val="99"/>
    <w:unhideWhenUsed/>
    <w:rsid w:val="004A4ED4"/>
    <w:rPr>
      <w:color w:val="467886" w:themeColor="hyperlink"/>
      <w:u w:val="single"/>
    </w:rPr>
  </w:style>
  <w:style w:type="character" w:styleId="UnresolvedMention">
    <w:name w:val="Unresolved Mention"/>
    <w:basedOn w:val="DefaultParagraphFont"/>
    <w:uiPriority w:val="99"/>
    <w:semiHidden/>
    <w:unhideWhenUsed/>
    <w:rsid w:val="004A4ED4"/>
    <w:rPr>
      <w:color w:val="605E5C"/>
      <w:shd w:val="clear" w:color="auto" w:fill="E1DFDD"/>
    </w:rPr>
  </w:style>
  <w:style w:type="paragraph" w:styleId="NormalWeb">
    <w:name w:val="Normal (Web)"/>
    <w:basedOn w:val="Normal"/>
    <w:uiPriority w:val="99"/>
    <w:semiHidden/>
    <w:unhideWhenUsed/>
    <w:rsid w:val="000A51E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7699890">
      <w:bodyDiv w:val="1"/>
      <w:marLeft w:val="0"/>
      <w:marRight w:val="0"/>
      <w:marTop w:val="0"/>
      <w:marBottom w:val="0"/>
      <w:divBdr>
        <w:top w:val="none" w:sz="0" w:space="0" w:color="auto"/>
        <w:left w:val="none" w:sz="0" w:space="0" w:color="auto"/>
        <w:bottom w:val="none" w:sz="0" w:space="0" w:color="auto"/>
        <w:right w:val="none" w:sz="0" w:space="0" w:color="auto"/>
      </w:divBdr>
    </w:div>
    <w:div w:id="1510440258">
      <w:bodyDiv w:val="1"/>
      <w:marLeft w:val="0"/>
      <w:marRight w:val="0"/>
      <w:marTop w:val="0"/>
      <w:marBottom w:val="0"/>
      <w:divBdr>
        <w:top w:val="none" w:sz="0" w:space="0" w:color="auto"/>
        <w:left w:val="none" w:sz="0" w:space="0" w:color="auto"/>
        <w:bottom w:val="none" w:sz="0" w:space="0" w:color="auto"/>
        <w:right w:val="none" w:sz="0" w:space="0" w:color="auto"/>
      </w:divBdr>
    </w:div>
    <w:div w:id="1535775936">
      <w:bodyDiv w:val="1"/>
      <w:marLeft w:val="0"/>
      <w:marRight w:val="0"/>
      <w:marTop w:val="0"/>
      <w:marBottom w:val="0"/>
      <w:divBdr>
        <w:top w:val="none" w:sz="0" w:space="0" w:color="auto"/>
        <w:left w:val="none" w:sz="0" w:space="0" w:color="auto"/>
        <w:bottom w:val="none" w:sz="0" w:space="0" w:color="auto"/>
        <w:right w:val="none" w:sz="0" w:space="0" w:color="auto"/>
      </w:divBdr>
    </w:div>
    <w:div w:id="168362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blesolicitors.co.uk/about/indepth-theft.html" TargetMode="External"/><Relationship Id="rId3" Type="http://schemas.openxmlformats.org/officeDocument/2006/relationships/styles" Target="styles.xml"/><Relationship Id="rId7" Type="http://schemas.openxmlformats.org/officeDocument/2006/relationships/hyperlink" Target="https://www.legislation.gov.uk/ukpga/1968/60/section/1%20last%20accessed%2014.04.20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lawresources.co.uk/R-v-Ghosh.ph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ollb.com/blog/cases/r-v-walkington-1979-criminal-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EEE68-93C5-4A8E-AA54-5858043CE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1563</Words>
  <Characters>8913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2</cp:revision>
  <dcterms:created xsi:type="dcterms:W3CDTF">2024-05-03T11:42:00Z</dcterms:created>
  <dcterms:modified xsi:type="dcterms:W3CDTF">2024-05-03T11:42:00Z</dcterms:modified>
</cp:coreProperties>
</file>