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A492FB" w14:textId="77777777" w:rsidR="00883396" w:rsidRDefault="00883396" w:rsidP="00572E7A">
      <w:pPr>
        <w:jc w:val="center"/>
        <w:rPr>
          <w:sz w:val="56"/>
          <w:szCs w:val="56"/>
        </w:rPr>
      </w:pPr>
    </w:p>
    <w:p w14:paraId="4E904B1C" w14:textId="77777777" w:rsidR="00883396" w:rsidRDefault="00883396" w:rsidP="00572E7A">
      <w:pPr>
        <w:jc w:val="center"/>
        <w:rPr>
          <w:sz w:val="56"/>
          <w:szCs w:val="56"/>
        </w:rPr>
      </w:pPr>
    </w:p>
    <w:p w14:paraId="275C7979" w14:textId="77777777" w:rsidR="00883396" w:rsidRDefault="00883396" w:rsidP="00572E7A">
      <w:pPr>
        <w:jc w:val="center"/>
        <w:rPr>
          <w:sz w:val="56"/>
          <w:szCs w:val="56"/>
        </w:rPr>
      </w:pPr>
    </w:p>
    <w:p w14:paraId="32F76433" w14:textId="109E6384" w:rsidR="009E7470" w:rsidRPr="00572E7A" w:rsidRDefault="009E7470" w:rsidP="00572E7A">
      <w:pPr>
        <w:jc w:val="center"/>
        <w:rPr>
          <w:sz w:val="56"/>
          <w:szCs w:val="56"/>
        </w:rPr>
      </w:pPr>
      <w:r w:rsidRPr="00572E7A">
        <w:rPr>
          <w:sz w:val="56"/>
          <w:szCs w:val="56"/>
        </w:rPr>
        <w:t>Student Name: Lydia Perkins</w:t>
      </w:r>
    </w:p>
    <w:p w14:paraId="5260BA2C" w14:textId="63D31548" w:rsidR="009E7470" w:rsidRPr="00572E7A" w:rsidRDefault="009E7470" w:rsidP="00572E7A">
      <w:pPr>
        <w:jc w:val="center"/>
        <w:rPr>
          <w:sz w:val="56"/>
          <w:szCs w:val="56"/>
        </w:rPr>
      </w:pPr>
    </w:p>
    <w:p w14:paraId="33E44931" w14:textId="52F7221B" w:rsidR="009E7470" w:rsidRPr="00572E7A" w:rsidRDefault="009E7470" w:rsidP="00572E7A">
      <w:pPr>
        <w:jc w:val="center"/>
        <w:rPr>
          <w:sz w:val="56"/>
          <w:szCs w:val="56"/>
        </w:rPr>
      </w:pPr>
      <w:r w:rsidRPr="00572E7A">
        <w:rPr>
          <w:sz w:val="56"/>
          <w:szCs w:val="56"/>
        </w:rPr>
        <w:t>Student Number:</w:t>
      </w:r>
      <w:r w:rsidR="005672C8">
        <w:rPr>
          <w:sz w:val="56"/>
          <w:szCs w:val="56"/>
        </w:rPr>
        <w:t xml:space="preserve"> 2240470</w:t>
      </w:r>
    </w:p>
    <w:p w14:paraId="0F82953C" w14:textId="1FA3E2AF" w:rsidR="00572E7A" w:rsidRPr="00572E7A" w:rsidRDefault="00572E7A" w:rsidP="00572E7A">
      <w:pPr>
        <w:jc w:val="center"/>
        <w:rPr>
          <w:sz w:val="56"/>
          <w:szCs w:val="56"/>
        </w:rPr>
      </w:pPr>
    </w:p>
    <w:p w14:paraId="6D3C1CC7" w14:textId="31C4FDF0" w:rsidR="00572E7A" w:rsidRPr="00572E7A" w:rsidRDefault="00572E7A" w:rsidP="00572E7A">
      <w:pPr>
        <w:jc w:val="center"/>
        <w:rPr>
          <w:sz w:val="56"/>
          <w:szCs w:val="56"/>
        </w:rPr>
      </w:pPr>
      <w:r w:rsidRPr="00572E7A">
        <w:rPr>
          <w:sz w:val="56"/>
          <w:szCs w:val="56"/>
        </w:rPr>
        <w:t>Module Code: BMHP6030</w:t>
      </w:r>
    </w:p>
    <w:p w14:paraId="6D4EB00F" w14:textId="7EC52169" w:rsidR="00572E7A" w:rsidRPr="00572E7A" w:rsidRDefault="00572E7A" w:rsidP="00572E7A">
      <w:pPr>
        <w:jc w:val="center"/>
        <w:rPr>
          <w:sz w:val="56"/>
          <w:szCs w:val="56"/>
        </w:rPr>
      </w:pPr>
    </w:p>
    <w:p w14:paraId="6B9FC3FC" w14:textId="1A332968" w:rsidR="00572E7A" w:rsidRPr="00572E7A" w:rsidRDefault="00572E7A" w:rsidP="00572E7A">
      <w:pPr>
        <w:jc w:val="center"/>
        <w:rPr>
          <w:sz w:val="56"/>
          <w:szCs w:val="56"/>
        </w:rPr>
      </w:pPr>
      <w:r w:rsidRPr="00572E7A">
        <w:rPr>
          <w:sz w:val="56"/>
          <w:szCs w:val="56"/>
        </w:rPr>
        <w:t>Module: Health, Wellbeing and Sustainable Development</w:t>
      </w:r>
    </w:p>
    <w:p w14:paraId="37C84530" w14:textId="19130414" w:rsidR="00572E7A" w:rsidRPr="00572E7A" w:rsidRDefault="00572E7A" w:rsidP="00572E7A">
      <w:pPr>
        <w:jc w:val="center"/>
        <w:rPr>
          <w:sz w:val="56"/>
          <w:szCs w:val="56"/>
        </w:rPr>
      </w:pPr>
    </w:p>
    <w:p w14:paraId="09902B3E" w14:textId="4C385DB8" w:rsidR="00572E7A" w:rsidRPr="00572E7A" w:rsidRDefault="00572E7A" w:rsidP="00572E7A">
      <w:pPr>
        <w:jc w:val="center"/>
        <w:rPr>
          <w:sz w:val="56"/>
          <w:szCs w:val="56"/>
        </w:rPr>
      </w:pPr>
      <w:r w:rsidRPr="00572E7A">
        <w:rPr>
          <w:sz w:val="56"/>
          <w:szCs w:val="56"/>
        </w:rPr>
        <w:t>Assignment Title: Component 2 Written Assignment (Report)</w:t>
      </w:r>
    </w:p>
    <w:p w14:paraId="29704861" w14:textId="53957C04" w:rsidR="00572E7A" w:rsidRPr="00572E7A" w:rsidRDefault="00572E7A" w:rsidP="00572E7A">
      <w:pPr>
        <w:jc w:val="center"/>
        <w:rPr>
          <w:sz w:val="56"/>
          <w:szCs w:val="56"/>
        </w:rPr>
      </w:pPr>
    </w:p>
    <w:p w14:paraId="28C389EF" w14:textId="090B644F" w:rsidR="00572E7A" w:rsidRPr="00572E7A" w:rsidRDefault="00572E7A" w:rsidP="00572E7A">
      <w:pPr>
        <w:jc w:val="center"/>
        <w:rPr>
          <w:sz w:val="56"/>
          <w:szCs w:val="56"/>
        </w:rPr>
      </w:pPr>
      <w:r w:rsidRPr="00572E7A">
        <w:rPr>
          <w:sz w:val="56"/>
          <w:szCs w:val="56"/>
        </w:rPr>
        <w:t>Lecturer</w:t>
      </w:r>
      <w:r w:rsidR="005672C8">
        <w:rPr>
          <w:sz w:val="56"/>
          <w:szCs w:val="56"/>
        </w:rPr>
        <w:t>: Tomy Adattu Chacko</w:t>
      </w:r>
    </w:p>
    <w:p w14:paraId="787FB62E" w14:textId="567D03F6" w:rsidR="00572E7A" w:rsidRDefault="00572E7A"/>
    <w:p w14:paraId="150DDAF2" w14:textId="4F9542F1" w:rsidR="00572E7A" w:rsidRDefault="00572E7A"/>
    <w:p w14:paraId="2C35E6E7" w14:textId="77777777" w:rsidR="00572E7A" w:rsidRDefault="00572E7A"/>
    <w:p w14:paraId="235BFC49" w14:textId="1AEA3864" w:rsidR="009E7470" w:rsidRDefault="009E7470"/>
    <w:p w14:paraId="26820CD3" w14:textId="6632D2D7" w:rsidR="009E7470" w:rsidRDefault="009E7470"/>
    <w:p w14:paraId="46CF7A4A" w14:textId="20935036" w:rsidR="009E7470" w:rsidRDefault="009E7470"/>
    <w:p w14:paraId="4E78ED9A" w14:textId="103FF973" w:rsidR="009E7470" w:rsidRDefault="009E7470"/>
    <w:p w14:paraId="015175B7" w14:textId="2D1DA527" w:rsidR="009E7470" w:rsidRDefault="009E7470"/>
    <w:p w14:paraId="6555A16F" w14:textId="211F039E" w:rsidR="009E7470" w:rsidRDefault="009E7470"/>
    <w:p w14:paraId="3DDA8FED" w14:textId="04D0548A" w:rsidR="009E7470" w:rsidRDefault="009E7470"/>
    <w:p w14:paraId="4747D2A7" w14:textId="29692411" w:rsidR="009E7470" w:rsidRDefault="009E7470"/>
    <w:p w14:paraId="41995A05" w14:textId="331F5459" w:rsidR="009E7470" w:rsidRDefault="009E7470"/>
    <w:p w14:paraId="628290EF" w14:textId="2AE7ED1B" w:rsidR="00B7473C" w:rsidRDefault="00B7473C"/>
    <w:p w14:paraId="5ABA4DA7" w14:textId="2D25EDDB" w:rsidR="00572E7A" w:rsidRPr="001D1FE9" w:rsidRDefault="00572E7A" w:rsidP="00572E7A">
      <w:pPr>
        <w:jc w:val="center"/>
        <w:rPr>
          <w:b/>
          <w:bCs/>
          <w:u w:val="single"/>
        </w:rPr>
      </w:pPr>
      <w:r w:rsidRPr="001D1FE9">
        <w:rPr>
          <w:b/>
          <w:bCs/>
          <w:u w:val="single"/>
        </w:rPr>
        <w:lastRenderedPageBreak/>
        <w:t xml:space="preserve">Critically Examine Current Health, Wellbeing and Sustainability Policies and Initiatives That Impact Citizens </w:t>
      </w:r>
      <w:r w:rsidR="00883396">
        <w:rPr>
          <w:b/>
          <w:bCs/>
          <w:u w:val="single"/>
        </w:rPr>
        <w:t>o</w:t>
      </w:r>
      <w:r w:rsidRPr="001D1FE9">
        <w:rPr>
          <w:b/>
          <w:bCs/>
          <w:u w:val="single"/>
        </w:rPr>
        <w:t xml:space="preserve">n </w:t>
      </w:r>
      <w:r w:rsidR="00883396">
        <w:rPr>
          <w:b/>
          <w:bCs/>
          <w:u w:val="single"/>
        </w:rPr>
        <w:t>a</w:t>
      </w:r>
      <w:r w:rsidRPr="001D1FE9">
        <w:rPr>
          <w:b/>
          <w:bCs/>
          <w:u w:val="single"/>
        </w:rPr>
        <w:t xml:space="preserve"> Global, National </w:t>
      </w:r>
      <w:r w:rsidR="00C35E23">
        <w:rPr>
          <w:b/>
          <w:bCs/>
          <w:u w:val="single"/>
        </w:rPr>
        <w:t>a</w:t>
      </w:r>
      <w:r w:rsidRPr="001D1FE9">
        <w:rPr>
          <w:b/>
          <w:bCs/>
          <w:u w:val="single"/>
        </w:rPr>
        <w:t>nd Local Level</w:t>
      </w:r>
    </w:p>
    <w:p w14:paraId="3E5BAAF2" w14:textId="5DB9E85E" w:rsidR="00D77614" w:rsidRPr="00485276" w:rsidRDefault="00D77614">
      <w:pPr>
        <w:rPr>
          <w:rFonts w:ascii="Arial" w:hAnsi="Arial" w:cs="Arial"/>
          <w:b/>
          <w:bCs/>
          <w:sz w:val="22"/>
          <w:szCs w:val="22"/>
          <w:u w:val="single"/>
        </w:rPr>
      </w:pPr>
    </w:p>
    <w:p w14:paraId="7A9E7059" w14:textId="2B490CFB" w:rsidR="00B7473C" w:rsidRPr="00485276" w:rsidRDefault="00B7473C">
      <w:pPr>
        <w:rPr>
          <w:rFonts w:ascii="Arial" w:hAnsi="Arial" w:cs="Arial"/>
          <w:b/>
          <w:bCs/>
          <w:sz w:val="22"/>
          <w:szCs w:val="22"/>
          <w:u w:val="single"/>
        </w:rPr>
      </w:pPr>
    </w:p>
    <w:p w14:paraId="2C83BC65" w14:textId="34AEC1D7" w:rsidR="00B7473C" w:rsidRPr="00485276" w:rsidRDefault="004746A9">
      <w:pPr>
        <w:rPr>
          <w:rFonts w:ascii="Arial" w:hAnsi="Arial" w:cs="Arial"/>
          <w:b/>
          <w:bCs/>
          <w:sz w:val="22"/>
          <w:szCs w:val="22"/>
          <w:u w:val="single"/>
        </w:rPr>
      </w:pPr>
      <w:r w:rsidRPr="00485276">
        <w:rPr>
          <w:rFonts w:ascii="Arial" w:hAnsi="Arial" w:cs="Arial"/>
          <w:b/>
          <w:bCs/>
          <w:sz w:val="22"/>
          <w:szCs w:val="22"/>
          <w:u w:val="single"/>
        </w:rPr>
        <w:t>INTRODUCTION</w:t>
      </w:r>
    </w:p>
    <w:p w14:paraId="5E6C604A" w14:textId="6C6DEAD9" w:rsidR="00FF6CAB" w:rsidRPr="00485276" w:rsidRDefault="002D4931">
      <w:pPr>
        <w:rPr>
          <w:rFonts w:ascii="Arial" w:hAnsi="Arial" w:cs="Arial"/>
          <w:sz w:val="22"/>
          <w:szCs w:val="22"/>
        </w:rPr>
      </w:pPr>
      <w:r w:rsidRPr="00485276">
        <w:rPr>
          <w:rFonts w:ascii="Arial" w:hAnsi="Arial" w:cs="Arial"/>
          <w:sz w:val="22"/>
          <w:szCs w:val="22"/>
        </w:rPr>
        <w:t>Sustainable development has become a defining framework for addressing the complex and interconnected challenges facing global populations in the twenty-first century</w:t>
      </w:r>
      <w:r w:rsidR="00FF6CAB" w:rsidRPr="00485276">
        <w:rPr>
          <w:rFonts w:ascii="Arial" w:hAnsi="Arial" w:cs="Arial"/>
          <w:sz w:val="22"/>
          <w:szCs w:val="22"/>
        </w:rPr>
        <w:t xml:space="preserve"> </w:t>
      </w:r>
      <w:r w:rsidR="00FF6CAB" w:rsidRPr="00485276">
        <w:rPr>
          <w:rFonts w:ascii="Arial" w:hAnsi="Arial" w:cs="Arial"/>
          <w:color w:val="000000"/>
          <w:sz w:val="22"/>
          <w:szCs w:val="22"/>
        </w:rPr>
        <w:t>(United Nations, 2015)</w:t>
      </w:r>
      <w:r w:rsidRPr="00485276">
        <w:rPr>
          <w:rFonts w:ascii="Arial" w:hAnsi="Arial" w:cs="Arial"/>
          <w:sz w:val="22"/>
          <w:szCs w:val="22"/>
        </w:rPr>
        <w:t>.  The adoption of the United Nations Sustainable Development Goals (SDGs) in 2015 marked a significant shift towards integrated, multi-sectoral action designed to promote prosperity while protecting planetary and huma wellbeing</w:t>
      </w:r>
      <w:r w:rsidR="00FF6CAB" w:rsidRPr="00485276">
        <w:rPr>
          <w:rFonts w:ascii="Arial" w:hAnsi="Arial" w:cs="Arial"/>
          <w:sz w:val="22"/>
          <w:szCs w:val="22"/>
        </w:rPr>
        <w:t xml:space="preserve"> </w:t>
      </w:r>
      <w:r w:rsidR="00FF6CAB" w:rsidRPr="00485276">
        <w:rPr>
          <w:rFonts w:ascii="Arial" w:hAnsi="Arial" w:cs="Arial"/>
          <w:color w:val="000000"/>
          <w:sz w:val="22"/>
          <w:szCs w:val="22"/>
        </w:rPr>
        <w:t>(United Nations, 2015a)</w:t>
      </w:r>
      <w:r w:rsidRPr="00485276">
        <w:rPr>
          <w:rFonts w:ascii="Arial" w:hAnsi="Arial" w:cs="Arial"/>
          <w:sz w:val="22"/>
          <w:szCs w:val="22"/>
        </w:rPr>
        <w:t>.  The 17 SDGs recognise that health, inequality, environmental sustainability, and economic stability are deeply interrelated rather than isolated policy domains.  Among them, SDG 3: Good Health and Wellbeing is central, as health functions both as a prerequisite for and an outcome of sustainable development</w:t>
      </w:r>
      <w:r w:rsidR="00FF6CAB" w:rsidRPr="00485276">
        <w:rPr>
          <w:rFonts w:ascii="Arial" w:hAnsi="Arial" w:cs="Arial"/>
          <w:sz w:val="22"/>
          <w:szCs w:val="22"/>
        </w:rPr>
        <w:t xml:space="preserve"> </w:t>
      </w:r>
      <w:r w:rsidR="00FF6CAB" w:rsidRPr="00485276">
        <w:rPr>
          <w:rFonts w:ascii="Arial" w:hAnsi="Arial" w:cs="Arial"/>
          <w:color w:val="000000"/>
          <w:sz w:val="22"/>
          <w:szCs w:val="22"/>
        </w:rPr>
        <w:t>(Acharya, Lin and Dhingra, 2018)</w:t>
      </w:r>
      <w:r w:rsidRPr="00485276">
        <w:rPr>
          <w:rFonts w:ascii="Arial" w:hAnsi="Arial" w:cs="Arial"/>
          <w:sz w:val="22"/>
          <w:szCs w:val="22"/>
        </w:rPr>
        <w:t>.  However, health outcomes are not produced solely within healthcare systems; they are shaped by social, economic and structural determinants.  For this reason, SDG 10: Reduced Inequalities is intrinsically linked to SDG 3 and must be analysed alongside it</w:t>
      </w:r>
      <w:r w:rsidR="00FF6CAB" w:rsidRPr="00485276">
        <w:rPr>
          <w:rFonts w:ascii="Arial" w:hAnsi="Arial" w:cs="Arial"/>
          <w:sz w:val="22"/>
          <w:szCs w:val="22"/>
        </w:rPr>
        <w:t xml:space="preserve"> </w:t>
      </w:r>
      <w:r w:rsidR="00FF6CAB" w:rsidRPr="00485276">
        <w:rPr>
          <w:rFonts w:ascii="Arial" w:hAnsi="Arial" w:cs="Arial"/>
          <w:color w:val="000000"/>
          <w:sz w:val="22"/>
          <w:szCs w:val="22"/>
        </w:rPr>
        <w:t>(Kruk et al., 2018)</w:t>
      </w:r>
      <w:r w:rsidR="00FF6CAB" w:rsidRPr="00485276">
        <w:rPr>
          <w:rFonts w:ascii="Arial" w:hAnsi="Arial" w:cs="Arial"/>
          <w:sz w:val="22"/>
          <w:szCs w:val="22"/>
        </w:rPr>
        <w:t>.</w:t>
      </w:r>
    </w:p>
    <w:p w14:paraId="734DD0C0" w14:textId="0B4E3AC2" w:rsidR="002D4931" w:rsidRPr="00485276" w:rsidRDefault="002D4931">
      <w:pPr>
        <w:rPr>
          <w:rFonts w:ascii="Arial" w:hAnsi="Arial" w:cs="Arial"/>
          <w:sz w:val="22"/>
          <w:szCs w:val="22"/>
        </w:rPr>
      </w:pPr>
    </w:p>
    <w:p w14:paraId="5330D242" w14:textId="4DB18A0F" w:rsidR="002D4931" w:rsidRPr="00485276" w:rsidRDefault="002D4931">
      <w:pPr>
        <w:rPr>
          <w:rFonts w:ascii="Arial" w:hAnsi="Arial" w:cs="Arial"/>
          <w:sz w:val="22"/>
          <w:szCs w:val="22"/>
        </w:rPr>
      </w:pPr>
      <w:r w:rsidRPr="00485276">
        <w:rPr>
          <w:rFonts w:ascii="Arial" w:hAnsi="Arial" w:cs="Arial"/>
          <w:sz w:val="22"/>
          <w:szCs w:val="22"/>
        </w:rPr>
        <w:t>This report critically examines current health, wellbeing and sustainability policies at global, national (United Kingdom) and local (Birmingham) levels, assessing their capacity to improve population health and reduce inequities.  Drawing upon theoretical frameworks including Dahlgren and Whitehead’s (1991) Social Determinants of Health model, Marmot’s (2010) upstream approach, and systems thinking theory, the report evaluates both the strengths and limitations of existing initiatives.  Particular attention is given to implementation gaps, funding constraints, and the tension between policy rhetoric and lived reality.</w:t>
      </w:r>
    </w:p>
    <w:p w14:paraId="2F0A4AF3" w14:textId="38EA1C87" w:rsidR="002D4931" w:rsidRPr="00485276" w:rsidRDefault="002D4931">
      <w:pPr>
        <w:rPr>
          <w:rFonts w:ascii="Arial" w:hAnsi="Arial" w:cs="Arial"/>
          <w:sz w:val="22"/>
          <w:szCs w:val="22"/>
        </w:rPr>
      </w:pPr>
    </w:p>
    <w:p w14:paraId="08552F21" w14:textId="2F43B3F8" w:rsidR="002D4931" w:rsidRDefault="002D4931">
      <w:pPr>
        <w:rPr>
          <w:rFonts w:ascii="Arial" w:hAnsi="Arial" w:cs="Arial"/>
          <w:sz w:val="22"/>
          <w:szCs w:val="22"/>
        </w:rPr>
      </w:pPr>
      <w:r w:rsidRPr="00485276">
        <w:rPr>
          <w:rFonts w:ascii="Arial" w:hAnsi="Arial" w:cs="Arial"/>
          <w:sz w:val="22"/>
          <w:szCs w:val="22"/>
        </w:rPr>
        <w:t>The report is structured in two main sections.  Section 1 critically analyses SDG 3, while Section 2 evaluates SDG 10 and its interrelationship with health outcomes.  The conclusion synthesises key findings, emphasising the need for structural reform and integrated governance to achieve sustainable and equitable development.</w:t>
      </w:r>
    </w:p>
    <w:p w14:paraId="535C03D0" w14:textId="0C0B30C9" w:rsidR="00966621" w:rsidRDefault="00966621">
      <w:pPr>
        <w:rPr>
          <w:rFonts w:ascii="Arial" w:hAnsi="Arial" w:cs="Arial"/>
          <w:sz w:val="22"/>
          <w:szCs w:val="22"/>
        </w:rPr>
      </w:pPr>
    </w:p>
    <w:p w14:paraId="5D2F6701" w14:textId="77777777" w:rsidR="00966621" w:rsidRPr="00485276" w:rsidRDefault="00966621" w:rsidP="00966621">
      <w:pPr>
        <w:rPr>
          <w:rFonts w:ascii="Arial" w:hAnsi="Arial" w:cs="Arial"/>
          <w:b/>
          <w:bCs/>
          <w:sz w:val="22"/>
          <w:szCs w:val="22"/>
          <w:u w:val="single"/>
        </w:rPr>
      </w:pPr>
      <w:r w:rsidRPr="00485276">
        <w:rPr>
          <w:rFonts w:ascii="Arial" w:hAnsi="Arial" w:cs="Arial"/>
          <w:b/>
          <w:bCs/>
          <w:sz w:val="22"/>
          <w:szCs w:val="22"/>
          <w:u w:val="single"/>
        </w:rPr>
        <w:t>What is Sustainability Development Goals (SDG)?</w:t>
      </w:r>
    </w:p>
    <w:p w14:paraId="7E8F78C3" w14:textId="77777777" w:rsidR="00966621" w:rsidRPr="00485276" w:rsidRDefault="00966621" w:rsidP="00966621">
      <w:pPr>
        <w:rPr>
          <w:rFonts w:ascii="Arial" w:hAnsi="Arial" w:cs="Arial"/>
          <w:color w:val="000000"/>
          <w:sz w:val="22"/>
          <w:szCs w:val="22"/>
        </w:rPr>
      </w:pPr>
      <w:r w:rsidRPr="00485276">
        <w:rPr>
          <w:rFonts w:ascii="Arial" w:hAnsi="Arial" w:cs="Arial"/>
          <w:sz w:val="22"/>
          <w:szCs w:val="22"/>
        </w:rPr>
        <w:t xml:space="preserve">The Sustainable Development Goals (SDGs) are a set of 17 interconnected global objectives adopted by the United Nations in 2015 as part of the 2030 Agenda for Sustainable Development. They were established to address major global challenges including poverty, inequality, environmental degradation, and health disparities.  The SDGs provide a universal framework designed to guide governments, organisations and communities towards achieving sustainable development by 2030 </w:t>
      </w:r>
      <w:r w:rsidRPr="00485276">
        <w:rPr>
          <w:rFonts w:ascii="Arial" w:hAnsi="Arial" w:cs="Arial"/>
          <w:color w:val="000000"/>
          <w:sz w:val="22"/>
          <w:szCs w:val="22"/>
        </w:rPr>
        <w:t>(United Nations, 2015).</w:t>
      </w:r>
    </w:p>
    <w:p w14:paraId="6118C427" w14:textId="77777777" w:rsidR="00966621" w:rsidRPr="00485276" w:rsidRDefault="00966621" w:rsidP="00966621">
      <w:pPr>
        <w:rPr>
          <w:rFonts w:ascii="Arial" w:hAnsi="Arial" w:cs="Arial"/>
          <w:color w:val="000000"/>
          <w:sz w:val="22"/>
          <w:szCs w:val="22"/>
        </w:rPr>
      </w:pPr>
    </w:p>
    <w:p w14:paraId="0E29FAFE" w14:textId="77777777" w:rsidR="00966621" w:rsidRPr="00485276" w:rsidRDefault="00966621" w:rsidP="00966621">
      <w:pPr>
        <w:rPr>
          <w:rFonts w:ascii="Arial" w:hAnsi="Arial" w:cs="Arial"/>
          <w:b/>
          <w:bCs/>
          <w:color w:val="000000"/>
          <w:sz w:val="22"/>
          <w:szCs w:val="22"/>
          <w:u w:val="single"/>
        </w:rPr>
      </w:pPr>
      <w:r w:rsidRPr="00485276">
        <w:rPr>
          <w:rFonts w:ascii="Arial" w:hAnsi="Arial" w:cs="Arial"/>
          <w:b/>
          <w:bCs/>
          <w:color w:val="000000"/>
          <w:sz w:val="22"/>
          <w:szCs w:val="22"/>
          <w:u w:val="single"/>
        </w:rPr>
        <w:t>Sustainability</w:t>
      </w:r>
    </w:p>
    <w:p w14:paraId="7B8E882F" w14:textId="77777777" w:rsidR="00966621" w:rsidRPr="00485276" w:rsidRDefault="00966621" w:rsidP="00966621">
      <w:pPr>
        <w:rPr>
          <w:rFonts w:ascii="Arial" w:hAnsi="Arial" w:cs="Arial"/>
          <w:sz w:val="22"/>
          <w:szCs w:val="22"/>
        </w:rPr>
      </w:pPr>
      <w:r w:rsidRPr="00485276">
        <w:rPr>
          <w:rFonts w:ascii="Arial" w:hAnsi="Arial" w:cs="Arial"/>
          <w:color w:val="000000"/>
          <w:sz w:val="22"/>
          <w:szCs w:val="22"/>
        </w:rPr>
        <w:t>Sustainability refers to the ability to meet the needs of the present without compromising the ability of future generations to meet their own needs.  This widely cited definition originates from Brundtland Report published in 1987 by the World Commission on Environment and Development (United Nations, 2025).</w:t>
      </w:r>
    </w:p>
    <w:p w14:paraId="260B6FD5" w14:textId="77777777" w:rsidR="00966621" w:rsidRPr="00485276" w:rsidRDefault="00966621" w:rsidP="00966621">
      <w:pPr>
        <w:rPr>
          <w:rFonts w:ascii="Arial" w:hAnsi="Arial" w:cs="Arial"/>
          <w:sz w:val="22"/>
          <w:szCs w:val="22"/>
        </w:rPr>
      </w:pPr>
    </w:p>
    <w:p w14:paraId="1FCE027E" w14:textId="77777777" w:rsidR="00966621" w:rsidRPr="00485276" w:rsidRDefault="00966621" w:rsidP="00966621">
      <w:pPr>
        <w:rPr>
          <w:rFonts w:ascii="Arial" w:hAnsi="Arial" w:cs="Arial"/>
          <w:b/>
          <w:bCs/>
          <w:sz w:val="22"/>
          <w:szCs w:val="22"/>
          <w:u w:val="single"/>
        </w:rPr>
      </w:pPr>
      <w:r w:rsidRPr="00485276">
        <w:rPr>
          <w:rFonts w:ascii="Arial" w:hAnsi="Arial" w:cs="Arial"/>
          <w:b/>
          <w:bCs/>
          <w:sz w:val="22"/>
          <w:szCs w:val="22"/>
          <w:u w:val="single"/>
        </w:rPr>
        <w:t>Health</w:t>
      </w:r>
    </w:p>
    <w:p w14:paraId="3D425385" w14:textId="77777777" w:rsidR="00966621" w:rsidRPr="00485276" w:rsidRDefault="00966621" w:rsidP="00966621">
      <w:pPr>
        <w:rPr>
          <w:rFonts w:ascii="Arial" w:hAnsi="Arial" w:cs="Arial"/>
          <w:sz w:val="22"/>
          <w:szCs w:val="22"/>
        </w:rPr>
      </w:pPr>
      <w:r w:rsidRPr="00485276">
        <w:rPr>
          <w:rFonts w:ascii="Arial" w:hAnsi="Arial" w:cs="Arial"/>
          <w:sz w:val="22"/>
          <w:szCs w:val="22"/>
        </w:rPr>
        <w:t xml:space="preserve">Health is widely understood as a dynamic state of physical, mental, and social functioning, rather than simply the absence of illness or disability.  The most influential definition was proposed by the World Health Organization in 1948, which describes health as “A state of complete physical, mental, and social wellbeing and not merely the absence of disease or infirmity </w:t>
      </w:r>
      <w:r w:rsidRPr="00485276">
        <w:rPr>
          <w:rFonts w:ascii="Arial" w:hAnsi="Arial" w:cs="Arial"/>
          <w:color w:val="000000"/>
          <w:sz w:val="22"/>
          <w:szCs w:val="22"/>
        </w:rPr>
        <w:t>(World Health Organization, 1948).</w:t>
      </w:r>
    </w:p>
    <w:p w14:paraId="348AF48D" w14:textId="77777777" w:rsidR="00966621" w:rsidRPr="00485276" w:rsidRDefault="00966621" w:rsidP="00966621">
      <w:pPr>
        <w:rPr>
          <w:rFonts w:ascii="Arial" w:hAnsi="Arial" w:cs="Arial"/>
          <w:sz w:val="22"/>
          <w:szCs w:val="22"/>
        </w:rPr>
      </w:pPr>
    </w:p>
    <w:p w14:paraId="51D499E4" w14:textId="77777777" w:rsidR="00966621" w:rsidRPr="00485276" w:rsidRDefault="00966621" w:rsidP="00966621">
      <w:pPr>
        <w:rPr>
          <w:rFonts w:ascii="Arial" w:hAnsi="Arial" w:cs="Arial"/>
          <w:b/>
          <w:bCs/>
          <w:sz w:val="22"/>
          <w:szCs w:val="22"/>
          <w:u w:val="single"/>
        </w:rPr>
      </w:pPr>
    </w:p>
    <w:p w14:paraId="6420A368" w14:textId="77777777" w:rsidR="00966621" w:rsidRPr="00485276" w:rsidRDefault="00966621" w:rsidP="00966621">
      <w:pPr>
        <w:rPr>
          <w:rFonts w:ascii="Arial" w:hAnsi="Arial" w:cs="Arial"/>
          <w:b/>
          <w:bCs/>
          <w:sz w:val="22"/>
          <w:szCs w:val="22"/>
          <w:u w:val="single"/>
        </w:rPr>
      </w:pPr>
      <w:r w:rsidRPr="00485276">
        <w:rPr>
          <w:rFonts w:ascii="Arial" w:hAnsi="Arial" w:cs="Arial"/>
          <w:b/>
          <w:bCs/>
          <w:sz w:val="22"/>
          <w:szCs w:val="22"/>
          <w:u w:val="single"/>
        </w:rPr>
        <w:t>Wellbeing</w:t>
      </w:r>
    </w:p>
    <w:p w14:paraId="5329B5FB" w14:textId="77777777" w:rsidR="00966621" w:rsidRPr="00485276" w:rsidRDefault="00966621" w:rsidP="00966621">
      <w:pPr>
        <w:rPr>
          <w:rFonts w:ascii="Arial" w:hAnsi="Arial" w:cs="Arial"/>
          <w:sz w:val="22"/>
          <w:szCs w:val="22"/>
        </w:rPr>
      </w:pPr>
      <w:r w:rsidRPr="00485276">
        <w:rPr>
          <w:rFonts w:ascii="Arial" w:hAnsi="Arial" w:cs="Arial"/>
          <w:sz w:val="22"/>
          <w:szCs w:val="22"/>
        </w:rPr>
        <w:lastRenderedPageBreak/>
        <w:t xml:space="preserve">Wellbeing refers to the overall quality of an individual’s life and their ability to experience physical, psychological, and social fulfilment.  It extends beyond the absence of illness and includes a person’s capacity to live a meaningful life, maintain relationships, and participate fully in society </w:t>
      </w:r>
      <w:r w:rsidRPr="00485276">
        <w:rPr>
          <w:rFonts w:ascii="Arial" w:hAnsi="Arial" w:cs="Arial"/>
          <w:color w:val="000000"/>
          <w:sz w:val="22"/>
          <w:szCs w:val="22"/>
        </w:rPr>
        <w:t>(Park et al., 2022)</w:t>
      </w:r>
      <w:r w:rsidRPr="00485276">
        <w:rPr>
          <w:rFonts w:ascii="Arial" w:hAnsi="Arial" w:cs="Arial"/>
          <w:sz w:val="22"/>
          <w:szCs w:val="22"/>
        </w:rPr>
        <w:t>.</w:t>
      </w:r>
    </w:p>
    <w:p w14:paraId="4C007296" w14:textId="4838BD22" w:rsidR="004746A9" w:rsidRPr="00485276" w:rsidRDefault="004746A9">
      <w:pPr>
        <w:rPr>
          <w:rFonts w:ascii="Arial" w:hAnsi="Arial" w:cs="Arial"/>
          <w:sz w:val="22"/>
          <w:szCs w:val="22"/>
        </w:rPr>
      </w:pPr>
    </w:p>
    <w:p w14:paraId="43BC969F" w14:textId="70078216" w:rsidR="004746A9" w:rsidRPr="00485276" w:rsidRDefault="004746A9">
      <w:pPr>
        <w:rPr>
          <w:rFonts w:ascii="Arial" w:hAnsi="Arial" w:cs="Arial"/>
          <w:b/>
          <w:bCs/>
          <w:sz w:val="22"/>
          <w:szCs w:val="22"/>
          <w:u w:val="single"/>
        </w:rPr>
      </w:pPr>
      <w:r w:rsidRPr="00485276">
        <w:rPr>
          <w:rFonts w:ascii="Arial" w:hAnsi="Arial" w:cs="Arial"/>
          <w:b/>
          <w:bCs/>
          <w:sz w:val="22"/>
          <w:szCs w:val="22"/>
          <w:u w:val="single"/>
        </w:rPr>
        <w:t>SECTION 1</w:t>
      </w:r>
      <w:r w:rsidR="00BF7320" w:rsidRPr="00485276">
        <w:rPr>
          <w:rFonts w:ascii="Arial" w:hAnsi="Arial" w:cs="Arial"/>
          <w:b/>
          <w:bCs/>
          <w:sz w:val="22"/>
          <w:szCs w:val="22"/>
          <w:u w:val="single"/>
        </w:rPr>
        <w:t xml:space="preserve"> (SDG 3 Good Health and Wellbeing)</w:t>
      </w:r>
    </w:p>
    <w:p w14:paraId="0B27D987" w14:textId="6DA028FA" w:rsidR="00BF7320" w:rsidRPr="00485276" w:rsidRDefault="00BF7320">
      <w:pPr>
        <w:rPr>
          <w:rFonts w:ascii="Arial" w:hAnsi="Arial" w:cs="Arial"/>
          <w:sz w:val="22"/>
          <w:szCs w:val="22"/>
        </w:rPr>
      </w:pPr>
      <w:r w:rsidRPr="00485276">
        <w:rPr>
          <w:rFonts w:ascii="Arial" w:hAnsi="Arial" w:cs="Arial"/>
          <w:sz w:val="22"/>
          <w:szCs w:val="22"/>
        </w:rPr>
        <w:t>SDG 3 aims to ensure healthy lives and promote wellbeing for all at all ages (United Nations, 2015), It encompasses targets such as reducing maternal mortality, combating communicable diseases, and improving mental health.  While progress has been made globally, significant disparities persist, highlighting the complexity of achieving universal health outcomes</w:t>
      </w:r>
      <w:r w:rsidR="00444B57" w:rsidRPr="00485276">
        <w:rPr>
          <w:rFonts w:ascii="Arial" w:hAnsi="Arial" w:cs="Arial"/>
          <w:sz w:val="22"/>
          <w:szCs w:val="22"/>
        </w:rPr>
        <w:t xml:space="preserve"> </w:t>
      </w:r>
      <w:r w:rsidR="00444B57" w:rsidRPr="00485276">
        <w:rPr>
          <w:rFonts w:ascii="Arial" w:hAnsi="Arial" w:cs="Arial"/>
          <w:color w:val="000000"/>
          <w:sz w:val="22"/>
          <w:szCs w:val="22"/>
        </w:rPr>
        <w:t>(Wang and Ren, 2025)</w:t>
      </w:r>
      <w:r w:rsidRPr="00485276">
        <w:rPr>
          <w:rFonts w:ascii="Arial" w:hAnsi="Arial" w:cs="Arial"/>
          <w:sz w:val="22"/>
          <w:szCs w:val="22"/>
        </w:rPr>
        <w:t>.</w:t>
      </w:r>
    </w:p>
    <w:p w14:paraId="6322230C" w14:textId="6DF34C43" w:rsidR="00BF7320" w:rsidRPr="00485276" w:rsidRDefault="00BF7320">
      <w:pPr>
        <w:rPr>
          <w:rFonts w:ascii="Arial" w:hAnsi="Arial" w:cs="Arial"/>
          <w:sz w:val="22"/>
          <w:szCs w:val="22"/>
        </w:rPr>
      </w:pPr>
    </w:p>
    <w:p w14:paraId="29C195C3" w14:textId="7D519880" w:rsidR="004A6448" w:rsidRPr="00485276" w:rsidRDefault="004A6448">
      <w:pPr>
        <w:rPr>
          <w:rFonts w:ascii="Arial" w:hAnsi="Arial" w:cs="Arial"/>
          <w:b/>
          <w:bCs/>
          <w:sz w:val="22"/>
          <w:szCs w:val="22"/>
          <w:u w:val="single"/>
        </w:rPr>
      </w:pPr>
      <w:r w:rsidRPr="00485276">
        <w:rPr>
          <w:rFonts w:ascii="Arial" w:hAnsi="Arial" w:cs="Arial"/>
          <w:b/>
          <w:bCs/>
          <w:sz w:val="22"/>
          <w:szCs w:val="22"/>
          <w:u w:val="single"/>
        </w:rPr>
        <w:t>GLOBAL LEVEL</w:t>
      </w:r>
    </w:p>
    <w:p w14:paraId="6518C1F7" w14:textId="54FF1325" w:rsidR="00634365" w:rsidRPr="00485276" w:rsidRDefault="00634365">
      <w:pPr>
        <w:rPr>
          <w:rFonts w:ascii="Arial" w:hAnsi="Arial" w:cs="Arial"/>
          <w:sz w:val="22"/>
          <w:szCs w:val="22"/>
        </w:rPr>
      </w:pPr>
      <w:r w:rsidRPr="00485276">
        <w:rPr>
          <w:rFonts w:ascii="Arial" w:hAnsi="Arial" w:cs="Arial"/>
          <w:sz w:val="22"/>
          <w:szCs w:val="22"/>
        </w:rPr>
        <w:t>At a global level, initiatives such as the World Health Organization’s (WHO) Universal Health Coverage (UHC) agenda aim to ensure equitable access to healthcare services without financial hardship</w:t>
      </w:r>
      <w:r w:rsidR="00444B57" w:rsidRPr="00485276">
        <w:rPr>
          <w:rFonts w:ascii="Arial" w:hAnsi="Arial" w:cs="Arial"/>
          <w:sz w:val="22"/>
          <w:szCs w:val="22"/>
        </w:rPr>
        <w:t xml:space="preserve"> </w:t>
      </w:r>
      <w:r w:rsidR="00444B57" w:rsidRPr="00485276">
        <w:rPr>
          <w:rFonts w:ascii="Arial" w:hAnsi="Arial" w:cs="Arial"/>
          <w:color w:val="000000"/>
          <w:sz w:val="22"/>
          <w:szCs w:val="22"/>
        </w:rPr>
        <w:t>(World Health Organization, 2025)</w:t>
      </w:r>
      <w:r w:rsidRPr="00485276">
        <w:rPr>
          <w:rFonts w:ascii="Arial" w:hAnsi="Arial" w:cs="Arial"/>
          <w:sz w:val="22"/>
          <w:szCs w:val="22"/>
        </w:rPr>
        <w:t>.  The WHO’s Global Action Plan emphasises strengthening health sy</w:t>
      </w:r>
      <w:r w:rsidR="005517E5" w:rsidRPr="00485276">
        <w:rPr>
          <w:rFonts w:ascii="Arial" w:hAnsi="Arial" w:cs="Arial"/>
          <w:sz w:val="22"/>
          <w:szCs w:val="22"/>
        </w:rPr>
        <w:t>s</w:t>
      </w:r>
      <w:r w:rsidRPr="00485276">
        <w:rPr>
          <w:rFonts w:ascii="Arial" w:hAnsi="Arial" w:cs="Arial"/>
          <w:sz w:val="22"/>
          <w:szCs w:val="22"/>
        </w:rPr>
        <w:t xml:space="preserve">tems, workforce capacity, and preventive care. </w:t>
      </w:r>
      <w:r w:rsidR="00366451" w:rsidRPr="00485276">
        <w:rPr>
          <w:rFonts w:ascii="Arial" w:hAnsi="Arial" w:cs="Arial"/>
          <w:sz w:val="22"/>
          <w:szCs w:val="22"/>
        </w:rPr>
        <w:t xml:space="preserve"> However, critics argue that UHC implementation is uneven, particularly in low</w:t>
      </w:r>
      <w:r w:rsidR="003D5971" w:rsidRPr="00485276">
        <w:rPr>
          <w:rFonts w:ascii="Arial" w:hAnsi="Arial" w:cs="Arial"/>
          <w:sz w:val="22"/>
          <w:szCs w:val="22"/>
        </w:rPr>
        <w:t>-</w:t>
      </w:r>
      <w:r w:rsidR="00366451" w:rsidRPr="00485276">
        <w:rPr>
          <w:rFonts w:ascii="Arial" w:hAnsi="Arial" w:cs="Arial"/>
          <w:sz w:val="22"/>
          <w:szCs w:val="22"/>
        </w:rPr>
        <w:t>and</w:t>
      </w:r>
      <w:r w:rsidR="003D5971" w:rsidRPr="00485276">
        <w:rPr>
          <w:rFonts w:ascii="Arial" w:hAnsi="Arial" w:cs="Arial"/>
          <w:sz w:val="22"/>
          <w:szCs w:val="22"/>
        </w:rPr>
        <w:t>-</w:t>
      </w:r>
      <w:r w:rsidR="00366451" w:rsidRPr="00485276">
        <w:rPr>
          <w:rFonts w:ascii="Arial" w:hAnsi="Arial" w:cs="Arial"/>
          <w:sz w:val="22"/>
          <w:szCs w:val="22"/>
        </w:rPr>
        <w:t>middle income countries, where structural inequalities and limited funding constrain progress</w:t>
      </w:r>
      <w:r w:rsidR="00444B57" w:rsidRPr="00485276">
        <w:rPr>
          <w:rFonts w:ascii="Arial" w:hAnsi="Arial" w:cs="Arial"/>
          <w:sz w:val="22"/>
          <w:szCs w:val="22"/>
        </w:rPr>
        <w:t xml:space="preserve"> </w:t>
      </w:r>
      <w:r w:rsidR="00444B57" w:rsidRPr="00485276">
        <w:rPr>
          <w:rFonts w:ascii="Arial" w:hAnsi="Arial" w:cs="Arial"/>
          <w:color w:val="000000"/>
          <w:sz w:val="22"/>
          <w:szCs w:val="22"/>
        </w:rPr>
        <w:t>(Alawode et al., 2025)</w:t>
      </w:r>
      <w:r w:rsidR="00444B57" w:rsidRPr="00485276">
        <w:rPr>
          <w:rFonts w:ascii="Arial" w:hAnsi="Arial" w:cs="Arial"/>
          <w:sz w:val="22"/>
          <w:szCs w:val="22"/>
        </w:rPr>
        <w:t>.</w:t>
      </w:r>
      <w:r w:rsidR="00366451" w:rsidRPr="00485276">
        <w:rPr>
          <w:rFonts w:ascii="Arial" w:hAnsi="Arial" w:cs="Arial"/>
          <w:sz w:val="22"/>
          <w:szCs w:val="22"/>
        </w:rPr>
        <w:t xml:space="preserve"> This reflects a key limitation: global policies often lack enforceability and depend heavily on national commitment.</w:t>
      </w:r>
    </w:p>
    <w:p w14:paraId="21CCDE9B" w14:textId="4B84B294" w:rsidR="006C7F89" w:rsidRPr="00485276" w:rsidRDefault="006C7F89">
      <w:pPr>
        <w:rPr>
          <w:rFonts w:ascii="Arial" w:hAnsi="Arial" w:cs="Arial"/>
          <w:sz w:val="22"/>
          <w:szCs w:val="22"/>
        </w:rPr>
      </w:pPr>
    </w:p>
    <w:p w14:paraId="3CC3C28A" w14:textId="76EE9854" w:rsidR="006C7F89" w:rsidRPr="00485276" w:rsidRDefault="006C7F89">
      <w:pPr>
        <w:rPr>
          <w:rFonts w:ascii="Arial" w:hAnsi="Arial" w:cs="Arial"/>
          <w:sz w:val="22"/>
          <w:szCs w:val="22"/>
        </w:rPr>
      </w:pPr>
      <w:r w:rsidRPr="00485276">
        <w:rPr>
          <w:rFonts w:ascii="Arial" w:hAnsi="Arial" w:cs="Arial"/>
          <w:sz w:val="22"/>
          <w:szCs w:val="22"/>
        </w:rPr>
        <w:t>In the UK, SDG 3 is operationalised through policies such as the NHS Long Term Plan (2019), which prioritises prevention, integrated care systems (ICS), and addressing health inequalities</w:t>
      </w:r>
      <w:r w:rsidR="00444B57" w:rsidRPr="00485276">
        <w:rPr>
          <w:rFonts w:ascii="Arial" w:hAnsi="Arial" w:cs="Arial"/>
          <w:sz w:val="22"/>
          <w:szCs w:val="22"/>
        </w:rPr>
        <w:t xml:space="preserve"> </w:t>
      </w:r>
      <w:r w:rsidR="00444B57" w:rsidRPr="00485276">
        <w:rPr>
          <w:rFonts w:ascii="Arial" w:hAnsi="Arial" w:cs="Arial"/>
          <w:color w:val="000000"/>
          <w:sz w:val="22"/>
          <w:szCs w:val="22"/>
        </w:rPr>
        <w:t>(Tracy et al., 2025)</w:t>
      </w:r>
      <w:r w:rsidRPr="00485276">
        <w:rPr>
          <w:rFonts w:ascii="Arial" w:hAnsi="Arial" w:cs="Arial"/>
          <w:sz w:val="22"/>
          <w:szCs w:val="22"/>
        </w:rPr>
        <w:t>.  This shift towards preventative healthcare aligns with public health theory, particularly the upstream approach advocated by Marmot (2010), which emphasises tackling the root causes of ill health.  For example, initiatives targeting smoking cessation and obesity reduction demonstrate a preventative focus</w:t>
      </w:r>
      <w:r w:rsidR="00444B57" w:rsidRPr="00485276">
        <w:rPr>
          <w:rFonts w:ascii="Arial" w:hAnsi="Arial" w:cs="Arial"/>
          <w:sz w:val="22"/>
          <w:szCs w:val="22"/>
        </w:rPr>
        <w:t xml:space="preserve"> </w:t>
      </w:r>
      <w:r w:rsidR="00444B57" w:rsidRPr="00485276">
        <w:rPr>
          <w:rFonts w:ascii="Arial" w:hAnsi="Arial" w:cs="Arial"/>
          <w:color w:val="000000"/>
          <w:sz w:val="22"/>
          <w:szCs w:val="22"/>
        </w:rPr>
        <w:t>(Geddes et al., 2020)</w:t>
      </w:r>
      <w:r w:rsidRPr="00485276">
        <w:rPr>
          <w:rFonts w:ascii="Arial" w:hAnsi="Arial" w:cs="Arial"/>
          <w:sz w:val="22"/>
          <w:szCs w:val="22"/>
        </w:rPr>
        <w:t>.</w:t>
      </w:r>
    </w:p>
    <w:p w14:paraId="7CA8C224" w14:textId="011B5A15" w:rsidR="009F1606" w:rsidRPr="00485276" w:rsidRDefault="009F1606">
      <w:pPr>
        <w:rPr>
          <w:rFonts w:ascii="Arial" w:hAnsi="Arial" w:cs="Arial"/>
          <w:sz w:val="22"/>
          <w:szCs w:val="22"/>
        </w:rPr>
      </w:pPr>
    </w:p>
    <w:p w14:paraId="115B7D05" w14:textId="15A0B03C" w:rsidR="00155340" w:rsidRPr="00485276" w:rsidRDefault="00155340">
      <w:pPr>
        <w:rPr>
          <w:rFonts w:ascii="Arial" w:hAnsi="Arial" w:cs="Arial"/>
          <w:b/>
          <w:bCs/>
          <w:sz w:val="22"/>
          <w:szCs w:val="22"/>
          <w:u w:val="single"/>
        </w:rPr>
      </w:pPr>
      <w:r w:rsidRPr="00485276">
        <w:rPr>
          <w:rFonts w:ascii="Arial" w:hAnsi="Arial" w:cs="Arial"/>
          <w:b/>
          <w:bCs/>
          <w:sz w:val="22"/>
          <w:szCs w:val="22"/>
          <w:u w:val="single"/>
        </w:rPr>
        <w:t>NATIONAL POLICIES</w:t>
      </w:r>
    </w:p>
    <w:p w14:paraId="632DCB81" w14:textId="4965AB4E" w:rsidR="009F1606" w:rsidRPr="00485276" w:rsidRDefault="009F1606">
      <w:pPr>
        <w:rPr>
          <w:rFonts w:ascii="Arial" w:hAnsi="Arial" w:cs="Arial"/>
          <w:sz w:val="22"/>
          <w:szCs w:val="22"/>
        </w:rPr>
      </w:pPr>
      <w:r w:rsidRPr="00485276">
        <w:rPr>
          <w:rFonts w:ascii="Arial" w:hAnsi="Arial" w:cs="Arial"/>
          <w:sz w:val="22"/>
          <w:szCs w:val="22"/>
        </w:rPr>
        <w:t>However, despite these efforts, the effectiveness of national policies remains contested.  Health inequalities in the UK have widened, with life expectancy stalling and even declining in deprived area</w:t>
      </w:r>
      <w:r w:rsidR="00444B57" w:rsidRPr="00485276">
        <w:rPr>
          <w:rFonts w:ascii="Arial" w:hAnsi="Arial" w:cs="Arial"/>
          <w:sz w:val="22"/>
          <w:szCs w:val="22"/>
        </w:rPr>
        <w:t xml:space="preserve"> </w:t>
      </w:r>
      <w:r w:rsidR="00444B57" w:rsidRPr="00485276">
        <w:rPr>
          <w:rFonts w:ascii="Arial" w:hAnsi="Arial" w:cs="Arial"/>
          <w:color w:val="000000"/>
          <w:sz w:val="22"/>
          <w:szCs w:val="22"/>
        </w:rPr>
        <w:t>(Marmot et al., 2020a)</w:t>
      </w:r>
      <w:r w:rsidR="00444B57" w:rsidRPr="00485276">
        <w:rPr>
          <w:rFonts w:ascii="Arial" w:hAnsi="Arial" w:cs="Arial"/>
          <w:sz w:val="22"/>
          <w:szCs w:val="22"/>
        </w:rPr>
        <w:t>.</w:t>
      </w:r>
      <w:r w:rsidRPr="00485276">
        <w:rPr>
          <w:rFonts w:ascii="Arial" w:hAnsi="Arial" w:cs="Arial"/>
          <w:sz w:val="22"/>
          <w:szCs w:val="22"/>
        </w:rPr>
        <w:t xml:space="preserve">  This</w:t>
      </w:r>
      <w:r w:rsidR="00B901D0" w:rsidRPr="00485276">
        <w:rPr>
          <w:rFonts w:ascii="Arial" w:hAnsi="Arial" w:cs="Arial"/>
          <w:sz w:val="22"/>
          <w:szCs w:val="22"/>
        </w:rPr>
        <w:t xml:space="preserve"> suggests that policy implementation has not sufficiently addressed structural determinants such as poverty, housing, and education.  From a critical perspective, this reflects a tension between</w:t>
      </w:r>
      <w:r w:rsidR="00C75312" w:rsidRPr="00485276">
        <w:rPr>
          <w:rFonts w:ascii="Arial" w:hAnsi="Arial" w:cs="Arial"/>
          <w:sz w:val="22"/>
          <w:szCs w:val="22"/>
        </w:rPr>
        <w:t xml:space="preserve"> policy ambition and resource allocation, particularly in the context of austerity measures, which have reduced public health funding</w:t>
      </w:r>
      <w:r w:rsidR="00444B57" w:rsidRPr="00485276">
        <w:rPr>
          <w:rFonts w:ascii="Arial" w:hAnsi="Arial" w:cs="Arial"/>
          <w:sz w:val="22"/>
          <w:szCs w:val="22"/>
        </w:rPr>
        <w:t xml:space="preserve"> </w:t>
      </w:r>
      <w:r w:rsidR="00444B57" w:rsidRPr="00485276">
        <w:rPr>
          <w:rFonts w:ascii="Arial" w:hAnsi="Arial" w:cs="Arial"/>
          <w:color w:val="000000"/>
          <w:sz w:val="22"/>
          <w:szCs w:val="22"/>
        </w:rPr>
        <w:t>(Cairney, St.</w:t>
      </w:r>
      <w:r w:rsidR="00BC29D8" w:rsidRPr="00485276">
        <w:rPr>
          <w:rFonts w:ascii="Arial" w:hAnsi="Arial" w:cs="Arial"/>
          <w:color w:val="000000"/>
          <w:sz w:val="22"/>
          <w:szCs w:val="22"/>
        </w:rPr>
        <w:t xml:space="preserve"> </w:t>
      </w:r>
      <w:r w:rsidR="00444B57" w:rsidRPr="00485276">
        <w:rPr>
          <w:rFonts w:ascii="Arial" w:hAnsi="Arial" w:cs="Arial"/>
          <w:color w:val="000000"/>
          <w:sz w:val="22"/>
          <w:szCs w:val="22"/>
        </w:rPr>
        <w:t>Denny and Boswell, 2022)</w:t>
      </w:r>
      <w:r w:rsidR="00C75312" w:rsidRPr="00485276">
        <w:rPr>
          <w:rFonts w:ascii="Arial" w:hAnsi="Arial" w:cs="Arial"/>
          <w:sz w:val="22"/>
          <w:szCs w:val="22"/>
        </w:rPr>
        <w:t>.</w:t>
      </w:r>
    </w:p>
    <w:p w14:paraId="00772033" w14:textId="5095BBB9" w:rsidR="003D5971" w:rsidRPr="00485276" w:rsidRDefault="003D5971">
      <w:pPr>
        <w:rPr>
          <w:rFonts w:ascii="Arial" w:hAnsi="Arial" w:cs="Arial"/>
          <w:sz w:val="22"/>
          <w:szCs w:val="22"/>
        </w:rPr>
      </w:pPr>
    </w:p>
    <w:p w14:paraId="1B4F7E74" w14:textId="1991EDC0" w:rsidR="00155340" w:rsidRPr="00485276" w:rsidRDefault="00155340">
      <w:pPr>
        <w:rPr>
          <w:rFonts w:ascii="Arial" w:hAnsi="Arial" w:cs="Arial"/>
          <w:b/>
          <w:bCs/>
          <w:sz w:val="22"/>
          <w:szCs w:val="22"/>
          <w:u w:val="single"/>
        </w:rPr>
      </w:pPr>
      <w:r w:rsidRPr="00485276">
        <w:rPr>
          <w:rFonts w:ascii="Arial" w:hAnsi="Arial" w:cs="Arial"/>
          <w:b/>
          <w:bCs/>
          <w:sz w:val="22"/>
          <w:szCs w:val="22"/>
          <w:u w:val="single"/>
        </w:rPr>
        <w:t>LOCAL LEVEL</w:t>
      </w:r>
    </w:p>
    <w:p w14:paraId="2525017F" w14:textId="409627C5" w:rsidR="003D5971" w:rsidRPr="00485276" w:rsidRDefault="003D5971">
      <w:pPr>
        <w:rPr>
          <w:rFonts w:ascii="Arial" w:hAnsi="Arial" w:cs="Arial"/>
          <w:sz w:val="22"/>
          <w:szCs w:val="22"/>
        </w:rPr>
      </w:pPr>
      <w:r w:rsidRPr="00485276">
        <w:rPr>
          <w:rFonts w:ascii="Arial" w:hAnsi="Arial" w:cs="Arial"/>
          <w:sz w:val="22"/>
          <w:szCs w:val="22"/>
        </w:rPr>
        <w:t>At a local level, Birmingham City Council has implemented initiatives aligned with SDG 3, including the Birmingham Health and Wellbeing Strategy (2022-2030).  This strategy focuses on reducing health inequalities, improving mental health, and promoting healthy lifestyles.  Local programmes such as community-based health interventions and social prescribing aim to address both medical and social needs</w:t>
      </w:r>
      <w:r w:rsidR="00B113EC" w:rsidRPr="00485276">
        <w:rPr>
          <w:rFonts w:ascii="Arial" w:hAnsi="Arial" w:cs="Arial"/>
          <w:sz w:val="22"/>
          <w:szCs w:val="22"/>
        </w:rPr>
        <w:t xml:space="preserve"> </w:t>
      </w:r>
      <w:r w:rsidR="00B113EC" w:rsidRPr="00485276">
        <w:rPr>
          <w:rFonts w:ascii="Arial" w:hAnsi="Arial" w:cs="Arial"/>
          <w:color w:val="000000"/>
          <w:sz w:val="22"/>
          <w:szCs w:val="22"/>
        </w:rPr>
        <w:t>(Birmingham City Council, 2023)</w:t>
      </w:r>
      <w:r w:rsidRPr="00485276">
        <w:rPr>
          <w:rFonts w:ascii="Arial" w:hAnsi="Arial" w:cs="Arial"/>
          <w:sz w:val="22"/>
          <w:szCs w:val="22"/>
        </w:rPr>
        <w:t>.</w:t>
      </w:r>
    </w:p>
    <w:p w14:paraId="0C449D42" w14:textId="3F51B1E9" w:rsidR="003D5971" w:rsidRPr="00485276" w:rsidRDefault="003D5971">
      <w:pPr>
        <w:rPr>
          <w:rFonts w:ascii="Arial" w:hAnsi="Arial" w:cs="Arial"/>
          <w:sz w:val="22"/>
          <w:szCs w:val="22"/>
        </w:rPr>
      </w:pPr>
    </w:p>
    <w:p w14:paraId="3C2315AE" w14:textId="4E50C492" w:rsidR="003D5971" w:rsidRPr="00485276" w:rsidRDefault="003D5971">
      <w:pPr>
        <w:rPr>
          <w:rFonts w:ascii="Arial" w:hAnsi="Arial" w:cs="Arial"/>
          <w:sz w:val="22"/>
          <w:szCs w:val="22"/>
        </w:rPr>
      </w:pPr>
      <w:r w:rsidRPr="00485276">
        <w:rPr>
          <w:rFonts w:ascii="Arial" w:hAnsi="Arial" w:cs="Arial"/>
          <w:sz w:val="22"/>
          <w:szCs w:val="22"/>
        </w:rPr>
        <w:t>Using the Dahlgren and Whitehead (1991) mode, these initiatives can be seen as targeting multiple layers of health determinants, including individual behaviour, social networks, and living conditions.  Social prescribing, for instance, recognises that health is influenced by factors such as social isolation and community engagement</w:t>
      </w:r>
      <w:r w:rsidR="00B113EC" w:rsidRPr="00485276">
        <w:rPr>
          <w:rFonts w:ascii="Arial" w:hAnsi="Arial" w:cs="Arial"/>
          <w:sz w:val="22"/>
          <w:szCs w:val="22"/>
        </w:rPr>
        <w:t xml:space="preserve"> </w:t>
      </w:r>
      <w:r w:rsidR="00B113EC" w:rsidRPr="00485276">
        <w:rPr>
          <w:rFonts w:ascii="Arial" w:hAnsi="Arial" w:cs="Arial"/>
          <w:color w:val="000000"/>
          <w:sz w:val="22"/>
          <w:szCs w:val="22"/>
        </w:rPr>
        <w:t>(Jahnel et al., 2022)</w:t>
      </w:r>
      <w:r w:rsidRPr="00485276">
        <w:rPr>
          <w:rFonts w:ascii="Arial" w:hAnsi="Arial" w:cs="Arial"/>
          <w:sz w:val="22"/>
          <w:szCs w:val="22"/>
        </w:rPr>
        <w:t>.</w:t>
      </w:r>
    </w:p>
    <w:p w14:paraId="51ACA883" w14:textId="67C99689" w:rsidR="003D5971" w:rsidRPr="00485276" w:rsidRDefault="003D5971">
      <w:pPr>
        <w:rPr>
          <w:rFonts w:ascii="Arial" w:hAnsi="Arial" w:cs="Arial"/>
          <w:sz w:val="22"/>
          <w:szCs w:val="22"/>
        </w:rPr>
      </w:pPr>
    </w:p>
    <w:p w14:paraId="142E760B" w14:textId="77777777" w:rsidR="00155340" w:rsidRPr="00485276" w:rsidRDefault="003D5971">
      <w:pPr>
        <w:rPr>
          <w:rFonts w:ascii="Arial" w:hAnsi="Arial" w:cs="Arial"/>
          <w:sz w:val="22"/>
          <w:szCs w:val="22"/>
        </w:rPr>
      </w:pPr>
      <w:r w:rsidRPr="00485276">
        <w:rPr>
          <w:rFonts w:ascii="Arial" w:hAnsi="Arial" w:cs="Arial"/>
          <w:sz w:val="22"/>
          <w:szCs w:val="22"/>
        </w:rPr>
        <w:t xml:space="preserve">Nevertheless, the effectiveness of local initiatives is constrained by systemic challenges.  Birmingham is one of the most deprived cities in the UK, with significant ethnic and socioeconomic inequalities.  While local strategies are theoretically sound, their impact is often limited by insufficient funding, workforce shortages, and fragmented service delivery.  </w:t>
      </w:r>
      <w:r w:rsidRPr="00485276">
        <w:rPr>
          <w:rFonts w:ascii="Arial" w:hAnsi="Arial" w:cs="Arial"/>
          <w:sz w:val="22"/>
          <w:szCs w:val="22"/>
        </w:rPr>
        <w:lastRenderedPageBreak/>
        <w:t>Furthermore, there is a lack of robust evaluation data to measure long-term outcomes, making it difficult to assess effectiveness</w:t>
      </w:r>
      <w:r w:rsidR="00B113EC" w:rsidRPr="00485276">
        <w:rPr>
          <w:rFonts w:ascii="Arial" w:hAnsi="Arial" w:cs="Arial"/>
          <w:sz w:val="22"/>
          <w:szCs w:val="22"/>
        </w:rPr>
        <w:t xml:space="preserve"> </w:t>
      </w:r>
      <w:r w:rsidR="00B113EC" w:rsidRPr="00485276">
        <w:rPr>
          <w:rFonts w:ascii="Arial" w:hAnsi="Arial" w:cs="Arial"/>
          <w:color w:val="000000"/>
          <w:sz w:val="22"/>
          <w:szCs w:val="22"/>
        </w:rPr>
        <w:t>(www.wmca.org.uk, 2025).</w:t>
      </w:r>
    </w:p>
    <w:p w14:paraId="36D3AA27" w14:textId="7C2435BC" w:rsidR="003D5971" w:rsidRPr="00485276" w:rsidRDefault="003D5971">
      <w:pPr>
        <w:rPr>
          <w:rFonts w:ascii="Arial" w:hAnsi="Arial" w:cs="Arial"/>
          <w:sz w:val="22"/>
          <w:szCs w:val="22"/>
        </w:rPr>
      </w:pPr>
      <w:r w:rsidRPr="00485276">
        <w:rPr>
          <w:rFonts w:ascii="Arial" w:hAnsi="Arial" w:cs="Arial"/>
          <w:sz w:val="22"/>
          <w:szCs w:val="22"/>
        </w:rPr>
        <w:t xml:space="preserve">A key critique across all levels is the over-reliance on behavioural interventions, which place responsibility on individuals rather than addressing structural inequalities.  This aligns with the concept of “lifestyle drift”, where policies initially recognise social determinants but ultimately focus on individual behaviour </w:t>
      </w:r>
      <w:r w:rsidR="00B113EC" w:rsidRPr="00485276">
        <w:rPr>
          <w:rFonts w:ascii="Arial" w:hAnsi="Arial" w:cs="Arial"/>
          <w:color w:val="000000"/>
          <w:sz w:val="22"/>
          <w:szCs w:val="22"/>
        </w:rPr>
        <w:t>(Horck et al., 2025)</w:t>
      </w:r>
      <w:r w:rsidR="00B113EC" w:rsidRPr="00485276">
        <w:rPr>
          <w:rFonts w:ascii="Arial" w:hAnsi="Arial" w:cs="Arial"/>
          <w:sz w:val="22"/>
          <w:szCs w:val="22"/>
        </w:rPr>
        <w:t>.</w:t>
      </w:r>
    </w:p>
    <w:p w14:paraId="2153E2A4" w14:textId="55734A81" w:rsidR="003D5971" w:rsidRPr="00485276" w:rsidRDefault="003D5971">
      <w:pPr>
        <w:rPr>
          <w:rFonts w:ascii="Arial" w:hAnsi="Arial" w:cs="Arial"/>
          <w:sz w:val="22"/>
          <w:szCs w:val="22"/>
        </w:rPr>
      </w:pPr>
    </w:p>
    <w:p w14:paraId="42FE0DC8" w14:textId="4ED16E85" w:rsidR="00155340" w:rsidRPr="00485276" w:rsidRDefault="00155340">
      <w:pPr>
        <w:rPr>
          <w:rFonts w:ascii="Arial" w:hAnsi="Arial" w:cs="Arial"/>
          <w:b/>
          <w:bCs/>
          <w:sz w:val="22"/>
          <w:szCs w:val="22"/>
          <w:u w:val="single"/>
        </w:rPr>
      </w:pPr>
      <w:r w:rsidRPr="00485276">
        <w:rPr>
          <w:rFonts w:ascii="Arial" w:hAnsi="Arial" w:cs="Arial"/>
          <w:b/>
          <w:bCs/>
          <w:sz w:val="22"/>
          <w:szCs w:val="22"/>
          <w:u w:val="single"/>
        </w:rPr>
        <w:t>RECOMMENDATIONS</w:t>
      </w:r>
    </w:p>
    <w:p w14:paraId="3A9D1C6F" w14:textId="633E1468" w:rsidR="003D5971" w:rsidRPr="00485276" w:rsidRDefault="003D5971">
      <w:pPr>
        <w:rPr>
          <w:rFonts w:ascii="Arial" w:hAnsi="Arial" w:cs="Arial"/>
          <w:sz w:val="22"/>
          <w:szCs w:val="22"/>
        </w:rPr>
      </w:pPr>
      <w:r w:rsidRPr="00485276">
        <w:rPr>
          <w:rFonts w:ascii="Arial" w:hAnsi="Arial" w:cs="Arial"/>
          <w:sz w:val="22"/>
          <w:szCs w:val="22"/>
        </w:rPr>
        <w:t>To improve effectiveness, several recommendations can be proposed.  Firstly, there must be greater investment in upstream interventions, such as housing, education, and employment, to address root causes of ill health.  Secondly, stronger integration between health and social care services is needed to ensure holistic care delivery.  Thirdly, data collection and evaluation mechanisms should be enhanced to monitor progress and inform policy adjustments</w:t>
      </w:r>
      <w:r w:rsidR="00B113EC" w:rsidRPr="00485276">
        <w:rPr>
          <w:rFonts w:ascii="Arial" w:hAnsi="Arial" w:cs="Arial"/>
          <w:sz w:val="22"/>
          <w:szCs w:val="22"/>
        </w:rPr>
        <w:t xml:space="preserve"> </w:t>
      </w:r>
      <w:r w:rsidR="00B113EC" w:rsidRPr="00485276">
        <w:rPr>
          <w:rFonts w:ascii="Arial" w:hAnsi="Arial" w:cs="Arial"/>
          <w:color w:val="000000"/>
          <w:sz w:val="22"/>
          <w:szCs w:val="22"/>
        </w:rPr>
        <w:t>(Hayre et al., 2026)</w:t>
      </w:r>
      <w:r w:rsidR="00B113EC" w:rsidRPr="00485276">
        <w:rPr>
          <w:rFonts w:ascii="Arial" w:hAnsi="Arial" w:cs="Arial"/>
          <w:sz w:val="22"/>
          <w:szCs w:val="22"/>
        </w:rPr>
        <w:t>.</w:t>
      </w:r>
    </w:p>
    <w:p w14:paraId="6989D116" w14:textId="672718E6" w:rsidR="00155340" w:rsidRPr="00485276" w:rsidRDefault="00155340">
      <w:pPr>
        <w:rPr>
          <w:rFonts w:ascii="Arial" w:hAnsi="Arial" w:cs="Arial"/>
          <w:sz w:val="22"/>
          <w:szCs w:val="22"/>
        </w:rPr>
      </w:pPr>
    </w:p>
    <w:p w14:paraId="61F31C93" w14:textId="38DA561D" w:rsidR="00155340" w:rsidRPr="00485276" w:rsidRDefault="00155340">
      <w:pPr>
        <w:rPr>
          <w:rFonts w:ascii="Arial" w:hAnsi="Arial" w:cs="Arial"/>
          <w:b/>
          <w:bCs/>
          <w:sz w:val="22"/>
          <w:szCs w:val="22"/>
          <w:u w:val="single"/>
        </w:rPr>
      </w:pPr>
      <w:r w:rsidRPr="00485276">
        <w:rPr>
          <w:rFonts w:ascii="Arial" w:hAnsi="Arial" w:cs="Arial"/>
          <w:b/>
          <w:bCs/>
          <w:sz w:val="22"/>
          <w:szCs w:val="22"/>
          <w:u w:val="single"/>
        </w:rPr>
        <w:t>CONCLUSION</w:t>
      </w:r>
    </w:p>
    <w:p w14:paraId="3E5D5F76" w14:textId="514038F6" w:rsidR="003D5971" w:rsidRPr="00485276" w:rsidRDefault="003D5971">
      <w:pPr>
        <w:rPr>
          <w:rFonts w:ascii="Arial" w:hAnsi="Arial" w:cs="Arial"/>
          <w:sz w:val="22"/>
          <w:szCs w:val="22"/>
        </w:rPr>
      </w:pPr>
      <w:r w:rsidRPr="00485276">
        <w:rPr>
          <w:rFonts w:ascii="Arial" w:hAnsi="Arial" w:cs="Arial"/>
          <w:sz w:val="22"/>
          <w:szCs w:val="22"/>
        </w:rPr>
        <w:t>In conclusion, while SDG 3 has driven important policy developments, its success is limited by structural inequalities, funding constraints, and implementation gaps.  A more holistic, systems-based approach is required to achieve sustainable improvements in health and wellbeing</w:t>
      </w:r>
      <w:r w:rsidR="001C7D65" w:rsidRPr="00485276">
        <w:rPr>
          <w:rFonts w:ascii="Arial" w:hAnsi="Arial" w:cs="Arial"/>
          <w:sz w:val="22"/>
          <w:szCs w:val="22"/>
        </w:rPr>
        <w:t xml:space="preserve"> </w:t>
      </w:r>
      <w:r w:rsidR="001C7D65" w:rsidRPr="00485276">
        <w:rPr>
          <w:rFonts w:ascii="Arial" w:hAnsi="Arial" w:cs="Arial"/>
          <w:color w:val="000000"/>
          <w:sz w:val="22"/>
          <w:szCs w:val="22"/>
        </w:rPr>
        <w:t>(Chimukuche et al., 2025)</w:t>
      </w:r>
      <w:r w:rsidRPr="00485276">
        <w:rPr>
          <w:rFonts w:ascii="Arial" w:hAnsi="Arial" w:cs="Arial"/>
          <w:sz w:val="22"/>
          <w:szCs w:val="22"/>
        </w:rPr>
        <w:t>.</w:t>
      </w:r>
    </w:p>
    <w:p w14:paraId="46C359ED" w14:textId="27D617C0" w:rsidR="003D5971" w:rsidRPr="00485276" w:rsidRDefault="003D5971">
      <w:pPr>
        <w:rPr>
          <w:rFonts w:ascii="Arial" w:hAnsi="Arial" w:cs="Arial"/>
          <w:sz w:val="22"/>
          <w:szCs w:val="22"/>
        </w:rPr>
      </w:pPr>
    </w:p>
    <w:p w14:paraId="706377DC" w14:textId="77777777" w:rsidR="005F010F" w:rsidRPr="00485276" w:rsidRDefault="005F010F">
      <w:pPr>
        <w:rPr>
          <w:rFonts w:ascii="Arial" w:hAnsi="Arial" w:cs="Arial"/>
          <w:sz w:val="22"/>
          <w:szCs w:val="22"/>
        </w:rPr>
      </w:pPr>
    </w:p>
    <w:p w14:paraId="56FA2621" w14:textId="6CE3E889" w:rsidR="003D5971" w:rsidRPr="00485276" w:rsidRDefault="003D5971">
      <w:pPr>
        <w:rPr>
          <w:rFonts w:ascii="Arial" w:hAnsi="Arial" w:cs="Arial"/>
          <w:b/>
          <w:bCs/>
          <w:sz w:val="22"/>
          <w:szCs w:val="22"/>
          <w:u w:val="single"/>
        </w:rPr>
      </w:pPr>
      <w:r w:rsidRPr="00485276">
        <w:rPr>
          <w:rFonts w:ascii="Arial" w:hAnsi="Arial" w:cs="Arial"/>
          <w:b/>
          <w:bCs/>
          <w:sz w:val="22"/>
          <w:szCs w:val="22"/>
          <w:u w:val="single"/>
        </w:rPr>
        <w:t>S</w:t>
      </w:r>
      <w:r w:rsidR="00A574B3" w:rsidRPr="00485276">
        <w:rPr>
          <w:rFonts w:ascii="Arial" w:hAnsi="Arial" w:cs="Arial"/>
          <w:b/>
          <w:bCs/>
          <w:sz w:val="22"/>
          <w:szCs w:val="22"/>
          <w:u w:val="single"/>
        </w:rPr>
        <w:t>ECTION</w:t>
      </w:r>
      <w:r w:rsidRPr="00485276">
        <w:rPr>
          <w:rFonts w:ascii="Arial" w:hAnsi="Arial" w:cs="Arial"/>
          <w:b/>
          <w:bCs/>
          <w:sz w:val="22"/>
          <w:szCs w:val="22"/>
          <w:u w:val="single"/>
        </w:rPr>
        <w:t xml:space="preserve"> 2 </w:t>
      </w:r>
      <w:r w:rsidR="0032348A" w:rsidRPr="00485276">
        <w:rPr>
          <w:rFonts w:ascii="Arial" w:hAnsi="Arial" w:cs="Arial"/>
          <w:b/>
          <w:bCs/>
          <w:sz w:val="22"/>
          <w:szCs w:val="22"/>
          <w:u w:val="single"/>
        </w:rPr>
        <w:t>(</w:t>
      </w:r>
      <w:r w:rsidRPr="00485276">
        <w:rPr>
          <w:rFonts w:ascii="Arial" w:hAnsi="Arial" w:cs="Arial"/>
          <w:b/>
          <w:bCs/>
          <w:sz w:val="22"/>
          <w:szCs w:val="22"/>
          <w:u w:val="single"/>
        </w:rPr>
        <w:t>SDG 10 R</w:t>
      </w:r>
      <w:r w:rsidR="008E2D6E" w:rsidRPr="00485276">
        <w:rPr>
          <w:rFonts w:ascii="Arial" w:hAnsi="Arial" w:cs="Arial"/>
          <w:b/>
          <w:bCs/>
          <w:sz w:val="22"/>
          <w:szCs w:val="22"/>
          <w:u w:val="single"/>
        </w:rPr>
        <w:t>EDUCED</w:t>
      </w:r>
      <w:r w:rsidRPr="00485276">
        <w:rPr>
          <w:rFonts w:ascii="Arial" w:hAnsi="Arial" w:cs="Arial"/>
          <w:b/>
          <w:bCs/>
          <w:sz w:val="22"/>
          <w:szCs w:val="22"/>
          <w:u w:val="single"/>
        </w:rPr>
        <w:t xml:space="preserve"> I</w:t>
      </w:r>
      <w:r w:rsidR="008E2D6E" w:rsidRPr="00485276">
        <w:rPr>
          <w:rFonts w:ascii="Arial" w:hAnsi="Arial" w:cs="Arial"/>
          <w:b/>
          <w:bCs/>
          <w:sz w:val="22"/>
          <w:szCs w:val="22"/>
          <w:u w:val="single"/>
        </w:rPr>
        <w:t>NEQUALITIES</w:t>
      </w:r>
      <w:r w:rsidR="0032348A" w:rsidRPr="00485276">
        <w:rPr>
          <w:rFonts w:ascii="Arial" w:hAnsi="Arial" w:cs="Arial"/>
          <w:b/>
          <w:bCs/>
          <w:sz w:val="22"/>
          <w:szCs w:val="22"/>
          <w:u w:val="single"/>
        </w:rPr>
        <w:t>)</w:t>
      </w:r>
    </w:p>
    <w:p w14:paraId="76016F3F" w14:textId="77777777" w:rsidR="008E2D6E" w:rsidRPr="00485276" w:rsidRDefault="008E2D6E">
      <w:pPr>
        <w:rPr>
          <w:rFonts w:ascii="Arial" w:hAnsi="Arial" w:cs="Arial"/>
          <w:sz w:val="22"/>
          <w:szCs w:val="22"/>
        </w:rPr>
      </w:pPr>
    </w:p>
    <w:p w14:paraId="652E32DA" w14:textId="73DCEBA0" w:rsidR="004A710B" w:rsidRPr="00485276" w:rsidRDefault="004A710B">
      <w:pPr>
        <w:rPr>
          <w:rFonts w:ascii="Arial" w:hAnsi="Arial" w:cs="Arial"/>
          <w:sz w:val="22"/>
          <w:szCs w:val="22"/>
        </w:rPr>
      </w:pPr>
      <w:r w:rsidRPr="00485276">
        <w:rPr>
          <w:rFonts w:ascii="Arial" w:hAnsi="Arial" w:cs="Arial"/>
          <w:sz w:val="22"/>
          <w:szCs w:val="22"/>
        </w:rPr>
        <w:t>SDG 10 aims to “reduce inequality within and among countries” (United Nations, 2015).  Inequality is a key determinant of health, making SDG 10 intrinsically linked to SDG 3.  Addressing inequality is essential for improving heath outcomes and achieving sustainable development.</w:t>
      </w:r>
    </w:p>
    <w:p w14:paraId="7D4855BA" w14:textId="1C5CC900" w:rsidR="004A710B" w:rsidRPr="00485276" w:rsidRDefault="004A710B">
      <w:pPr>
        <w:rPr>
          <w:rFonts w:ascii="Arial" w:hAnsi="Arial" w:cs="Arial"/>
          <w:sz w:val="22"/>
          <w:szCs w:val="22"/>
        </w:rPr>
      </w:pPr>
    </w:p>
    <w:p w14:paraId="2E97BB53" w14:textId="1A4EC89E" w:rsidR="00041E32" w:rsidRPr="00485276" w:rsidRDefault="00041E32">
      <w:pPr>
        <w:rPr>
          <w:rFonts w:ascii="Arial" w:hAnsi="Arial" w:cs="Arial"/>
          <w:b/>
          <w:bCs/>
          <w:sz w:val="22"/>
          <w:szCs w:val="22"/>
          <w:u w:val="single"/>
        </w:rPr>
      </w:pPr>
      <w:r w:rsidRPr="00485276">
        <w:rPr>
          <w:rFonts w:ascii="Arial" w:hAnsi="Arial" w:cs="Arial"/>
          <w:b/>
          <w:bCs/>
          <w:sz w:val="22"/>
          <w:szCs w:val="22"/>
          <w:u w:val="single"/>
        </w:rPr>
        <w:t>GLOBAL LEVEL</w:t>
      </w:r>
    </w:p>
    <w:p w14:paraId="3A10B905" w14:textId="5C493EB4" w:rsidR="004A710B" w:rsidRPr="00485276" w:rsidRDefault="004A710B">
      <w:pPr>
        <w:rPr>
          <w:rFonts w:ascii="Arial" w:hAnsi="Arial" w:cs="Arial"/>
          <w:sz w:val="22"/>
          <w:szCs w:val="22"/>
        </w:rPr>
      </w:pPr>
      <w:r w:rsidRPr="00485276">
        <w:rPr>
          <w:rFonts w:ascii="Arial" w:hAnsi="Arial" w:cs="Arial"/>
          <w:sz w:val="22"/>
          <w:szCs w:val="22"/>
        </w:rPr>
        <w:t xml:space="preserve">Globally, initiatives such as the United Nations </w:t>
      </w:r>
      <w:r w:rsidR="008E2D6E" w:rsidRPr="00485276">
        <w:rPr>
          <w:rFonts w:ascii="Arial" w:hAnsi="Arial" w:cs="Arial"/>
          <w:sz w:val="22"/>
          <w:szCs w:val="22"/>
        </w:rPr>
        <w:t>Leave No One Behind agenda emphasise inclusive development and equitable resource distribution.  Policies targeting income inequality, access to education, and social protection aim to reduce disparities</w:t>
      </w:r>
      <w:r w:rsidR="005F010F" w:rsidRPr="00485276">
        <w:rPr>
          <w:rFonts w:ascii="Arial" w:hAnsi="Arial" w:cs="Arial"/>
          <w:sz w:val="22"/>
          <w:szCs w:val="22"/>
        </w:rPr>
        <w:t xml:space="preserve"> </w:t>
      </w:r>
      <w:r w:rsidR="005F010F" w:rsidRPr="00485276">
        <w:rPr>
          <w:rFonts w:ascii="Arial" w:hAnsi="Arial" w:cs="Arial"/>
          <w:color w:val="000000"/>
          <w:sz w:val="22"/>
          <w:szCs w:val="22"/>
        </w:rPr>
        <w:t>(United Nations, 2025)</w:t>
      </w:r>
      <w:r w:rsidR="008E2D6E" w:rsidRPr="00485276">
        <w:rPr>
          <w:rFonts w:ascii="Arial" w:hAnsi="Arial" w:cs="Arial"/>
          <w:sz w:val="22"/>
          <w:szCs w:val="22"/>
        </w:rPr>
        <w:t>.  However, global inequality remains high, with wealth concentrated among a small proportion of the population.  This highlights the limitations of voluntary international frameworks, which lack enforcement mechanisms</w:t>
      </w:r>
      <w:r w:rsidR="005F010F" w:rsidRPr="00485276">
        <w:rPr>
          <w:rFonts w:ascii="Arial" w:hAnsi="Arial" w:cs="Arial"/>
          <w:sz w:val="22"/>
          <w:szCs w:val="22"/>
        </w:rPr>
        <w:t xml:space="preserve"> </w:t>
      </w:r>
      <w:r w:rsidR="005F010F" w:rsidRPr="00485276">
        <w:rPr>
          <w:rFonts w:ascii="Arial" w:hAnsi="Arial" w:cs="Arial"/>
          <w:color w:val="000000"/>
          <w:sz w:val="22"/>
          <w:szCs w:val="22"/>
        </w:rPr>
        <w:t>(Oxfam, 2024)</w:t>
      </w:r>
      <w:r w:rsidR="005F010F" w:rsidRPr="00485276">
        <w:rPr>
          <w:rFonts w:ascii="Arial" w:hAnsi="Arial" w:cs="Arial"/>
          <w:sz w:val="22"/>
          <w:szCs w:val="22"/>
        </w:rPr>
        <w:t>.</w:t>
      </w:r>
    </w:p>
    <w:p w14:paraId="41B5CA56" w14:textId="76200F6B" w:rsidR="008E2D6E" w:rsidRPr="00485276" w:rsidRDefault="008E2D6E">
      <w:pPr>
        <w:rPr>
          <w:rFonts w:ascii="Arial" w:hAnsi="Arial" w:cs="Arial"/>
          <w:sz w:val="22"/>
          <w:szCs w:val="22"/>
        </w:rPr>
      </w:pPr>
    </w:p>
    <w:p w14:paraId="46FC7554" w14:textId="7CB87A4A" w:rsidR="008E2D6E" w:rsidRPr="00485276" w:rsidRDefault="008E2D6E">
      <w:pPr>
        <w:rPr>
          <w:rFonts w:ascii="Arial" w:hAnsi="Arial" w:cs="Arial"/>
          <w:sz w:val="22"/>
          <w:szCs w:val="22"/>
        </w:rPr>
      </w:pPr>
      <w:r w:rsidRPr="00485276">
        <w:rPr>
          <w:rFonts w:ascii="Arial" w:hAnsi="Arial" w:cs="Arial"/>
          <w:sz w:val="22"/>
          <w:szCs w:val="22"/>
        </w:rPr>
        <w:t>In the UK, SDG 10 is reflected in policies such as the Equality Act (2010) and the Marmot Review (2010</w:t>
      </w:r>
      <w:r w:rsidR="00F61865" w:rsidRPr="00485276">
        <w:rPr>
          <w:rFonts w:ascii="Arial" w:hAnsi="Arial" w:cs="Arial"/>
          <w:sz w:val="22"/>
          <w:szCs w:val="22"/>
        </w:rPr>
        <w:t>;</w:t>
      </w:r>
      <w:r w:rsidRPr="00485276">
        <w:rPr>
          <w:rFonts w:ascii="Arial" w:hAnsi="Arial" w:cs="Arial"/>
          <w:sz w:val="22"/>
          <w:szCs w:val="22"/>
        </w:rPr>
        <w:t xml:space="preserve"> updated 2020), which emphasise reducing health inequalities through social determinants</w:t>
      </w:r>
      <w:r w:rsidR="00913346" w:rsidRPr="00485276">
        <w:rPr>
          <w:rFonts w:ascii="Arial" w:hAnsi="Arial" w:cs="Arial"/>
          <w:sz w:val="22"/>
          <w:szCs w:val="22"/>
        </w:rPr>
        <w:t xml:space="preserve"> </w:t>
      </w:r>
      <w:r w:rsidR="00913346" w:rsidRPr="00485276">
        <w:rPr>
          <w:rFonts w:ascii="Arial" w:hAnsi="Arial" w:cs="Arial"/>
          <w:color w:val="000000"/>
          <w:sz w:val="22"/>
          <w:szCs w:val="22"/>
        </w:rPr>
        <w:t>(Marmot, 2020)</w:t>
      </w:r>
      <w:r w:rsidRPr="00485276">
        <w:rPr>
          <w:rFonts w:ascii="Arial" w:hAnsi="Arial" w:cs="Arial"/>
          <w:sz w:val="22"/>
          <w:szCs w:val="22"/>
        </w:rPr>
        <w:t>.  The UK government has also implemented strategies targeting regional inequalities, such as the “Levelling Up” agenda.</w:t>
      </w:r>
    </w:p>
    <w:p w14:paraId="092DF89B" w14:textId="5B732306" w:rsidR="008E2D6E" w:rsidRPr="00485276" w:rsidRDefault="008E2D6E">
      <w:pPr>
        <w:rPr>
          <w:rFonts w:ascii="Arial" w:hAnsi="Arial" w:cs="Arial"/>
          <w:b/>
          <w:bCs/>
          <w:sz w:val="22"/>
          <w:szCs w:val="22"/>
          <w:u w:val="single"/>
        </w:rPr>
      </w:pPr>
    </w:p>
    <w:p w14:paraId="6B137DE9" w14:textId="568136B7" w:rsidR="00041E32" w:rsidRPr="00485276" w:rsidRDefault="00041E32">
      <w:pPr>
        <w:rPr>
          <w:rFonts w:ascii="Arial" w:hAnsi="Arial" w:cs="Arial"/>
          <w:b/>
          <w:bCs/>
          <w:sz w:val="22"/>
          <w:szCs w:val="22"/>
          <w:u w:val="single"/>
        </w:rPr>
      </w:pPr>
      <w:r w:rsidRPr="00485276">
        <w:rPr>
          <w:rFonts w:ascii="Arial" w:hAnsi="Arial" w:cs="Arial"/>
          <w:b/>
          <w:bCs/>
          <w:sz w:val="22"/>
          <w:szCs w:val="22"/>
          <w:u w:val="single"/>
        </w:rPr>
        <w:t>THEORETICAL PERSPECTIVE</w:t>
      </w:r>
    </w:p>
    <w:p w14:paraId="7B4AAE08" w14:textId="3A9418A6" w:rsidR="008E2D6E" w:rsidRPr="00485276" w:rsidRDefault="008E2D6E">
      <w:pPr>
        <w:rPr>
          <w:rFonts w:ascii="Arial" w:hAnsi="Arial" w:cs="Arial"/>
          <w:sz w:val="22"/>
          <w:szCs w:val="22"/>
        </w:rPr>
      </w:pPr>
      <w:r w:rsidRPr="00485276">
        <w:rPr>
          <w:rFonts w:ascii="Arial" w:hAnsi="Arial" w:cs="Arial"/>
          <w:sz w:val="22"/>
          <w:szCs w:val="22"/>
        </w:rPr>
        <w:t>From a theoretical perspective, Wilkinson and Pickett’s (2009) theory of</w:t>
      </w:r>
      <w:r w:rsidR="00F5564C" w:rsidRPr="00485276">
        <w:rPr>
          <w:rFonts w:ascii="Arial" w:hAnsi="Arial" w:cs="Arial"/>
          <w:sz w:val="22"/>
          <w:szCs w:val="22"/>
        </w:rPr>
        <w:t xml:space="preserve"> income inequality suggests that more unequal societies experience </w:t>
      </w:r>
      <w:r w:rsidR="005D5B12" w:rsidRPr="00485276">
        <w:rPr>
          <w:rFonts w:ascii="Arial" w:hAnsi="Arial" w:cs="Arial"/>
          <w:sz w:val="22"/>
          <w:szCs w:val="22"/>
        </w:rPr>
        <w:t>worse health outcomes across all population groups</w:t>
      </w:r>
      <w:r w:rsidR="00913346" w:rsidRPr="00485276">
        <w:rPr>
          <w:rFonts w:ascii="Arial" w:hAnsi="Arial" w:cs="Arial"/>
          <w:sz w:val="22"/>
          <w:szCs w:val="22"/>
        </w:rPr>
        <w:t xml:space="preserve"> </w:t>
      </w:r>
      <w:r w:rsidR="00913346" w:rsidRPr="00485276">
        <w:rPr>
          <w:rFonts w:ascii="Arial" w:hAnsi="Arial" w:cs="Arial"/>
          <w:color w:val="000000"/>
          <w:sz w:val="22"/>
          <w:szCs w:val="22"/>
        </w:rPr>
        <w:t>(Pickett and Wilkinson, 2015)</w:t>
      </w:r>
      <w:r w:rsidR="00913346" w:rsidRPr="00485276">
        <w:rPr>
          <w:rFonts w:ascii="Arial" w:hAnsi="Arial" w:cs="Arial"/>
          <w:sz w:val="22"/>
          <w:szCs w:val="22"/>
        </w:rPr>
        <w:t>.</w:t>
      </w:r>
      <w:r w:rsidR="005D5B12" w:rsidRPr="00485276">
        <w:rPr>
          <w:rFonts w:ascii="Arial" w:hAnsi="Arial" w:cs="Arial"/>
          <w:sz w:val="22"/>
          <w:szCs w:val="22"/>
        </w:rPr>
        <w:t xml:space="preserve">  This is supported by evidence showing that deprived communities in the UK experience higher rates of chronic illness, mental health issues, and reduced life expectancy</w:t>
      </w:r>
      <w:r w:rsidR="00913346" w:rsidRPr="00485276">
        <w:rPr>
          <w:rFonts w:ascii="Arial" w:hAnsi="Arial" w:cs="Arial"/>
          <w:sz w:val="22"/>
          <w:szCs w:val="22"/>
        </w:rPr>
        <w:t xml:space="preserve"> </w:t>
      </w:r>
      <w:r w:rsidR="00913346" w:rsidRPr="00485276">
        <w:rPr>
          <w:rFonts w:ascii="Arial" w:hAnsi="Arial" w:cs="Arial"/>
          <w:color w:val="000000"/>
          <w:sz w:val="22"/>
          <w:szCs w:val="22"/>
        </w:rPr>
        <w:t>(The King's Fund, 2024)</w:t>
      </w:r>
      <w:r w:rsidR="00913346" w:rsidRPr="00485276">
        <w:rPr>
          <w:rFonts w:ascii="Arial" w:hAnsi="Arial" w:cs="Arial"/>
          <w:sz w:val="22"/>
          <w:szCs w:val="22"/>
        </w:rPr>
        <w:t>.</w:t>
      </w:r>
    </w:p>
    <w:p w14:paraId="6E69A617" w14:textId="6615A5F5" w:rsidR="005D5B12" w:rsidRPr="00485276" w:rsidRDefault="005D5B12">
      <w:pPr>
        <w:rPr>
          <w:rFonts w:ascii="Arial" w:hAnsi="Arial" w:cs="Arial"/>
          <w:sz w:val="22"/>
          <w:szCs w:val="22"/>
        </w:rPr>
      </w:pPr>
    </w:p>
    <w:p w14:paraId="678C8D88" w14:textId="5AB7D072" w:rsidR="005D5B12" w:rsidRPr="00485276" w:rsidRDefault="005D5B12">
      <w:pPr>
        <w:rPr>
          <w:rFonts w:ascii="Arial" w:hAnsi="Arial" w:cs="Arial"/>
          <w:sz w:val="22"/>
          <w:szCs w:val="22"/>
        </w:rPr>
      </w:pPr>
      <w:r w:rsidRPr="00485276">
        <w:rPr>
          <w:rFonts w:ascii="Arial" w:hAnsi="Arial" w:cs="Arial"/>
          <w:sz w:val="22"/>
          <w:szCs w:val="22"/>
        </w:rPr>
        <w:t>However, the effectiveness of UK policies in reducing inequality has been widely criticised. The Marmot Review (2020) concluded that a decade of austerity had led to increased health inequalities, particularly affecting vulnerable populations</w:t>
      </w:r>
      <w:r w:rsidR="005E3BA4" w:rsidRPr="00485276">
        <w:rPr>
          <w:rFonts w:ascii="Arial" w:hAnsi="Arial" w:cs="Arial"/>
          <w:sz w:val="22"/>
          <w:szCs w:val="22"/>
        </w:rPr>
        <w:t xml:space="preserve"> </w:t>
      </w:r>
      <w:r w:rsidR="005E3BA4" w:rsidRPr="00485276">
        <w:rPr>
          <w:rFonts w:ascii="Arial" w:hAnsi="Arial" w:cs="Arial"/>
          <w:color w:val="000000"/>
          <w:sz w:val="22"/>
          <w:szCs w:val="22"/>
        </w:rPr>
        <w:t>(Marmot et al., 2020)</w:t>
      </w:r>
      <w:r w:rsidRPr="00485276">
        <w:rPr>
          <w:rFonts w:ascii="Arial" w:hAnsi="Arial" w:cs="Arial"/>
          <w:sz w:val="22"/>
          <w:szCs w:val="22"/>
        </w:rPr>
        <w:t>.  Cuts to social services, welfare support, and local government funding have disproportionately impacted deprived areas, undermining policy objectives.</w:t>
      </w:r>
    </w:p>
    <w:p w14:paraId="5FB087A2" w14:textId="77777777" w:rsidR="009D06AC" w:rsidRDefault="009D06AC">
      <w:pPr>
        <w:rPr>
          <w:rFonts w:ascii="Arial" w:hAnsi="Arial" w:cs="Arial"/>
          <w:sz w:val="22"/>
          <w:szCs w:val="22"/>
        </w:rPr>
      </w:pPr>
    </w:p>
    <w:p w14:paraId="101930D0" w14:textId="1BBDE96C" w:rsidR="00041E32" w:rsidRPr="00485276" w:rsidRDefault="00041E32">
      <w:pPr>
        <w:rPr>
          <w:rFonts w:ascii="Arial" w:hAnsi="Arial" w:cs="Arial"/>
          <w:b/>
          <w:bCs/>
          <w:sz w:val="22"/>
          <w:szCs w:val="22"/>
          <w:u w:val="single"/>
        </w:rPr>
      </w:pPr>
      <w:r w:rsidRPr="00485276">
        <w:rPr>
          <w:rFonts w:ascii="Arial" w:hAnsi="Arial" w:cs="Arial"/>
          <w:b/>
          <w:bCs/>
          <w:sz w:val="22"/>
          <w:szCs w:val="22"/>
          <w:u w:val="single"/>
        </w:rPr>
        <w:lastRenderedPageBreak/>
        <w:t>LOCAL LEVEL</w:t>
      </w:r>
    </w:p>
    <w:p w14:paraId="0030BD59" w14:textId="6537E6F3" w:rsidR="005D5B12" w:rsidRPr="00485276" w:rsidRDefault="005D5B12">
      <w:pPr>
        <w:rPr>
          <w:rFonts w:ascii="Arial" w:hAnsi="Arial" w:cs="Arial"/>
          <w:sz w:val="22"/>
          <w:szCs w:val="22"/>
        </w:rPr>
      </w:pPr>
      <w:r w:rsidRPr="00485276">
        <w:rPr>
          <w:rFonts w:ascii="Arial" w:hAnsi="Arial" w:cs="Arial"/>
          <w:sz w:val="22"/>
          <w:szCs w:val="22"/>
        </w:rPr>
        <w:t>At a local level, Birmingham has implemented initiatives aimed at reducing inequality, including employment programmes, housing support, and targeted public health interventions</w:t>
      </w:r>
      <w:r w:rsidR="005E3BA4" w:rsidRPr="00485276">
        <w:rPr>
          <w:rFonts w:ascii="Arial" w:hAnsi="Arial" w:cs="Arial"/>
          <w:sz w:val="22"/>
          <w:szCs w:val="22"/>
        </w:rPr>
        <w:t xml:space="preserve"> </w:t>
      </w:r>
      <w:r w:rsidR="005E3BA4" w:rsidRPr="00485276">
        <w:rPr>
          <w:rFonts w:ascii="Arial" w:hAnsi="Arial" w:cs="Arial"/>
          <w:color w:val="000000"/>
          <w:sz w:val="22"/>
          <w:szCs w:val="22"/>
        </w:rPr>
        <w:t>(Birmingham City Council, 2023)</w:t>
      </w:r>
      <w:r w:rsidRPr="00485276">
        <w:rPr>
          <w:rFonts w:ascii="Arial" w:hAnsi="Arial" w:cs="Arial"/>
          <w:sz w:val="22"/>
          <w:szCs w:val="22"/>
        </w:rPr>
        <w:t>.  The city’s diverse population necessitates culturally sensitive approaches to healthcare delivery.  Programmes addressing language barriers and community engagement are essential for improving access to services</w:t>
      </w:r>
      <w:r w:rsidR="005D5D22" w:rsidRPr="00485276">
        <w:rPr>
          <w:rFonts w:ascii="Arial" w:hAnsi="Arial" w:cs="Arial"/>
          <w:sz w:val="22"/>
          <w:szCs w:val="22"/>
        </w:rPr>
        <w:t xml:space="preserve"> </w:t>
      </w:r>
      <w:r w:rsidR="005D5D22" w:rsidRPr="00485276">
        <w:rPr>
          <w:rFonts w:ascii="Arial" w:hAnsi="Arial" w:cs="Arial"/>
          <w:color w:val="000000"/>
          <w:sz w:val="22"/>
          <w:szCs w:val="22"/>
        </w:rPr>
        <w:t>(Al Shamsi et al., 2020)</w:t>
      </w:r>
      <w:r w:rsidR="005D5D22" w:rsidRPr="00485276">
        <w:rPr>
          <w:rFonts w:ascii="Arial" w:hAnsi="Arial" w:cs="Arial"/>
          <w:sz w:val="22"/>
          <w:szCs w:val="22"/>
        </w:rPr>
        <w:t>.</w:t>
      </w:r>
    </w:p>
    <w:p w14:paraId="1851051B" w14:textId="773DA5F0" w:rsidR="005D5B12" w:rsidRPr="00485276" w:rsidRDefault="005D5B12">
      <w:pPr>
        <w:rPr>
          <w:rFonts w:ascii="Arial" w:hAnsi="Arial" w:cs="Arial"/>
          <w:sz w:val="22"/>
          <w:szCs w:val="22"/>
        </w:rPr>
      </w:pPr>
    </w:p>
    <w:p w14:paraId="1313CCD2" w14:textId="6B468511" w:rsidR="005D5B12" w:rsidRPr="00485276" w:rsidRDefault="005D5B12">
      <w:pPr>
        <w:rPr>
          <w:rFonts w:ascii="Arial" w:hAnsi="Arial" w:cs="Arial"/>
          <w:sz w:val="22"/>
          <w:szCs w:val="22"/>
        </w:rPr>
      </w:pPr>
      <w:r w:rsidRPr="00485276">
        <w:rPr>
          <w:rFonts w:ascii="Arial" w:hAnsi="Arial" w:cs="Arial"/>
          <w:sz w:val="22"/>
          <w:szCs w:val="22"/>
        </w:rPr>
        <w:t xml:space="preserve">Applying systems thinking, inequality can be understood as a complex, interconnected issue influenced </w:t>
      </w:r>
      <w:r w:rsidR="00DD61D3" w:rsidRPr="00485276">
        <w:rPr>
          <w:rFonts w:ascii="Arial" w:hAnsi="Arial" w:cs="Arial"/>
          <w:sz w:val="22"/>
          <w:szCs w:val="22"/>
        </w:rPr>
        <w:t>by</w:t>
      </w:r>
      <w:r w:rsidRPr="00485276">
        <w:rPr>
          <w:rFonts w:ascii="Arial" w:hAnsi="Arial" w:cs="Arial"/>
          <w:sz w:val="22"/>
          <w:szCs w:val="22"/>
        </w:rPr>
        <w:t xml:space="preserve"> economic, social, and political factors.  Local initiatives in Birmingham attempt to address these complexities through multi-agency collaboration</w:t>
      </w:r>
      <w:r w:rsidR="005D5D22" w:rsidRPr="00485276">
        <w:rPr>
          <w:rFonts w:ascii="Arial" w:hAnsi="Arial" w:cs="Arial"/>
          <w:sz w:val="22"/>
          <w:szCs w:val="22"/>
        </w:rPr>
        <w:t xml:space="preserve"> </w:t>
      </w:r>
      <w:r w:rsidR="005D5D22" w:rsidRPr="00485276">
        <w:rPr>
          <w:rFonts w:ascii="Arial" w:hAnsi="Arial" w:cs="Arial"/>
          <w:color w:val="000000"/>
          <w:sz w:val="22"/>
          <w:szCs w:val="22"/>
        </w:rPr>
        <w:t>(Bansal et al., 2022)</w:t>
      </w:r>
      <w:r w:rsidRPr="00485276">
        <w:rPr>
          <w:rFonts w:ascii="Arial" w:hAnsi="Arial" w:cs="Arial"/>
          <w:sz w:val="22"/>
          <w:szCs w:val="22"/>
        </w:rPr>
        <w:t>.  However, similar to SDG 3, their effectiveness is limited by resource constraints and structural barriers</w:t>
      </w:r>
      <w:r w:rsidR="005D5D22" w:rsidRPr="00485276">
        <w:rPr>
          <w:rFonts w:ascii="Arial" w:hAnsi="Arial" w:cs="Arial"/>
          <w:sz w:val="22"/>
          <w:szCs w:val="22"/>
        </w:rPr>
        <w:t xml:space="preserve"> </w:t>
      </w:r>
      <w:r w:rsidR="005D5D22" w:rsidRPr="00485276">
        <w:rPr>
          <w:rFonts w:ascii="Arial" w:hAnsi="Arial" w:cs="Arial"/>
          <w:color w:val="000000"/>
          <w:sz w:val="22"/>
          <w:szCs w:val="22"/>
        </w:rPr>
        <w:t>(Chimukuche et al., 2025).</w:t>
      </w:r>
    </w:p>
    <w:p w14:paraId="207E86B9" w14:textId="737A27E8" w:rsidR="005D5B12" w:rsidRPr="00485276" w:rsidRDefault="005D5B12">
      <w:pPr>
        <w:rPr>
          <w:rFonts w:ascii="Arial" w:hAnsi="Arial" w:cs="Arial"/>
          <w:sz w:val="22"/>
          <w:szCs w:val="22"/>
        </w:rPr>
      </w:pPr>
    </w:p>
    <w:p w14:paraId="3059DD21" w14:textId="796EAE89" w:rsidR="00C50487" w:rsidRPr="00485276" w:rsidRDefault="00C50487">
      <w:pPr>
        <w:rPr>
          <w:rFonts w:ascii="Arial" w:hAnsi="Arial" w:cs="Arial"/>
          <w:b/>
          <w:bCs/>
          <w:sz w:val="22"/>
          <w:szCs w:val="22"/>
          <w:u w:val="single"/>
        </w:rPr>
      </w:pPr>
      <w:r w:rsidRPr="00485276">
        <w:rPr>
          <w:rFonts w:ascii="Arial" w:hAnsi="Arial" w:cs="Arial"/>
          <w:b/>
          <w:bCs/>
          <w:sz w:val="22"/>
          <w:szCs w:val="22"/>
          <w:u w:val="single"/>
        </w:rPr>
        <w:t>ISSUES</w:t>
      </w:r>
    </w:p>
    <w:p w14:paraId="15922C86" w14:textId="0F572172" w:rsidR="005D5B12" w:rsidRPr="00485276" w:rsidRDefault="005D5B12">
      <w:pPr>
        <w:rPr>
          <w:rFonts w:ascii="Arial" w:hAnsi="Arial" w:cs="Arial"/>
          <w:sz w:val="22"/>
          <w:szCs w:val="22"/>
        </w:rPr>
      </w:pPr>
      <w:r w:rsidRPr="00485276">
        <w:rPr>
          <w:rFonts w:ascii="Arial" w:hAnsi="Arial" w:cs="Arial"/>
          <w:sz w:val="22"/>
          <w:szCs w:val="22"/>
        </w:rPr>
        <w:t>A critical issue is the gap between policy rhetoric and practice.  While policies emphasise equity, implementation often fails to reach the most disadvantaged groups.  This can be attributed to institutional biases, lack of community involvement, and insufficient targeting of resources</w:t>
      </w:r>
      <w:r w:rsidR="00D57BA5" w:rsidRPr="00485276">
        <w:rPr>
          <w:rFonts w:ascii="Arial" w:hAnsi="Arial" w:cs="Arial"/>
          <w:sz w:val="22"/>
          <w:szCs w:val="22"/>
        </w:rPr>
        <w:t xml:space="preserve"> </w:t>
      </w:r>
      <w:r w:rsidR="00D57BA5" w:rsidRPr="00485276">
        <w:rPr>
          <w:rFonts w:ascii="Arial" w:hAnsi="Arial" w:cs="Arial"/>
          <w:color w:val="000000"/>
          <w:sz w:val="22"/>
          <w:szCs w:val="22"/>
        </w:rPr>
        <w:t>(Devine and Ash, 2021)</w:t>
      </w:r>
      <w:r w:rsidR="00D57BA5" w:rsidRPr="00485276">
        <w:rPr>
          <w:rFonts w:ascii="Arial" w:hAnsi="Arial" w:cs="Arial"/>
          <w:sz w:val="22"/>
          <w:szCs w:val="22"/>
        </w:rPr>
        <w:t>.</w:t>
      </w:r>
    </w:p>
    <w:p w14:paraId="1CAAD4A7" w14:textId="77777777" w:rsidR="00D57BA5" w:rsidRPr="00485276" w:rsidRDefault="00D57BA5">
      <w:pPr>
        <w:rPr>
          <w:rFonts w:ascii="Arial" w:hAnsi="Arial" w:cs="Arial"/>
          <w:sz w:val="22"/>
          <w:szCs w:val="22"/>
        </w:rPr>
      </w:pPr>
    </w:p>
    <w:p w14:paraId="05F115E9" w14:textId="768DDB85" w:rsidR="005D5B12" w:rsidRPr="00485276" w:rsidRDefault="005D5B12">
      <w:pPr>
        <w:rPr>
          <w:rFonts w:ascii="Arial" w:hAnsi="Arial" w:cs="Arial"/>
          <w:sz w:val="22"/>
          <w:szCs w:val="22"/>
        </w:rPr>
      </w:pPr>
      <w:r w:rsidRPr="00485276">
        <w:rPr>
          <w:rFonts w:ascii="Arial" w:hAnsi="Arial" w:cs="Arial"/>
          <w:sz w:val="22"/>
          <w:szCs w:val="22"/>
        </w:rPr>
        <w:t>Furthermore, intersectionality must be considered when analysing inequality.  Factors such as race, gender, and socioeconomic status interact to create compound disadvantages.  For example, ethnic minority groups in Birmingham experience higher rates of poverty and poorer health outcomes, highlighting the need for tailored interventions</w:t>
      </w:r>
      <w:r w:rsidR="00D57BA5" w:rsidRPr="00485276">
        <w:rPr>
          <w:rFonts w:ascii="Arial" w:hAnsi="Arial" w:cs="Arial"/>
          <w:sz w:val="22"/>
          <w:szCs w:val="22"/>
        </w:rPr>
        <w:t xml:space="preserve"> </w:t>
      </w:r>
      <w:r w:rsidR="00D57BA5" w:rsidRPr="00485276">
        <w:rPr>
          <w:rFonts w:ascii="Arial" w:hAnsi="Arial" w:cs="Arial"/>
          <w:color w:val="000000"/>
          <w:sz w:val="22"/>
          <w:szCs w:val="22"/>
        </w:rPr>
        <w:t>(Funer, 2023)</w:t>
      </w:r>
      <w:r w:rsidR="00D57BA5" w:rsidRPr="00485276">
        <w:rPr>
          <w:rFonts w:ascii="Arial" w:hAnsi="Arial" w:cs="Arial"/>
          <w:sz w:val="22"/>
          <w:szCs w:val="22"/>
        </w:rPr>
        <w:t>.</w:t>
      </w:r>
    </w:p>
    <w:p w14:paraId="2E3446BF" w14:textId="0D2196F1" w:rsidR="005D5B12" w:rsidRPr="00485276" w:rsidRDefault="005D5B12">
      <w:pPr>
        <w:rPr>
          <w:rFonts w:ascii="Arial" w:hAnsi="Arial" w:cs="Arial"/>
          <w:sz w:val="22"/>
          <w:szCs w:val="22"/>
        </w:rPr>
      </w:pPr>
    </w:p>
    <w:p w14:paraId="5CA858C4" w14:textId="744C5864" w:rsidR="00041E32" w:rsidRPr="00485276" w:rsidRDefault="00041E32">
      <w:pPr>
        <w:rPr>
          <w:rFonts w:ascii="Arial" w:hAnsi="Arial" w:cs="Arial"/>
          <w:b/>
          <w:bCs/>
          <w:sz w:val="22"/>
          <w:szCs w:val="22"/>
          <w:u w:val="single"/>
        </w:rPr>
      </w:pPr>
      <w:r w:rsidRPr="00485276">
        <w:rPr>
          <w:rFonts w:ascii="Arial" w:hAnsi="Arial" w:cs="Arial"/>
          <w:b/>
          <w:bCs/>
          <w:sz w:val="22"/>
          <w:szCs w:val="22"/>
          <w:u w:val="single"/>
        </w:rPr>
        <w:t>RECOMMENDATIONS</w:t>
      </w:r>
    </w:p>
    <w:p w14:paraId="3771294A" w14:textId="08185EAC" w:rsidR="005D5B12" w:rsidRPr="00485276" w:rsidRDefault="005D5B12">
      <w:pPr>
        <w:rPr>
          <w:rFonts w:ascii="Arial" w:hAnsi="Arial" w:cs="Arial"/>
          <w:sz w:val="22"/>
          <w:szCs w:val="22"/>
        </w:rPr>
      </w:pPr>
      <w:r w:rsidRPr="00485276">
        <w:rPr>
          <w:rFonts w:ascii="Arial" w:hAnsi="Arial" w:cs="Arial"/>
          <w:sz w:val="22"/>
          <w:szCs w:val="22"/>
        </w:rPr>
        <w:t>To enhance the effectiveness of SDG 10 initiatives, several recommendations can be made.  Firstly, policies should prioritise redistributive measures, such as progressive taxation and increased social spending, to address income inequality.  Secondly, community engagement must be strengthened to ensure that interventions are culturally appropriate and responsive to local needs.  Thirdly, intersectional approaches should be integrated into policy design and evaluation</w:t>
      </w:r>
      <w:r w:rsidR="00D57BA5" w:rsidRPr="00485276">
        <w:rPr>
          <w:rFonts w:ascii="Arial" w:hAnsi="Arial" w:cs="Arial"/>
          <w:sz w:val="22"/>
          <w:szCs w:val="22"/>
        </w:rPr>
        <w:t xml:space="preserve"> </w:t>
      </w:r>
      <w:r w:rsidR="00D57BA5" w:rsidRPr="00485276">
        <w:rPr>
          <w:rFonts w:ascii="Arial" w:hAnsi="Arial" w:cs="Arial"/>
          <w:color w:val="000000"/>
          <w:sz w:val="22"/>
          <w:szCs w:val="22"/>
        </w:rPr>
        <w:t>(United Nations, 2025).</w:t>
      </w:r>
    </w:p>
    <w:p w14:paraId="2E5EBAED" w14:textId="0335EC0B" w:rsidR="005D5B12" w:rsidRPr="00485276" w:rsidRDefault="005D5B12">
      <w:pPr>
        <w:rPr>
          <w:rFonts w:ascii="Arial" w:hAnsi="Arial" w:cs="Arial"/>
          <w:sz w:val="22"/>
          <w:szCs w:val="22"/>
        </w:rPr>
      </w:pPr>
    </w:p>
    <w:p w14:paraId="1535EC81" w14:textId="2FE7E732" w:rsidR="005D5B12" w:rsidRPr="00485276" w:rsidRDefault="005D5B12">
      <w:pPr>
        <w:rPr>
          <w:rFonts w:ascii="Arial" w:hAnsi="Arial" w:cs="Arial"/>
          <w:sz w:val="22"/>
          <w:szCs w:val="22"/>
        </w:rPr>
      </w:pPr>
      <w:r w:rsidRPr="00485276">
        <w:rPr>
          <w:rFonts w:ascii="Arial" w:hAnsi="Arial" w:cs="Arial"/>
          <w:sz w:val="22"/>
          <w:szCs w:val="22"/>
        </w:rPr>
        <w:t>Additionally, greater accountability mechanisms are needed to ensure that governments deliver on their commitments to reducing inequality.  This could include independent monitoring bodies and transparent reporting systems</w:t>
      </w:r>
      <w:r w:rsidR="00D57BA5" w:rsidRPr="00485276">
        <w:rPr>
          <w:rFonts w:ascii="Arial" w:hAnsi="Arial" w:cs="Arial"/>
          <w:sz w:val="22"/>
          <w:szCs w:val="22"/>
        </w:rPr>
        <w:t xml:space="preserve"> </w:t>
      </w:r>
      <w:r w:rsidR="00D57BA5" w:rsidRPr="00485276">
        <w:rPr>
          <w:rFonts w:ascii="Arial" w:hAnsi="Arial" w:cs="Arial"/>
          <w:color w:val="000000"/>
          <w:sz w:val="22"/>
          <w:szCs w:val="22"/>
        </w:rPr>
        <w:t>(and, 2026)</w:t>
      </w:r>
      <w:r w:rsidR="00D57BA5" w:rsidRPr="00485276">
        <w:rPr>
          <w:rFonts w:ascii="Arial" w:hAnsi="Arial" w:cs="Arial"/>
          <w:sz w:val="22"/>
          <w:szCs w:val="22"/>
        </w:rPr>
        <w:t>.</w:t>
      </w:r>
    </w:p>
    <w:p w14:paraId="50C8F96F" w14:textId="77777777" w:rsidR="00041E32" w:rsidRPr="00485276" w:rsidRDefault="00041E32">
      <w:pPr>
        <w:rPr>
          <w:rFonts w:ascii="Arial" w:hAnsi="Arial" w:cs="Arial"/>
          <w:sz w:val="22"/>
          <w:szCs w:val="22"/>
        </w:rPr>
      </w:pPr>
    </w:p>
    <w:p w14:paraId="0C0DE80F" w14:textId="2017EC17" w:rsidR="00041E32" w:rsidRPr="00485276" w:rsidRDefault="00041E32">
      <w:pPr>
        <w:rPr>
          <w:rFonts w:ascii="Arial" w:hAnsi="Arial" w:cs="Arial"/>
          <w:b/>
          <w:bCs/>
          <w:sz w:val="22"/>
          <w:szCs w:val="22"/>
          <w:u w:val="single"/>
        </w:rPr>
      </w:pPr>
      <w:r w:rsidRPr="00485276">
        <w:rPr>
          <w:rFonts w:ascii="Arial" w:hAnsi="Arial" w:cs="Arial"/>
          <w:b/>
          <w:bCs/>
          <w:sz w:val="22"/>
          <w:szCs w:val="22"/>
          <w:u w:val="single"/>
        </w:rPr>
        <w:t>CONCLUSION</w:t>
      </w:r>
    </w:p>
    <w:p w14:paraId="7B296268" w14:textId="77777777" w:rsidR="005D5B12" w:rsidRPr="00485276" w:rsidRDefault="005D5B12">
      <w:pPr>
        <w:rPr>
          <w:rFonts w:ascii="Arial" w:hAnsi="Arial" w:cs="Arial"/>
          <w:sz w:val="22"/>
          <w:szCs w:val="22"/>
        </w:rPr>
      </w:pPr>
      <w:r w:rsidRPr="00485276">
        <w:rPr>
          <w:rFonts w:ascii="Arial" w:hAnsi="Arial" w:cs="Arial"/>
          <w:sz w:val="22"/>
          <w:szCs w:val="22"/>
        </w:rPr>
        <w:t>In summary, while SDG 10 highlights the importance of reducing inequality, its implementation is hindered by structural, economic, and political challenges.  Without addressing these underlying issues, progress towards both SDG 10 and SDG 3 will remain limited.</w:t>
      </w:r>
    </w:p>
    <w:p w14:paraId="12D53980" w14:textId="2D4BC1CF" w:rsidR="005D5B12" w:rsidRPr="00485276" w:rsidRDefault="005D5B12">
      <w:pPr>
        <w:rPr>
          <w:rFonts w:ascii="Arial" w:hAnsi="Arial" w:cs="Arial"/>
          <w:sz w:val="22"/>
          <w:szCs w:val="22"/>
        </w:rPr>
      </w:pPr>
    </w:p>
    <w:p w14:paraId="2DB500BB" w14:textId="77777777" w:rsidR="002D4931" w:rsidRPr="00485276" w:rsidRDefault="002D4931">
      <w:pPr>
        <w:rPr>
          <w:rFonts w:ascii="Arial" w:hAnsi="Arial" w:cs="Arial"/>
          <w:sz w:val="22"/>
          <w:szCs w:val="22"/>
        </w:rPr>
      </w:pPr>
    </w:p>
    <w:p w14:paraId="6F1D84C8" w14:textId="06A6AB70" w:rsidR="005D5B12" w:rsidRPr="00485276" w:rsidRDefault="00FD2C3A">
      <w:pPr>
        <w:rPr>
          <w:rFonts w:ascii="Arial" w:hAnsi="Arial" w:cs="Arial"/>
          <w:b/>
          <w:bCs/>
          <w:sz w:val="22"/>
          <w:szCs w:val="22"/>
          <w:u w:val="single"/>
        </w:rPr>
      </w:pPr>
      <w:r w:rsidRPr="00485276">
        <w:rPr>
          <w:rFonts w:ascii="Arial" w:hAnsi="Arial" w:cs="Arial"/>
          <w:b/>
          <w:bCs/>
          <w:sz w:val="22"/>
          <w:szCs w:val="22"/>
          <w:u w:val="single"/>
        </w:rPr>
        <w:t xml:space="preserve">MAIN </w:t>
      </w:r>
      <w:r w:rsidR="005D5B12" w:rsidRPr="00485276">
        <w:rPr>
          <w:rFonts w:ascii="Arial" w:hAnsi="Arial" w:cs="Arial"/>
          <w:b/>
          <w:bCs/>
          <w:sz w:val="22"/>
          <w:szCs w:val="22"/>
          <w:u w:val="single"/>
        </w:rPr>
        <w:t>CONCLUSION</w:t>
      </w:r>
    </w:p>
    <w:p w14:paraId="5926C65B" w14:textId="0FA2DD27" w:rsidR="002D4931" w:rsidRPr="00485276" w:rsidRDefault="002D4931">
      <w:pPr>
        <w:rPr>
          <w:rFonts w:ascii="Arial" w:hAnsi="Arial" w:cs="Arial"/>
          <w:sz w:val="22"/>
          <w:szCs w:val="22"/>
        </w:rPr>
      </w:pPr>
      <w:r w:rsidRPr="00485276">
        <w:rPr>
          <w:rFonts w:ascii="Arial" w:hAnsi="Arial" w:cs="Arial"/>
          <w:sz w:val="22"/>
          <w:szCs w:val="22"/>
        </w:rPr>
        <w:t>This report has critically analysed the impact of SDG 3 (Good Health and Wellbeing) and SDG 10 (Reduced Inequalities) across global, national and local contexts.  The analysis demonstrates that while ambitious frameworks and policy commitments exist, meaningful progress remains uneven and constrained by structural, economic and political limitations.  Despite rhetorical alignment with equity and prevention, implementation frequently falls short of addressing the root causes of poor health outcomes</w:t>
      </w:r>
      <w:r w:rsidR="00002400" w:rsidRPr="00485276">
        <w:rPr>
          <w:rFonts w:ascii="Arial" w:hAnsi="Arial" w:cs="Arial"/>
          <w:sz w:val="22"/>
          <w:szCs w:val="22"/>
        </w:rPr>
        <w:t xml:space="preserve"> </w:t>
      </w:r>
      <w:r w:rsidR="00002400" w:rsidRPr="00485276">
        <w:rPr>
          <w:rFonts w:ascii="Arial" w:hAnsi="Arial" w:cs="Arial"/>
          <w:color w:val="000000"/>
          <w:sz w:val="22"/>
          <w:szCs w:val="22"/>
        </w:rPr>
        <w:t>(Filho et al., 2020)</w:t>
      </w:r>
      <w:r w:rsidR="00002400" w:rsidRPr="00485276">
        <w:rPr>
          <w:rFonts w:ascii="Arial" w:hAnsi="Arial" w:cs="Arial"/>
          <w:sz w:val="22"/>
          <w:szCs w:val="22"/>
        </w:rPr>
        <w:t>.</w:t>
      </w:r>
    </w:p>
    <w:p w14:paraId="2787269C" w14:textId="06E0EF57" w:rsidR="002D4931" w:rsidRPr="00485276" w:rsidRDefault="002D4931">
      <w:pPr>
        <w:rPr>
          <w:rFonts w:ascii="Arial" w:hAnsi="Arial" w:cs="Arial"/>
          <w:sz w:val="22"/>
          <w:szCs w:val="22"/>
        </w:rPr>
      </w:pPr>
    </w:p>
    <w:p w14:paraId="7E4A86B6" w14:textId="06AEFBB5" w:rsidR="002D4931" w:rsidRPr="00485276" w:rsidRDefault="002D4931">
      <w:pPr>
        <w:rPr>
          <w:rFonts w:ascii="Arial" w:hAnsi="Arial" w:cs="Arial"/>
          <w:sz w:val="22"/>
          <w:szCs w:val="22"/>
        </w:rPr>
      </w:pPr>
      <w:r w:rsidRPr="00485276">
        <w:rPr>
          <w:rFonts w:ascii="Arial" w:hAnsi="Arial" w:cs="Arial"/>
          <w:sz w:val="22"/>
          <w:szCs w:val="22"/>
        </w:rPr>
        <w:t xml:space="preserve">A central finding is the inseparable relationship between health and inequality.  Health disparities are not merely the result of individual behaviours or service </w:t>
      </w:r>
      <w:r w:rsidR="00DD61D3" w:rsidRPr="00485276">
        <w:rPr>
          <w:rFonts w:ascii="Arial" w:hAnsi="Arial" w:cs="Arial"/>
          <w:sz w:val="22"/>
          <w:szCs w:val="22"/>
        </w:rPr>
        <w:t>accessibility but</w:t>
      </w:r>
      <w:r w:rsidRPr="00485276">
        <w:rPr>
          <w:rFonts w:ascii="Arial" w:hAnsi="Arial" w:cs="Arial"/>
          <w:sz w:val="22"/>
          <w:szCs w:val="22"/>
        </w:rPr>
        <w:t xml:space="preserve"> are deeply embedded within socioeconomic systems.  Income inequality, housing insecurity, </w:t>
      </w:r>
      <w:r w:rsidRPr="00485276">
        <w:rPr>
          <w:rFonts w:ascii="Arial" w:hAnsi="Arial" w:cs="Arial"/>
          <w:sz w:val="22"/>
          <w:szCs w:val="22"/>
        </w:rPr>
        <w:lastRenderedPageBreak/>
        <w:t>educational disadvantage and systemic discrimination continue to shape patterns of morbidity and mortality.  Therefore, achieving SDG 3 is contingent upon substantive progress towards SDG 10.  Without reducing structural inequalities, improvements in health will remain partial and unsustainable</w:t>
      </w:r>
      <w:r w:rsidR="00002400" w:rsidRPr="00485276">
        <w:rPr>
          <w:rFonts w:ascii="Arial" w:hAnsi="Arial" w:cs="Arial"/>
          <w:sz w:val="22"/>
          <w:szCs w:val="22"/>
        </w:rPr>
        <w:t xml:space="preserve"> </w:t>
      </w:r>
      <w:r w:rsidR="00002400" w:rsidRPr="00485276">
        <w:rPr>
          <w:rFonts w:ascii="Arial" w:hAnsi="Arial" w:cs="Arial"/>
          <w:color w:val="000000"/>
          <w:sz w:val="22"/>
          <w:szCs w:val="22"/>
        </w:rPr>
        <w:t>(Acharya, Lin and Dhingra, 2018).</w:t>
      </w:r>
    </w:p>
    <w:p w14:paraId="559CB67A" w14:textId="78113DC2" w:rsidR="002D4931" w:rsidRPr="00485276" w:rsidRDefault="002D4931">
      <w:pPr>
        <w:rPr>
          <w:rFonts w:ascii="Arial" w:hAnsi="Arial" w:cs="Arial"/>
          <w:sz w:val="22"/>
          <w:szCs w:val="22"/>
        </w:rPr>
      </w:pPr>
    </w:p>
    <w:p w14:paraId="487B3AB4" w14:textId="06AA4791" w:rsidR="002D4931" w:rsidRPr="00485276" w:rsidRDefault="002D4931">
      <w:pPr>
        <w:rPr>
          <w:rFonts w:ascii="Arial" w:hAnsi="Arial" w:cs="Arial"/>
          <w:sz w:val="22"/>
          <w:szCs w:val="22"/>
        </w:rPr>
      </w:pPr>
      <w:r w:rsidRPr="00485276">
        <w:rPr>
          <w:rFonts w:ascii="Arial" w:hAnsi="Arial" w:cs="Arial"/>
          <w:sz w:val="22"/>
          <w:szCs w:val="22"/>
        </w:rPr>
        <w:t>The report also highlighted a persistent policy tendency towards “lifestyle drift”, whereby upstream determinants are acknowledged yet interventions ultimately prioritise behavioural change</w:t>
      </w:r>
      <w:r w:rsidR="00002400" w:rsidRPr="00485276">
        <w:rPr>
          <w:rFonts w:ascii="Arial" w:hAnsi="Arial" w:cs="Arial"/>
          <w:sz w:val="22"/>
          <w:szCs w:val="22"/>
        </w:rPr>
        <w:t xml:space="preserve"> </w:t>
      </w:r>
      <w:r w:rsidR="00002400" w:rsidRPr="00485276">
        <w:rPr>
          <w:rFonts w:ascii="Arial" w:hAnsi="Arial" w:cs="Arial"/>
          <w:color w:val="000000"/>
          <w:sz w:val="22"/>
          <w:szCs w:val="22"/>
        </w:rPr>
        <w:t>(Halsall, Orpana and Jan,</w:t>
      </w:r>
      <w:r w:rsidR="007B3AEF" w:rsidRPr="00485276">
        <w:rPr>
          <w:rFonts w:ascii="Arial" w:hAnsi="Arial" w:cs="Arial"/>
          <w:color w:val="000000"/>
          <w:sz w:val="22"/>
          <w:szCs w:val="22"/>
        </w:rPr>
        <w:t xml:space="preserve"> </w:t>
      </w:r>
      <w:r w:rsidR="00002400" w:rsidRPr="00485276">
        <w:rPr>
          <w:rFonts w:ascii="Arial" w:hAnsi="Arial" w:cs="Arial"/>
          <w:color w:val="000000"/>
          <w:sz w:val="22"/>
          <w:szCs w:val="22"/>
        </w:rPr>
        <w:t>2025)</w:t>
      </w:r>
      <w:r w:rsidR="00002400" w:rsidRPr="00485276">
        <w:rPr>
          <w:rFonts w:ascii="Arial" w:hAnsi="Arial" w:cs="Arial"/>
          <w:sz w:val="22"/>
          <w:szCs w:val="22"/>
        </w:rPr>
        <w:t xml:space="preserve">. </w:t>
      </w:r>
      <w:r w:rsidRPr="00485276">
        <w:rPr>
          <w:rFonts w:ascii="Arial" w:hAnsi="Arial" w:cs="Arial"/>
          <w:sz w:val="22"/>
          <w:szCs w:val="22"/>
        </w:rPr>
        <w:t>While preventative strategies are important, they must be supported by redistributive social and economic policies to produce lasting transformation.  Local initiatives in Birmingham illustrate both the potential and limitations of place-based approaches; although community-focused strategies are promising, they require sustained investment, robust evaluation, and genuine cross-sector collaboration to be effective.</w:t>
      </w:r>
    </w:p>
    <w:p w14:paraId="4647BE6E" w14:textId="496157C1" w:rsidR="00DD61D3" w:rsidRPr="00485276" w:rsidRDefault="00DD61D3">
      <w:pPr>
        <w:rPr>
          <w:rFonts w:ascii="Arial" w:hAnsi="Arial" w:cs="Arial"/>
          <w:sz w:val="22"/>
          <w:szCs w:val="22"/>
        </w:rPr>
      </w:pPr>
    </w:p>
    <w:p w14:paraId="36706021" w14:textId="734125BB" w:rsidR="00DD61D3" w:rsidRPr="00485276" w:rsidRDefault="00DD61D3">
      <w:pPr>
        <w:rPr>
          <w:rFonts w:ascii="Arial" w:hAnsi="Arial" w:cs="Arial"/>
          <w:sz w:val="22"/>
          <w:szCs w:val="22"/>
        </w:rPr>
      </w:pPr>
      <w:r w:rsidRPr="00485276">
        <w:rPr>
          <w:rFonts w:ascii="Arial" w:hAnsi="Arial" w:cs="Arial"/>
          <w:sz w:val="22"/>
          <w:szCs w:val="22"/>
        </w:rPr>
        <w:t>Moving forward, a systems-based and equity-oriented approach is essential.  Policymakers must embed intersectionality within decision-making, strengthen accountability mechanisms, and prioritise long-term social investment over short-term cost containment.  Sustainable development cannot be achieved through isolated interventions; it requires coordinated structural reform that addresses the social foundations of health.</w:t>
      </w:r>
    </w:p>
    <w:p w14:paraId="25516CDF" w14:textId="3FCA7D41" w:rsidR="00DD61D3" w:rsidRPr="00485276" w:rsidRDefault="00DD61D3">
      <w:pPr>
        <w:rPr>
          <w:rFonts w:ascii="Arial" w:hAnsi="Arial" w:cs="Arial"/>
          <w:sz w:val="22"/>
          <w:szCs w:val="22"/>
        </w:rPr>
      </w:pPr>
    </w:p>
    <w:p w14:paraId="56340313" w14:textId="7685FEF5" w:rsidR="00DD61D3" w:rsidRPr="00485276" w:rsidRDefault="00DD61D3">
      <w:pPr>
        <w:rPr>
          <w:rFonts w:ascii="Arial" w:hAnsi="Arial" w:cs="Arial"/>
          <w:sz w:val="22"/>
          <w:szCs w:val="22"/>
        </w:rPr>
      </w:pPr>
      <w:r w:rsidRPr="00485276">
        <w:rPr>
          <w:rFonts w:ascii="Arial" w:hAnsi="Arial" w:cs="Arial"/>
          <w:sz w:val="22"/>
          <w:szCs w:val="22"/>
        </w:rPr>
        <w:t>Ultimately, the achievement of the SDGs depends on political will, adequate resourcing, and a commitment to social justice.  By recognising health as both a human right and societal asset, governments can move beyond aspirational policy discourse towards tangible, equitable outcomes that improve population wellbeing for present and future generations.</w:t>
      </w:r>
    </w:p>
    <w:p w14:paraId="5DF56BCE" w14:textId="77777777" w:rsidR="00390025" w:rsidRPr="00485276" w:rsidRDefault="00390025" w:rsidP="00C5262C">
      <w:pPr>
        <w:spacing w:after="240" w:line="540" w:lineRule="atLeast"/>
        <w:outlineLvl w:val="0"/>
        <w:rPr>
          <w:rFonts w:ascii="Arial" w:hAnsi="Arial" w:cs="Arial"/>
          <w:b/>
          <w:bCs/>
          <w:color w:val="000000"/>
          <w:kern w:val="36"/>
          <w:sz w:val="22"/>
          <w:szCs w:val="22"/>
        </w:rPr>
      </w:pPr>
    </w:p>
    <w:p w14:paraId="418A1F36" w14:textId="77777777" w:rsidR="00390025" w:rsidRPr="00485276" w:rsidRDefault="00390025" w:rsidP="00C5262C">
      <w:pPr>
        <w:spacing w:after="240" w:line="540" w:lineRule="atLeast"/>
        <w:outlineLvl w:val="0"/>
        <w:rPr>
          <w:rFonts w:ascii="Arial" w:hAnsi="Arial" w:cs="Arial"/>
          <w:b/>
          <w:bCs/>
          <w:color w:val="000000"/>
          <w:kern w:val="36"/>
          <w:sz w:val="22"/>
          <w:szCs w:val="22"/>
        </w:rPr>
      </w:pPr>
    </w:p>
    <w:p w14:paraId="1B31910F" w14:textId="77777777" w:rsidR="00390025" w:rsidRPr="00485276" w:rsidRDefault="00390025" w:rsidP="00C5262C">
      <w:pPr>
        <w:spacing w:after="240" w:line="540" w:lineRule="atLeast"/>
        <w:outlineLvl w:val="0"/>
        <w:rPr>
          <w:rFonts w:ascii="Arial" w:hAnsi="Arial" w:cs="Arial"/>
          <w:b/>
          <w:bCs/>
          <w:color w:val="000000"/>
          <w:kern w:val="36"/>
          <w:sz w:val="22"/>
          <w:szCs w:val="22"/>
        </w:rPr>
      </w:pPr>
    </w:p>
    <w:p w14:paraId="4C5EEC48" w14:textId="77777777" w:rsidR="00390025" w:rsidRPr="00485276" w:rsidRDefault="00390025" w:rsidP="00C5262C">
      <w:pPr>
        <w:spacing w:after="240" w:line="540" w:lineRule="atLeast"/>
        <w:outlineLvl w:val="0"/>
        <w:rPr>
          <w:rFonts w:ascii="Arial" w:hAnsi="Arial" w:cs="Arial"/>
          <w:b/>
          <w:bCs/>
          <w:color w:val="000000"/>
          <w:kern w:val="36"/>
          <w:sz w:val="22"/>
          <w:szCs w:val="22"/>
        </w:rPr>
      </w:pPr>
    </w:p>
    <w:p w14:paraId="13F248FC" w14:textId="77777777" w:rsidR="00390025" w:rsidRDefault="00390025" w:rsidP="00C5262C">
      <w:pPr>
        <w:spacing w:after="240" w:line="540" w:lineRule="atLeast"/>
        <w:outlineLvl w:val="0"/>
        <w:rPr>
          <w:b/>
          <w:bCs/>
          <w:color w:val="000000"/>
          <w:kern w:val="36"/>
          <w:sz w:val="36"/>
          <w:szCs w:val="36"/>
        </w:rPr>
      </w:pPr>
    </w:p>
    <w:p w14:paraId="3ABFF73B" w14:textId="77777777" w:rsidR="00390025" w:rsidRDefault="00390025" w:rsidP="00C5262C">
      <w:pPr>
        <w:spacing w:after="240" w:line="540" w:lineRule="atLeast"/>
        <w:outlineLvl w:val="0"/>
        <w:rPr>
          <w:b/>
          <w:bCs/>
          <w:color w:val="000000"/>
          <w:kern w:val="36"/>
          <w:sz w:val="36"/>
          <w:szCs w:val="36"/>
        </w:rPr>
      </w:pPr>
    </w:p>
    <w:p w14:paraId="4D35CC65" w14:textId="77777777" w:rsidR="00390025" w:rsidRDefault="00390025" w:rsidP="00C5262C">
      <w:pPr>
        <w:spacing w:after="240" w:line="540" w:lineRule="atLeast"/>
        <w:outlineLvl w:val="0"/>
        <w:rPr>
          <w:b/>
          <w:bCs/>
          <w:color w:val="000000"/>
          <w:kern w:val="36"/>
          <w:sz w:val="36"/>
          <w:szCs w:val="36"/>
        </w:rPr>
      </w:pPr>
    </w:p>
    <w:p w14:paraId="26E8E6F1" w14:textId="77777777" w:rsidR="00390025" w:rsidRDefault="00390025" w:rsidP="00C5262C">
      <w:pPr>
        <w:spacing w:after="240" w:line="540" w:lineRule="atLeast"/>
        <w:outlineLvl w:val="0"/>
        <w:rPr>
          <w:b/>
          <w:bCs/>
          <w:color w:val="000000"/>
          <w:kern w:val="36"/>
          <w:sz w:val="36"/>
          <w:szCs w:val="36"/>
        </w:rPr>
      </w:pPr>
    </w:p>
    <w:p w14:paraId="502AF5B0" w14:textId="2C01DCAB" w:rsidR="00C50487" w:rsidRDefault="00C50487" w:rsidP="00C5262C">
      <w:pPr>
        <w:spacing w:after="240" w:line="540" w:lineRule="atLeast"/>
        <w:outlineLvl w:val="0"/>
        <w:rPr>
          <w:b/>
          <w:bCs/>
          <w:color w:val="000000"/>
          <w:kern w:val="36"/>
          <w:sz w:val="36"/>
          <w:szCs w:val="36"/>
        </w:rPr>
      </w:pPr>
    </w:p>
    <w:p w14:paraId="5E7B5639" w14:textId="77777777" w:rsidR="00485276" w:rsidRDefault="00485276" w:rsidP="00C5262C">
      <w:pPr>
        <w:spacing w:after="240" w:line="540" w:lineRule="atLeast"/>
        <w:outlineLvl w:val="0"/>
        <w:rPr>
          <w:b/>
          <w:bCs/>
          <w:color w:val="000000"/>
          <w:kern w:val="36"/>
          <w:sz w:val="36"/>
          <w:szCs w:val="36"/>
        </w:rPr>
      </w:pPr>
    </w:p>
    <w:p w14:paraId="1AF0AE44" w14:textId="6BBD1712" w:rsidR="00C5262C" w:rsidRPr="00C5262C" w:rsidRDefault="00C5262C" w:rsidP="00C5262C">
      <w:pPr>
        <w:spacing w:after="240" w:line="540" w:lineRule="atLeast"/>
        <w:outlineLvl w:val="0"/>
        <w:rPr>
          <w:b/>
          <w:bCs/>
          <w:color w:val="000000"/>
          <w:kern w:val="36"/>
          <w:sz w:val="36"/>
          <w:szCs w:val="36"/>
        </w:rPr>
      </w:pPr>
      <w:r w:rsidRPr="00C5262C">
        <w:rPr>
          <w:b/>
          <w:bCs/>
          <w:color w:val="000000"/>
          <w:kern w:val="36"/>
          <w:sz w:val="36"/>
          <w:szCs w:val="36"/>
        </w:rPr>
        <w:lastRenderedPageBreak/>
        <w:t>Reference list</w:t>
      </w:r>
    </w:p>
    <w:p w14:paraId="1E5A2558" w14:textId="3D11B2C5" w:rsidR="00C5262C" w:rsidRPr="00C5262C" w:rsidRDefault="00C5262C" w:rsidP="00C5262C">
      <w:pPr>
        <w:spacing w:after="240" w:line="360" w:lineRule="atLeast"/>
        <w:rPr>
          <w:color w:val="000000"/>
        </w:rPr>
      </w:pPr>
      <w:r w:rsidRPr="00C5262C">
        <w:rPr>
          <w:color w:val="000000"/>
        </w:rPr>
        <w:t>Acharya, S., Lin, V. and Dhingra, N. (2018). The Role of Health in Achieving the Sustainable Development Goals. </w:t>
      </w:r>
      <w:r w:rsidRPr="00C5262C">
        <w:rPr>
          <w:i/>
          <w:iCs/>
          <w:color w:val="000000"/>
        </w:rPr>
        <w:t>Bulletin of the World Health Organization</w:t>
      </w:r>
      <w:r w:rsidRPr="00C5262C">
        <w:rPr>
          <w:color w:val="000000"/>
        </w:rPr>
        <w:t>, 96(9), pp.591–591A. doi:https://doi.org/10.2471/blt.18.221432</w:t>
      </w:r>
      <w:r w:rsidR="007F4CC8">
        <w:rPr>
          <w:color w:val="000000"/>
        </w:rPr>
        <w:t xml:space="preserve"> (Accessed 7 Mar. 2026).</w:t>
      </w:r>
    </w:p>
    <w:p w14:paraId="0357751E" w14:textId="4F6E9E69" w:rsidR="00C5262C" w:rsidRPr="00C5262C" w:rsidRDefault="00C5262C" w:rsidP="00C5262C">
      <w:pPr>
        <w:spacing w:after="240" w:line="360" w:lineRule="atLeast"/>
        <w:rPr>
          <w:color w:val="000000"/>
        </w:rPr>
      </w:pPr>
      <w:r w:rsidRPr="00C5262C">
        <w:rPr>
          <w:color w:val="000000"/>
        </w:rPr>
        <w:t>Al Shamsi, H., Almutairi, A.G., Al Mashrafi, S. and Al Kalbani, T. (2020). Implications of Language Barriers for healthcare: A Systematic Review. </w:t>
      </w:r>
      <w:r w:rsidRPr="00C5262C">
        <w:rPr>
          <w:i/>
          <w:iCs/>
          <w:color w:val="000000"/>
        </w:rPr>
        <w:t>Oman Medical Journal</w:t>
      </w:r>
      <w:r w:rsidRPr="00C5262C">
        <w:rPr>
          <w:color w:val="000000"/>
        </w:rPr>
        <w:t>, 35(2), pp.1–7. doi:https://doi.org/10.5001/omj.2020.40</w:t>
      </w:r>
      <w:r w:rsidR="007F4CC8">
        <w:rPr>
          <w:color w:val="000000"/>
        </w:rPr>
        <w:t xml:space="preserve"> (Accessed 8 Mar. 2026).</w:t>
      </w:r>
    </w:p>
    <w:p w14:paraId="4D34B2B3" w14:textId="1F8F31BC" w:rsidR="00C5262C" w:rsidRPr="00C5262C" w:rsidRDefault="00C5262C" w:rsidP="00C5262C">
      <w:pPr>
        <w:spacing w:after="240" w:line="360" w:lineRule="atLeast"/>
        <w:rPr>
          <w:color w:val="000000"/>
        </w:rPr>
      </w:pPr>
      <w:r w:rsidRPr="00C5262C">
        <w:rPr>
          <w:color w:val="000000"/>
        </w:rPr>
        <w:t>Alawode, G.B., Ajibola, A.-R.A., Sanusi, M.S., Adewoyin, A.B. and Alawode, K.A. (2025). Optimizing the health workforce for Universal Health Coverage: a framework for analysis and action. </w:t>
      </w:r>
      <w:r w:rsidRPr="00C5262C">
        <w:rPr>
          <w:i/>
          <w:iCs/>
          <w:color w:val="000000"/>
        </w:rPr>
        <w:t>Human resources for health</w:t>
      </w:r>
      <w:r w:rsidRPr="00C5262C">
        <w:rPr>
          <w:color w:val="000000"/>
        </w:rPr>
        <w:t>, 23(1), p.27. doi:https://doi.org/10.1186/s12960-025-01000-8</w:t>
      </w:r>
      <w:r w:rsidR="007F4CC8">
        <w:rPr>
          <w:color w:val="000000"/>
        </w:rPr>
        <w:t xml:space="preserve"> (Accessed 7 Mar. 2026).</w:t>
      </w:r>
    </w:p>
    <w:p w14:paraId="79B85CB5" w14:textId="4BC72A73" w:rsidR="00C5262C" w:rsidRPr="00C5262C" w:rsidRDefault="00C5262C" w:rsidP="00C5262C">
      <w:pPr>
        <w:spacing w:after="240" w:line="360" w:lineRule="atLeast"/>
        <w:rPr>
          <w:color w:val="000000"/>
        </w:rPr>
      </w:pPr>
      <w:r w:rsidRPr="00C5262C">
        <w:rPr>
          <w:color w:val="000000"/>
        </w:rPr>
        <w:t>and, C. (2026). </w:t>
      </w:r>
      <w:r w:rsidRPr="00C5262C">
        <w:rPr>
          <w:i/>
          <w:iCs/>
          <w:color w:val="000000"/>
        </w:rPr>
        <w:t>Local Outcomes Framework</w:t>
      </w:r>
      <w:r w:rsidRPr="00C5262C">
        <w:rPr>
          <w:color w:val="000000"/>
        </w:rPr>
        <w:t xml:space="preserve">.GOV.UK. Available at: https://www.gov.uk/government/publications/local-outcomes-framework/local-outcomes-framework </w:t>
      </w:r>
      <w:r w:rsidR="007F4CC8">
        <w:rPr>
          <w:color w:val="000000"/>
        </w:rPr>
        <w:t>(</w:t>
      </w:r>
      <w:r w:rsidRPr="00C5262C">
        <w:rPr>
          <w:color w:val="000000"/>
        </w:rPr>
        <w:t>Accessed 9 Mar. 2026</w:t>
      </w:r>
      <w:r w:rsidR="007F4CC8">
        <w:rPr>
          <w:color w:val="000000"/>
        </w:rPr>
        <w:t>)</w:t>
      </w:r>
      <w:r w:rsidRPr="00C5262C">
        <w:rPr>
          <w:color w:val="000000"/>
        </w:rPr>
        <w:t>.</w:t>
      </w:r>
    </w:p>
    <w:p w14:paraId="30C98A3C" w14:textId="723D9349" w:rsidR="00C5262C" w:rsidRPr="00C5262C" w:rsidRDefault="00C5262C" w:rsidP="00C5262C">
      <w:pPr>
        <w:spacing w:after="240" w:line="360" w:lineRule="atLeast"/>
        <w:rPr>
          <w:color w:val="000000"/>
        </w:rPr>
      </w:pPr>
      <w:r w:rsidRPr="00C5262C">
        <w:rPr>
          <w:color w:val="000000"/>
        </w:rPr>
        <w:t>Bansal, N., Karlsen, S., Sashidharan, S.P., Cohen, R., Chew-Graham, C.A. and Malpass, A. (2022). Understanding Ethnic Inequalities in Mental Healthcare in the UK: a meta-ethnography. </w:t>
      </w:r>
      <w:r w:rsidRPr="00C5262C">
        <w:rPr>
          <w:i/>
          <w:iCs/>
          <w:color w:val="000000"/>
        </w:rPr>
        <w:t>PLOS Medicine</w:t>
      </w:r>
      <w:r w:rsidRPr="00C5262C">
        <w:rPr>
          <w:color w:val="000000"/>
        </w:rPr>
        <w:t>,19(12), pp.1–36. doi:https://doi.org/10.1371/journal.pmed.1004139</w:t>
      </w:r>
      <w:r w:rsidR="007F4CC8">
        <w:rPr>
          <w:color w:val="000000"/>
        </w:rPr>
        <w:t xml:space="preserve"> (Accessed 7 Mar. 2026).</w:t>
      </w:r>
    </w:p>
    <w:p w14:paraId="3EC8EAA7" w14:textId="1FBB4CDB" w:rsidR="00C5262C" w:rsidRPr="00C5262C" w:rsidRDefault="00C5262C" w:rsidP="00C5262C">
      <w:pPr>
        <w:spacing w:after="240" w:line="360" w:lineRule="atLeast"/>
        <w:rPr>
          <w:color w:val="000000"/>
        </w:rPr>
      </w:pPr>
      <w:r w:rsidRPr="00C5262C">
        <w:rPr>
          <w:color w:val="000000"/>
        </w:rPr>
        <w:t>Birmingham City Council (2023). </w:t>
      </w:r>
      <w:r w:rsidRPr="00C5262C">
        <w:rPr>
          <w:i/>
          <w:iCs/>
          <w:color w:val="000000"/>
        </w:rPr>
        <w:t>Health and Wellbeing Strategy</w:t>
      </w:r>
      <w:r w:rsidRPr="00C5262C">
        <w:rPr>
          <w:color w:val="000000"/>
        </w:rPr>
        <w:t xml:space="preserve">. www.birmingham.gov.uk. Available at: https://www.birmingham.gov.uk/info/50119/health_and_wellbeing_board/1300/health_and_wellbeing_strategy </w:t>
      </w:r>
      <w:r w:rsidR="007F4CC8">
        <w:rPr>
          <w:color w:val="000000"/>
        </w:rPr>
        <w:t>(</w:t>
      </w:r>
      <w:r w:rsidRPr="00C5262C">
        <w:rPr>
          <w:color w:val="000000"/>
        </w:rPr>
        <w:t xml:space="preserve">Accessed </w:t>
      </w:r>
      <w:r w:rsidR="007F4CC8">
        <w:rPr>
          <w:color w:val="000000"/>
        </w:rPr>
        <w:t xml:space="preserve">8 </w:t>
      </w:r>
      <w:r w:rsidRPr="00C5262C">
        <w:rPr>
          <w:color w:val="000000"/>
        </w:rPr>
        <w:t>Mar. 2026</w:t>
      </w:r>
      <w:r w:rsidR="007F4CC8">
        <w:rPr>
          <w:color w:val="000000"/>
        </w:rPr>
        <w:t>)</w:t>
      </w:r>
      <w:r w:rsidRPr="00C5262C">
        <w:rPr>
          <w:color w:val="000000"/>
        </w:rPr>
        <w:t>.</w:t>
      </w:r>
    </w:p>
    <w:p w14:paraId="3CDECDC1" w14:textId="26F0D798" w:rsidR="00C5262C" w:rsidRPr="00C5262C" w:rsidRDefault="00C5262C" w:rsidP="00C5262C">
      <w:pPr>
        <w:spacing w:after="240" w:line="360" w:lineRule="atLeast"/>
        <w:rPr>
          <w:color w:val="000000"/>
        </w:rPr>
      </w:pPr>
      <w:r w:rsidRPr="00C5262C">
        <w:rPr>
          <w:color w:val="000000"/>
        </w:rPr>
        <w:t>Cairney, P., St.Denny, E. and Boswell, J. (2022). Why is health improvement policy so difficult to secure? </w:t>
      </w:r>
      <w:r w:rsidRPr="00C5262C">
        <w:rPr>
          <w:i/>
          <w:iCs/>
          <w:color w:val="000000"/>
        </w:rPr>
        <w:t>Open Research Europe</w:t>
      </w:r>
      <w:r w:rsidRPr="00C5262C">
        <w:rPr>
          <w:color w:val="000000"/>
        </w:rPr>
        <w:t>, 2, p.76. doi:https://doi.org/10.12688/openreseurope.14841.2</w:t>
      </w:r>
      <w:r w:rsidR="007F4CC8">
        <w:rPr>
          <w:color w:val="000000"/>
        </w:rPr>
        <w:t xml:space="preserve"> (Accessed 8 Mar. 2026).</w:t>
      </w:r>
    </w:p>
    <w:p w14:paraId="4A882AB9" w14:textId="378B44B9" w:rsidR="00C5262C" w:rsidRPr="00C5262C" w:rsidRDefault="00C5262C" w:rsidP="00C5262C">
      <w:pPr>
        <w:spacing w:after="240" w:line="360" w:lineRule="atLeast"/>
        <w:rPr>
          <w:color w:val="000000"/>
        </w:rPr>
      </w:pPr>
      <w:r w:rsidRPr="00C5262C">
        <w:rPr>
          <w:color w:val="000000"/>
        </w:rPr>
        <w:t>Chimukuche, R.S., Zuma, T., Wambua, G.N., Manyaapelo, T., Edwards, A., Chimbindi, N., Orievulu, K., Gumede, D., Myburgh, N., Cloete, A., Seeley, J. and Ngwenya, N. (2025). Challenges and opportunities in achieving sustainable development goal 3 in KwaZulu-Natal: reflections from a research institute, South Africa. </w:t>
      </w:r>
      <w:r w:rsidRPr="00C5262C">
        <w:rPr>
          <w:i/>
          <w:iCs/>
          <w:color w:val="000000"/>
        </w:rPr>
        <w:t>BMC Public Health</w:t>
      </w:r>
      <w:r w:rsidRPr="00C5262C">
        <w:rPr>
          <w:color w:val="000000"/>
        </w:rPr>
        <w:t>, 25(1). doi:https://doi.org/10.1186/s12889-025-24306-7</w:t>
      </w:r>
      <w:r w:rsidR="007F4CC8">
        <w:rPr>
          <w:color w:val="000000"/>
        </w:rPr>
        <w:t xml:space="preserve"> (Accessed 6 Mar. 2026).</w:t>
      </w:r>
    </w:p>
    <w:p w14:paraId="64DBCB3B" w14:textId="215221CB" w:rsidR="00C5262C" w:rsidRPr="00C5262C" w:rsidRDefault="00C5262C" w:rsidP="00C5262C">
      <w:pPr>
        <w:spacing w:after="240" w:line="360" w:lineRule="atLeast"/>
        <w:rPr>
          <w:color w:val="000000"/>
        </w:rPr>
      </w:pPr>
      <w:r w:rsidRPr="00C5262C">
        <w:rPr>
          <w:color w:val="000000"/>
        </w:rPr>
        <w:lastRenderedPageBreak/>
        <w:t>Devine, P.G. and Ash, T.L. (2021). Diversity Training Goals, Limitations, and Promise: A Review of the Multidisciplinary Literature. </w:t>
      </w:r>
      <w:r w:rsidRPr="00C5262C">
        <w:rPr>
          <w:i/>
          <w:iCs/>
          <w:color w:val="000000"/>
        </w:rPr>
        <w:t>Annual Review of Psychology</w:t>
      </w:r>
      <w:r w:rsidRPr="00C5262C">
        <w:rPr>
          <w:color w:val="000000"/>
        </w:rPr>
        <w:t>, 73(1), pp.403–429. doi:https://doi.org/10.1146/annurev-psych-060221-122215</w:t>
      </w:r>
      <w:r w:rsidR="007F4CC8">
        <w:rPr>
          <w:color w:val="000000"/>
        </w:rPr>
        <w:t xml:space="preserve"> (Accessed 8 Mar. 2026).</w:t>
      </w:r>
    </w:p>
    <w:p w14:paraId="5F106FF9" w14:textId="16E686E5" w:rsidR="00C5262C" w:rsidRPr="00C5262C" w:rsidRDefault="00C5262C" w:rsidP="00C5262C">
      <w:pPr>
        <w:spacing w:after="240" w:line="360" w:lineRule="atLeast"/>
        <w:rPr>
          <w:color w:val="000000"/>
        </w:rPr>
      </w:pPr>
      <w:r w:rsidRPr="00C5262C">
        <w:rPr>
          <w:color w:val="000000"/>
        </w:rPr>
        <w:t>Filho, W.L., Wolf, F., Lange Salvia, A., Beynaghi, A., Shulla, K., Kovaleva, M. and Vasconcelos, C.R.P. (2020). Heading towards an unsustainable world: some of the implications of not achieving the SDGs. </w:t>
      </w:r>
      <w:r w:rsidRPr="00C5262C">
        <w:rPr>
          <w:i/>
          <w:iCs/>
          <w:color w:val="000000"/>
        </w:rPr>
        <w:t>Discover Sustainability</w:t>
      </w:r>
      <w:r w:rsidRPr="00C5262C">
        <w:rPr>
          <w:color w:val="000000"/>
        </w:rPr>
        <w:t xml:space="preserve">, 1(1). Available at: https://link.springer.com/article/10.1007/s43621-020-00002-x </w:t>
      </w:r>
      <w:r w:rsidR="007F4CC8">
        <w:rPr>
          <w:color w:val="000000"/>
        </w:rPr>
        <w:t>(</w:t>
      </w:r>
      <w:r w:rsidRPr="00C5262C">
        <w:rPr>
          <w:color w:val="000000"/>
        </w:rPr>
        <w:t>Accessed 9 Mar. 2026</w:t>
      </w:r>
      <w:r w:rsidR="007F4CC8">
        <w:rPr>
          <w:color w:val="000000"/>
        </w:rPr>
        <w:t>)</w:t>
      </w:r>
      <w:r w:rsidRPr="00C5262C">
        <w:rPr>
          <w:color w:val="000000"/>
        </w:rPr>
        <w:t>.</w:t>
      </w:r>
    </w:p>
    <w:p w14:paraId="14A47F9F" w14:textId="13734FB0" w:rsidR="00C5262C" w:rsidRPr="00C5262C" w:rsidRDefault="00C5262C" w:rsidP="00C5262C">
      <w:pPr>
        <w:spacing w:after="240" w:line="360" w:lineRule="atLeast"/>
        <w:rPr>
          <w:color w:val="000000"/>
        </w:rPr>
      </w:pPr>
      <w:r w:rsidRPr="00C5262C">
        <w:rPr>
          <w:color w:val="000000"/>
        </w:rPr>
        <w:t>Funer, F. (2023). Admitting the heterogeneity of social inequalities: intersectionality as a (self-)critical framework and tool within mental health care. </w:t>
      </w:r>
      <w:r w:rsidRPr="00C5262C">
        <w:rPr>
          <w:i/>
          <w:iCs/>
          <w:color w:val="000000"/>
        </w:rPr>
        <w:t>Philosophy, Ethics, and Humanities in Medicine</w:t>
      </w:r>
      <w:r w:rsidRPr="00C5262C">
        <w:rPr>
          <w:color w:val="000000"/>
        </w:rPr>
        <w:t>, 18(1). doi:https://doi.org/10.1186/s13010-023-00144-6</w:t>
      </w:r>
      <w:r w:rsidR="007F4CC8">
        <w:rPr>
          <w:color w:val="000000"/>
        </w:rPr>
        <w:t xml:space="preserve"> (Accessed 6 Mar. 2026).</w:t>
      </w:r>
    </w:p>
    <w:p w14:paraId="05C0BA47" w14:textId="27979CC4" w:rsidR="00C5262C" w:rsidRPr="00C5262C" w:rsidRDefault="00C5262C" w:rsidP="00C5262C">
      <w:pPr>
        <w:spacing w:after="240" w:line="360" w:lineRule="atLeast"/>
        <w:rPr>
          <w:color w:val="000000"/>
        </w:rPr>
      </w:pPr>
      <w:r w:rsidRPr="00C5262C">
        <w:rPr>
          <w:color w:val="000000"/>
        </w:rPr>
        <w:t>Geddes, I., Allen, J., Allen, M. and Morrisey, L. (2020). </w:t>
      </w:r>
      <w:r w:rsidRPr="00C5262C">
        <w:rPr>
          <w:i/>
          <w:iCs/>
          <w:color w:val="000000"/>
        </w:rPr>
        <w:t>The Marmot Review: implications for Spatial Planning</w:t>
      </w:r>
      <w:r w:rsidRPr="00C5262C">
        <w:rPr>
          <w:color w:val="000000"/>
        </w:rPr>
        <w:t xml:space="preserve">. Available at: https://www.nice.org.uk/media/default/About/what-we-do/NICE-guidance/NICE-guidelines/Public-health-guidelines/Additional-publications/Spatial-planning/the-marmot-review-implications-for-spatial-planning.pdf </w:t>
      </w:r>
      <w:r w:rsidR="000F68D7">
        <w:rPr>
          <w:color w:val="000000"/>
        </w:rPr>
        <w:t>(</w:t>
      </w:r>
      <w:r w:rsidRPr="00C5262C">
        <w:rPr>
          <w:color w:val="000000"/>
        </w:rPr>
        <w:t>Accessed 7 Mar. 2026</w:t>
      </w:r>
      <w:r w:rsidR="000F68D7">
        <w:rPr>
          <w:color w:val="000000"/>
        </w:rPr>
        <w:t>)</w:t>
      </w:r>
      <w:r w:rsidRPr="00C5262C">
        <w:rPr>
          <w:color w:val="000000"/>
        </w:rPr>
        <w:t>.</w:t>
      </w:r>
    </w:p>
    <w:p w14:paraId="4DB6DC28" w14:textId="4CA93CF1" w:rsidR="00C5262C" w:rsidRPr="00C5262C" w:rsidRDefault="00C5262C" w:rsidP="00C5262C">
      <w:pPr>
        <w:spacing w:after="240" w:line="360" w:lineRule="atLeast"/>
        <w:rPr>
          <w:color w:val="000000"/>
        </w:rPr>
      </w:pPr>
      <w:r w:rsidRPr="00C5262C">
        <w:rPr>
          <w:color w:val="000000"/>
        </w:rPr>
        <w:t>Halsall, T., Orpana, H. and Jan, M. (2025). Tracing the undercurrents: a scoping review of the lifestyle drift concept. </w:t>
      </w:r>
      <w:r w:rsidRPr="00C5262C">
        <w:rPr>
          <w:i/>
          <w:iCs/>
          <w:color w:val="000000"/>
        </w:rPr>
        <w:t>BMC Public Health</w:t>
      </w:r>
      <w:r w:rsidRPr="00C5262C">
        <w:rPr>
          <w:color w:val="000000"/>
        </w:rPr>
        <w:t>. doi:https://doi.org/10.1186/s12889-025-25616-6</w:t>
      </w:r>
      <w:r w:rsidR="000F68D7">
        <w:rPr>
          <w:color w:val="000000"/>
        </w:rPr>
        <w:t xml:space="preserve"> (Accessed 8 Mar. 2026).</w:t>
      </w:r>
    </w:p>
    <w:p w14:paraId="7B28C45E" w14:textId="66943CAC" w:rsidR="00C5262C" w:rsidRPr="00C5262C" w:rsidRDefault="00C5262C" w:rsidP="00C5262C">
      <w:pPr>
        <w:spacing w:after="240" w:line="360" w:lineRule="atLeast"/>
        <w:rPr>
          <w:color w:val="000000"/>
        </w:rPr>
      </w:pPr>
      <w:r w:rsidRPr="00C5262C">
        <w:rPr>
          <w:color w:val="000000"/>
        </w:rPr>
        <w:t>Hayre, J., Canning, E., Pearce, H., Khera, R. and Ford, J. (2026). Public health policies and interventions to address health inequities in high-income countries: an umbrella review. </w:t>
      </w:r>
      <w:r w:rsidRPr="00C5262C">
        <w:rPr>
          <w:i/>
          <w:iCs/>
          <w:color w:val="000000"/>
        </w:rPr>
        <w:t>BMC Public Health</w:t>
      </w:r>
      <w:r w:rsidRPr="00C5262C">
        <w:rPr>
          <w:color w:val="000000"/>
        </w:rPr>
        <w:t>, 26(1). doi:https://doi.org/10.1186/s12889-025-25876-2</w:t>
      </w:r>
      <w:r w:rsidR="000F68D7">
        <w:rPr>
          <w:color w:val="000000"/>
        </w:rPr>
        <w:t xml:space="preserve"> (Accessed 7 Mar. 2026).</w:t>
      </w:r>
    </w:p>
    <w:p w14:paraId="6602422E" w14:textId="457F1CA5" w:rsidR="00C5262C" w:rsidRPr="00C5262C" w:rsidRDefault="00C5262C" w:rsidP="00C5262C">
      <w:pPr>
        <w:spacing w:after="240" w:line="360" w:lineRule="atLeast"/>
        <w:rPr>
          <w:color w:val="000000"/>
        </w:rPr>
      </w:pPr>
      <w:r w:rsidRPr="00C5262C">
        <w:rPr>
          <w:color w:val="000000"/>
        </w:rPr>
        <w:t>Horck, S.S., Crone, M., Kamphuis, C.B.M., Stevens, G.W.J.M., Dedding, C., Bussemaker, J., van der Pas, S. and van Berkel, J. (2025). Exploring what works, for whom, under what circumstances to transform systems: realist synthesis protocol of four ongoing studies and literature addressing health inequalities. </w:t>
      </w:r>
      <w:r w:rsidRPr="00C5262C">
        <w:rPr>
          <w:i/>
          <w:iCs/>
          <w:color w:val="000000"/>
        </w:rPr>
        <w:t>BMJ Open</w:t>
      </w:r>
      <w:r w:rsidRPr="00C5262C">
        <w:rPr>
          <w:color w:val="000000"/>
        </w:rPr>
        <w:t>, 15(12), p.e110455. doi:https://doi.org/10.1136/bmjopen-2025-110455</w:t>
      </w:r>
      <w:r w:rsidR="000F68D7">
        <w:rPr>
          <w:color w:val="000000"/>
        </w:rPr>
        <w:t xml:space="preserve"> (Accessed 6 Mar. 2026).</w:t>
      </w:r>
    </w:p>
    <w:p w14:paraId="7FB1DE9C" w14:textId="0ED5CA5C" w:rsidR="00C5262C" w:rsidRPr="00C5262C" w:rsidRDefault="00C5262C" w:rsidP="00C5262C">
      <w:pPr>
        <w:spacing w:after="240" w:line="360" w:lineRule="atLeast"/>
        <w:rPr>
          <w:color w:val="000000"/>
        </w:rPr>
      </w:pPr>
      <w:r w:rsidRPr="00C5262C">
        <w:rPr>
          <w:color w:val="000000"/>
        </w:rPr>
        <w:t>Jahnel, T., Dassow, H.-H., Gerhardus, A. and Schüz, B. (2022). The digital rainbow: Digital determinants of health inequities. </w:t>
      </w:r>
      <w:r w:rsidRPr="00C5262C">
        <w:rPr>
          <w:i/>
          <w:iCs/>
          <w:color w:val="000000"/>
        </w:rPr>
        <w:t>Digital Health</w:t>
      </w:r>
      <w:r w:rsidRPr="00C5262C">
        <w:rPr>
          <w:color w:val="000000"/>
        </w:rPr>
        <w:t>, 8(8). doi:https://doi.org/10.1177/20552076221129093</w:t>
      </w:r>
      <w:r w:rsidR="000F68D7">
        <w:rPr>
          <w:color w:val="000000"/>
        </w:rPr>
        <w:t xml:space="preserve"> (Accessed 8 Mar. 2026).</w:t>
      </w:r>
    </w:p>
    <w:p w14:paraId="65B60932" w14:textId="1B5A0478" w:rsidR="00C5262C" w:rsidRPr="00C5262C" w:rsidRDefault="00C5262C" w:rsidP="00C5262C">
      <w:pPr>
        <w:spacing w:after="240" w:line="360" w:lineRule="atLeast"/>
        <w:rPr>
          <w:color w:val="000000"/>
        </w:rPr>
      </w:pPr>
      <w:r w:rsidRPr="00C5262C">
        <w:rPr>
          <w:color w:val="000000"/>
        </w:rPr>
        <w:t xml:space="preserve">Kruk, M.E., Gage, A.D., Arsenault, C., Jordan, K., Leslie, H.H., Roder-DeWan, S., Adeyi, O., Barker, P., Daelmans, B., Doubova, S.V., English, M., Elorrio, E.G., Guanais, F., Gureje, </w:t>
      </w:r>
      <w:r w:rsidRPr="00C5262C">
        <w:rPr>
          <w:color w:val="000000"/>
        </w:rPr>
        <w:lastRenderedPageBreak/>
        <w:t>O., Hirschhorn, L.R., Jiang, L., Kelley, E., Lemango, E.T., Liljestrand, J. and Malata, A. (2018). High-quality Health Systems in the Sustainable Development Goals era: Time for a Revolution. </w:t>
      </w:r>
      <w:r w:rsidRPr="00C5262C">
        <w:rPr>
          <w:i/>
          <w:iCs/>
          <w:color w:val="000000"/>
        </w:rPr>
        <w:t>The Lancet Global Health</w:t>
      </w:r>
      <w:r w:rsidRPr="00C5262C">
        <w:rPr>
          <w:color w:val="000000"/>
        </w:rPr>
        <w:t xml:space="preserve">, 6(11), pp.e1196–e1252. Available at: https://www.thelancet.com/journals/langlo/article/PIIS2214-109X(18)30386-3/fulltext </w:t>
      </w:r>
      <w:r w:rsidR="000F68D7">
        <w:rPr>
          <w:color w:val="000000"/>
        </w:rPr>
        <w:t>(</w:t>
      </w:r>
      <w:r w:rsidRPr="00C5262C">
        <w:rPr>
          <w:color w:val="000000"/>
        </w:rPr>
        <w:t>Accessed 6 Mar. 2026</w:t>
      </w:r>
      <w:r w:rsidR="000F68D7">
        <w:rPr>
          <w:color w:val="000000"/>
        </w:rPr>
        <w:t>)</w:t>
      </w:r>
      <w:r w:rsidRPr="00C5262C">
        <w:rPr>
          <w:color w:val="000000"/>
        </w:rPr>
        <w:t>.</w:t>
      </w:r>
    </w:p>
    <w:p w14:paraId="138BAD31" w14:textId="2762A5BF" w:rsidR="00C5262C" w:rsidRPr="00C5262C" w:rsidRDefault="00C5262C" w:rsidP="00C5262C">
      <w:pPr>
        <w:spacing w:after="240" w:line="360" w:lineRule="atLeast"/>
        <w:rPr>
          <w:color w:val="000000"/>
        </w:rPr>
      </w:pPr>
      <w:r w:rsidRPr="00C5262C">
        <w:rPr>
          <w:color w:val="000000"/>
        </w:rPr>
        <w:t>Marmot, M. (2020). </w:t>
      </w:r>
      <w:r w:rsidRPr="00C5262C">
        <w:rPr>
          <w:i/>
          <w:iCs/>
          <w:color w:val="000000"/>
        </w:rPr>
        <w:t>HEALTH EQUITY IN ENGLAND: THE MARMOT REVIEW 10 YEARS ON EXECUTIVE SUMMARY</w:t>
      </w:r>
      <w:r w:rsidRPr="00C5262C">
        <w:rPr>
          <w:color w:val="000000"/>
        </w:rPr>
        <w:t xml:space="preserve">. Available at: https://www.health.org.uk/sites/default/files/2020-03/Health%20Equity%20in%20England_The%20Marmot%20Review%2010%20Years%20On_executive%20summary_web.pdf </w:t>
      </w:r>
      <w:r w:rsidR="000F68D7">
        <w:rPr>
          <w:color w:val="000000"/>
        </w:rPr>
        <w:t>(</w:t>
      </w:r>
      <w:r w:rsidRPr="00C5262C">
        <w:rPr>
          <w:color w:val="000000"/>
        </w:rPr>
        <w:t>Accessed 8 Mar. 2026</w:t>
      </w:r>
      <w:r w:rsidR="000F68D7">
        <w:rPr>
          <w:color w:val="000000"/>
        </w:rPr>
        <w:t>)</w:t>
      </w:r>
      <w:r w:rsidRPr="00C5262C">
        <w:rPr>
          <w:color w:val="000000"/>
        </w:rPr>
        <w:t>.</w:t>
      </w:r>
    </w:p>
    <w:p w14:paraId="707FE519" w14:textId="47FDE589" w:rsidR="00C5262C" w:rsidRPr="00C5262C" w:rsidRDefault="00C5262C" w:rsidP="00C5262C">
      <w:pPr>
        <w:spacing w:after="240" w:line="360" w:lineRule="atLeast"/>
        <w:rPr>
          <w:color w:val="000000"/>
        </w:rPr>
      </w:pPr>
      <w:r w:rsidRPr="00C5262C">
        <w:rPr>
          <w:color w:val="000000"/>
        </w:rPr>
        <w:t>Marmot, M., Allen, J., Boyce, T., Goldblatt, P. and Morrison, J. (2020a). </w:t>
      </w:r>
      <w:r w:rsidRPr="00C5262C">
        <w:rPr>
          <w:i/>
          <w:iCs/>
          <w:color w:val="000000"/>
        </w:rPr>
        <w:t>Health Equity in England: the Marmot Review 10 Years On</w:t>
      </w:r>
      <w:r w:rsidRPr="00C5262C">
        <w:rPr>
          <w:color w:val="000000"/>
        </w:rPr>
        <w:t xml:space="preserve">. Institute of Health Equity. Available at: https://www.instituteofhealthequity.org/resources-reports/marmot-review-10-years-on/the-marmot-review-10-years-on-full-report.pdf </w:t>
      </w:r>
      <w:r w:rsidR="000F68D7">
        <w:rPr>
          <w:color w:val="000000"/>
        </w:rPr>
        <w:t>(</w:t>
      </w:r>
      <w:r w:rsidRPr="00C5262C">
        <w:rPr>
          <w:color w:val="000000"/>
        </w:rPr>
        <w:t>Accessed 7 Mar. 2026</w:t>
      </w:r>
      <w:r w:rsidR="000F68D7">
        <w:rPr>
          <w:color w:val="000000"/>
        </w:rPr>
        <w:t>)</w:t>
      </w:r>
      <w:r w:rsidRPr="00C5262C">
        <w:rPr>
          <w:color w:val="000000"/>
        </w:rPr>
        <w:t>.</w:t>
      </w:r>
    </w:p>
    <w:p w14:paraId="7584E80A" w14:textId="7DF9EF43" w:rsidR="00C5262C" w:rsidRPr="00C5262C" w:rsidRDefault="00C5262C" w:rsidP="00C5262C">
      <w:pPr>
        <w:spacing w:after="240" w:line="360" w:lineRule="atLeast"/>
        <w:rPr>
          <w:color w:val="000000"/>
        </w:rPr>
      </w:pPr>
      <w:r w:rsidRPr="00C5262C">
        <w:rPr>
          <w:color w:val="000000"/>
        </w:rPr>
        <w:t>Marmot, M., Allen, J., Boyce, T., Goldblatt, P. and Morrison, J. (2020b). </w:t>
      </w:r>
      <w:r w:rsidRPr="00C5262C">
        <w:rPr>
          <w:i/>
          <w:iCs/>
          <w:color w:val="000000"/>
        </w:rPr>
        <w:t>Marmot Review 10 Years on - Institute of Health Equity</w:t>
      </w:r>
      <w:r w:rsidRPr="00C5262C">
        <w:rPr>
          <w:color w:val="000000"/>
        </w:rPr>
        <w:t>.</w:t>
      </w:r>
      <w:r w:rsidR="000F68D7">
        <w:rPr>
          <w:color w:val="000000"/>
        </w:rPr>
        <w:t xml:space="preserve"> </w:t>
      </w:r>
      <w:r w:rsidRPr="00C5262C">
        <w:rPr>
          <w:color w:val="000000"/>
        </w:rPr>
        <w:t xml:space="preserve">Institute of Health Equity. Available at: https://www.instituteofhealthequity.org/resources-reports/marmot-review-10-years-on </w:t>
      </w:r>
      <w:r w:rsidR="000F68D7">
        <w:rPr>
          <w:color w:val="000000"/>
        </w:rPr>
        <w:t>(</w:t>
      </w:r>
      <w:r w:rsidRPr="00C5262C">
        <w:rPr>
          <w:color w:val="000000"/>
        </w:rPr>
        <w:t>Accessed 5 Mar. 2026</w:t>
      </w:r>
      <w:r w:rsidR="000F68D7">
        <w:rPr>
          <w:color w:val="000000"/>
        </w:rPr>
        <w:t>)</w:t>
      </w:r>
      <w:r w:rsidRPr="00C5262C">
        <w:rPr>
          <w:color w:val="000000"/>
        </w:rPr>
        <w:t>.</w:t>
      </w:r>
    </w:p>
    <w:p w14:paraId="11D37B2B" w14:textId="44E57B9E" w:rsidR="00C5262C" w:rsidRDefault="00C5262C" w:rsidP="00C5262C">
      <w:pPr>
        <w:spacing w:after="240" w:line="360" w:lineRule="atLeast"/>
        <w:rPr>
          <w:color w:val="000000"/>
        </w:rPr>
      </w:pPr>
      <w:r w:rsidRPr="00C5262C">
        <w:rPr>
          <w:color w:val="000000"/>
        </w:rPr>
        <w:t>Oxfam (2024). </w:t>
      </w:r>
      <w:r w:rsidRPr="00C5262C">
        <w:rPr>
          <w:i/>
          <w:iCs/>
          <w:color w:val="000000"/>
        </w:rPr>
        <w:t>World’s top 1% own more wealth than 95% of humanity, as ‘the shadow of global oligarchy hangs over UN General Assembly,’ says Oxfam | Oxfam International</w:t>
      </w:r>
      <w:r w:rsidRPr="00C5262C">
        <w:rPr>
          <w:color w:val="000000"/>
        </w:rPr>
        <w:t xml:space="preserve">. Oxfam International. Available at: https://www.oxfam.org/en/press-releases/worlds-top-1-own-more-wealth-95-humanity-shadow-global-oligarchy-hangs-over-un </w:t>
      </w:r>
      <w:r w:rsidR="000F68D7">
        <w:rPr>
          <w:color w:val="000000"/>
        </w:rPr>
        <w:t>(</w:t>
      </w:r>
      <w:r w:rsidRPr="00C5262C">
        <w:rPr>
          <w:color w:val="000000"/>
        </w:rPr>
        <w:t>Accessed 8 Mar. 2026</w:t>
      </w:r>
      <w:r w:rsidR="000F68D7">
        <w:rPr>
          <w:color w:val="000000"/>
        </w:rPr>
        <w:t>)</w:t>
      </w:r>
      <w:r w:rsidRPr="00C5262C">
        <w:rPr>
          <w:color w:val="000000"/>
        </w:rPr>
        <w:t>.</w:t>
      </w:r>
    </w:p>
    <w:p w14:paraId="32C42D66" w14:textId="6DD55271" w:rsidR="00BF27FA" w:rsidRPr="00C5262C" w:rsidRDefault="00BF27FA" w:rsidP="00C5262C">
      <w:pPr>
        <w:spacing w:after="240" w:line="360" w:lineRule="atLeast"/>
        <w:rPr>
          <w:color w:val="000000"/>
        </w:rPr>
      </w:pPr>
      <w:r w:rsidRPr="00BF27FA">
        <w:rPr>
          <w:color w:val="000000"/>
        </w:rPr>
        <w:t>Park, C.L., Kubzansky, L.D., Chafouleas, S.M., Davidson, R.J., Keltner, D., Parsafar, P., Conwell, Y., Martin, M.Y., Hanmer, J. and Wang, K.H. (2022). Emotional Well-Being: What It Is and Why It Matters. </w:t>
      </w:r>
      <w:r w:rsidRPr="00BF27FA">
        <w:rPr>
          <w:i/>
          <w:iCs/>
          <w:color w:val="000000"/>
        </w:rPr>
        <w:t>Affective Science</w:t>
      </w:r>
      <w:r w:rsidRPr="00BF27FA">
        <w:rPr>
          <w:color w:val="000000"/>
        </w:rPr>
        <w:t>, [online] 4(1). doi:https://doi.org/10.1007/s42761-022-00163-0</w:t>
      </w:r>
      <w:r>
        <w:rPr>
          <w:color w:val="000000"/>
        </w:rPr>
        <w:t xml:space="preserve"> (Accessed 9 Mar. 2026).</w:t>
      </w:r>
    </w:p>
    <w:p w14:paraId="7928C87B" w14:textId="53BD5038" w:rsidR="00C5262C" w:rsidRPr="00C5262C" w:rsidRDefault="00C5262C" w:rsidP="00C5262C">
      <w:pPr>
        <w:spacing w:after="240" w:line="360" w:lineRule="atLeast"/>
        <w:rPr>
          <w:color w:val="000000"/>
        </w:rPr>
      </w:pPr>
      <w:r w:rsidRPr="00C5262C">
        <w:rPr>
          <w:color w:val="000000"/>
        </w:rPr>
        <w:t>Pickett, K.E. and Wilkinson, R.G. (2015). Income Inequality and health: a Causal Review. </w:t>
      </w:r>
      <w:r w:rsidRPr="00C5262C">
        <w:rPr>
          <w:i/>
          <w:iCs/>
          <w:color w:val="000000"/>
        </w:rPr>
        <w:t>Social Science &amp; Medicine</w:t>
      </w:r>
      <w:r w:rsidRPr="00C5262C">
        <w:rPr>
          <w:color w:val="000000"/>
        </w:rPr>
        <w:t>, 128, pp.316–326. doi:https://doi.org/10.1016/j.socscimed.2014.12.031</w:t>
      </w:r>
      <w:r w:rsidR="000F68D7">
        <w:rPr>
          <w:color w:val="000000"/>
        </w:rPr>
        <w:t xml:space="preserve"> (Accessed 8 Mar. 2026).</w:t>
      </w:r>
    </w:p>
    <w:p w14:paraId="2CA008CD" w14:textId="0C6983C7" w:rsidR="00C5262C" w:rsidRPr="00C5262C" w:rsidRDefault="00C5262C" w:rsidP="00C5262C">
      <w:pPr>
        <w:spacing w:after="240" w:line="360" w:lineRule="atLeast"/>
        <w:rPr>
          <w:color w:val="000000"/>
        </w:rPr>
      </w:pPr>
      <w:r w:rsidRPr="00C5262C">
        <w:rPr>
          <w:color w:val="000000"/>
        </w:rPr>
        <w:t>The King's Fund (2024). </w:t>
      </w:r>
      <w:r w:rsidRPr="00C5262C">
        <w:rPr>
          <w:i/>
          <w:iCs/>
          <w:color w:val="000000"/>
        </w:rPr>
        <w:t>Health Inequalities in a Nutshell</w:t>
      </w:r>
      <w:r w:rsidRPr="00C5262C">
        <w:rPr>
          <w:color w:val="000000"/>
        </w:rPr>
        <w:t xml:space="preserve">. The King’s Fund. Available at: https://www.kingsfund.org.uk/insight-and-analysis/data-and-charts/health-inequalities-nutshell </w:t>
      </w:r>
      <w:r w:rsidR="000F68D7">
        <w:rPr>
          <w:color w:val="000000"/>
        </w:rPr>
        <w:t>(</w:t>
      </w:r>
      <w:r w:rsidRPr="00C5262C">
        <w:rPr>
          <w:color w:val="000000"/>
        </w:rPr>
        <w:t>Accessed 7 Mar. 2026</w:t>
      </w:r>
      <w:r w:rsidR="000F68D7">
        <w:rPr>
          <w:color w:val="000000"/>
        </w:rPr>
        <w:t>)</w:t>
      </w:r>
      <w:r w:rsidRPr="00C5262C">
        <w:rPr>
          <w:color w:val="000000"/>
        </w:rPr>
        <w:t>.</w:t>
      </w:r>
    </w:p>
    <w:p w14:paraId="127E6C87" w14:textId="06B0CC23" w:rsidR="00C5262C" w:rsidRPr="00C5262C" w:rsidRDefault="00C5262C" w:rsidP="00C5262C">
      <w:pPr>
        <w:spacing w:after="240" w:line="360" w:lineRule="atLeast"/>
        <w:rPr>
          <w:color w:val="000000"/>
        </w:rPr>
      </w:pPr>
      <w:r w:rsidRPr="00C5262C">
        <w:rPr>
          <w:color w:val="000000"/>
        </w:rPr>
        <w:lastRenderedPageBreak/>
        <w:t>Tracy, D.K., Lloyd, L.C., Shergill, S.S. and Hanson, K. (2025). Integrated care in practice: lessons from three tiers of healthcare provider and commissioner staff in two London Integrated Care Systems. </w:t>
      </w:r>
      <w:r w:rsidRPr="00C5262C">
        <w:rPr>
          <w:i/>
          <w:iCs/>
          <w:color w:val="000000"/>
        </w:rPr>
        <w:t>BJPsych Open</w:t>
      </w:r>
      <w:r w:rsidRPr="00C5262C">
        <w:rPr>
          <w:color w:val="000000"/>
        </w:rPr>
        <w:t>, 11(5). doi:https://doi.org/10.1192/bjo.2025.10841</w:t>
      </w:r>
      <w:r w:rsidR="000F68D7">
        <w:rPr>
          <w:color w:val="000000"/>
        </w:rPr>
        <w:t xml:space="preserve"> (Accessed 8 Mar. 2026).</w:t>
      </w:r>
    </w:p>
    <w:p w14:paraId="17163888" w14:textId="48F5ED38" w:rsidR="00C5262C" w:rsidRPr="00C5262C" w:rsidRDefault="00C5262C" w:rsidP="00C5262C">
      <w:pPr>
        <w:spacing w:after="240" w:line="360" w:lineRule="atLeast"/>
        <w:rPr>
          <w:color w:val="000000"/>
        </w:rPr>
      </w:pPr>
      <w:r w:rsidRPr="00C5262C">
        <w:rPr>
          <w:color w:val="000000"/>
        </w:rPr>
        <w:t>United Nations (2015a). </w:t>
      </w:r>
      <w:r w:rsidRPr="00C5262C">
        <w:rPr>
          <w:i/>
          <w:iCs/>
          <w:color w:val="000000"/>
        </w:rPr>
        <w:t>The 17 sustainable development goals</w:t>
      </w:r>
      <w:r w:rsidRPr="00C5262C">
        <w:rPr>
          <w:color w:val="000000"/>
        </w:rPr>
        <w:t xml:space="preserve">. United Nations. Available at: https://sdgs.un.org/goals </w:t>
      </w:r>
      <w:r w:rsidR="000F68D7">
        <w:rPr>
          <w:color w:val="000000"/>
        </w:rPr>
        <w:t>(</w:t>
      </w:r>
      <w:r w:rsidRPr="00C5262C">
        <w:rPr>
          <w:color w:val="000000"/>
        </w:rPr>
        <w:t>Accessed 6 Mar. 2026</w:t>
      </w:r>
      <w:r w:rsidR="000F68D7">
        <w:rPr>
          <w:color w:val="000000"/>
        </w:rPr>
        <w:t>)</w:t>
      </w:r>
      <w:r w:rsidRPr="00C5262C">
        <w:rPr>
          <w:color w:val="000000"/>
        </w:rPr>
        <w:t>.</w:t>
      </w:r>
    </w:p>
    <w:p w14:paraId="4A8389CE" w14:textId="2E3D5618" w:rsidR="00C5262C" w:rsidRPr="00C5262C" w:rsidRDefault="00C5262C" w:rsidP="00C5262C">
      <w:pPr>
        <w:spacing w:after="240" w:line="360" w:lineRule="atLeast"/>
        <w:rPr>
          <w:color w:val="000000"/>
        </w:rPr>
      </w:pPr>
      <w:r w:rsidRPr="00C5262C">
        <w:rPr>
          <w:color w:val="000000"/>
        </w:rPr>
        <w:t>United Nations (2015b). </w:t>
      </w:r>
      <w:r w:rsidRPr="00C5262C">
        <w:rPr>
          <w:i/>
          <w:iCs/>
          <w:color w:val="000000"/>
        </w:rPr>
        <w:t>Transforming our world: The 2030 Agenda for Sustainable Development</w:t>
      </w:r>
      <w:r w:rsidRPr="00C5262C">
        <w:rPr>
          <w:color w:val="000000"/>
        </w:rPr>
        <w:t xml:space="preserve">. United Nations. Available at: https://sdgs.un.org/2030agenda </w:t>
      </w:r>
      <w:r w:rsidR="000F68D7">
        <w:rPr>
          <w:color w:val="000000"/>
        </w:rPr>
        <w:t>(</w:t>
      </w:r>
      <w:r w:rsidRPr="00C5262C">
        <w:rPr>
          <w:color w:val="000000"/>
        </w:rPr>
        <w:t>Accessed 6 Mar. 2026</w:t>
      </w:r>
      <w:r w:rsidR="000F68D7">
        <w:rPr>
          <w:color w:val="000000"/>
        </w:rPr>
        <w:t>)</w:t>
      </w:r>
      <w:r w:rsidRPr="00C5262C">
        <w:rPr>
          <w:color w:val="000000"/>
        </w:rPr>
        <w:t>.</w:t>
      </w:r>
    </w:p>
    <w:p w14:paraId="334A79DB" w14:textId="748F0E52" w:rsidR="00C5262C" w:rsidRDefault="00C5262C" w:rsidP="00C5262C">
      <w:pPr>
        <w:spacing w:after="240" w:line="360" w:lineRule="atLeast"/>
        <w:rPr>
          <w:color w:val="000000"/>
        </w:rPr>
      </w:pPr>
      <w:r w:rsidRPr="00C5262C">
        <w:rPr>
          <w:color w:val="000000"/>
        </w:rPr>
        <w:t>United Nations (2025a). </w:t>
      </w:r>
      <w:r w:rsidRPr="00C5262C">
        <w:rPr>
          <w:i/>
          <w:iCs/>
          <w:color w:val="000000"/>
        </w:rPr>
        <w:t>Goal 10 | Reduce Inequality within and among Countries</w:t>
      </w:r>
      <w:r w:rsidRPr="00C5262C">
        <w:rPr>
          <w:color w:val="000000"/>
        </w:rPr>
        <w:t xml:space="preserve">. United nations. Available at: https://sdgs.un.org/goals/goal10 </w:t>
      </w:r>
      <w:r w:rsidR="000F68D7">
        <w:rPr>
          <w:color w:val="000000"/>
        </w:rPr>
        <w:t>(</w:t>
      </w:r>
      <w:r w:rsidRPr="00C5262C">
        <w:rPr>
          <w:color w:val="000000"/>
        </w:rPr>
        <w:t>Accessed 9 Mar. 2026</w:t>
      </w:r>
      <w:r w:rsidR="000F68D7">
        <w:rPr>
          <w:color w:val="000000"/>
        </w:rPr>
        <w:t>)</w:t>
      </w:r>
      <w:r w:rsidRPr="00C5262C">
        <w:rPr>
          <w:color w:val="000000"/>
        </w:rPr>
        <w:t>.</w:t>
      </w:r>
    </w:p>
    <w:p w14:paraId="2F25538E" w14:textId="6CF88B06" w:rsidR="007B3AEF" w:rsidRPr="00C5262C" w:rsidRDefault="007B3AEF" w:rsidP="00C5262C">
      <w:pPr>
        <w:spacing w:after="240" w:line="360" w:lineRule="atLeast"/>
        <w:rPr>
          <w:color w:val="000000"/>
        </w:rPr>
      </w:pPr>
      <w:r w:rsidRPr="007B3AEF">
        <w:rPr>
          <w:color w:val="000000"/>
        </w:rPr>
        <w:t>United Nations (2025). </w:t>
      </w:r>
      <w:r w:rsidRPr="007B3AEF">
        <w:rPr>
          <w:i/>
          <w:iCs/>
          <w:color w:val="000000"/>
        </w:rPr>
        <w:t>Goal 10: Reduce Inequality within and among Countries</w:t>
      </w:r>
      <w:r w:rsidRPr="007B3AEF">
        <w:rPr>
          <w:color w:val="000000"/>
        </w:rPr>
        <w:t xml:space="preserve">. [online] United Nations Sustainable Development. Available at: https://www.un.org/sustainabledevelopment/inequality/ </w:t>
      </w:r>
      <w:r>
        <w:rPr>
          <w:color w:val="000000"/>
        </w:rPr>
        <w:t>(</w:t>
      </w:r>
      <w:r w:rsidRPr="007B3AEF">
        <w:rPr>
          <w:color w:val="000000"/>
        </w:rPr>
        <w:t>Accessed 7 Mar. 2026</w:t>
      </w:r>
      <w:r>
        <w:rPr>
          <w:color w:val="000000"/>
        </w:rPr>
        <w:t>)</w:t>
      </w:r>
      <w:r w:rsidRPr="007B3AEF">
        <w:rPr>
          <w:color w:val="000000"/>
        </w:rPr>
        <w:t>.</w:t>
      </w:r>
    </w:p>
    <w:p w14:paraId="4725DA48" w14:textId="0AD98500" w:rsidR="00C5262C" w:rsidRDefault="00C5262C" w:rsidP="00C5262C">
      <w:pPr>
        <w:spacing w:after="240" w:line="360" w:lineRule="atLeast"/>
        <w:rPr>
          <w:color w:val="000000"/>
        </w:rPr>
      </w:pPr>
      <w:r w:rsidRPr="00C5262C">
        <w:rPr>
          <w:color w:val="000000"/>
        </w:rPr>
        <w:t>Wang, M. and Ren, M. (2025). World Health Day 2025: Time to Change Mindset Beyond Global Commitment to Maternal Health and Women’s Well-Being. </w:t>
      </w:r>
      <w:r w:rsidRPr="00C5262C">
        <w:rPr>
          <w:i/>
          <w:iCs/>
          <w:color w:val="000000"/>
        </w:rPr>
        <w:t>PubMed</w:t>
      </w:r>
      <w:r w:rsidRPr="00C5262C">
        <w:rPr>
          <w:color w:val="000000"/>
        </w:rPr>
        <w:t>, [online] 7(14), pp.449–452. doi:https://doi.org/10.46234/ccdcw2025.074</w:t>
      </w:r>
      <w:r w:rsidR="000F68D7">
        <w:rPr>
          <w:color w:val="000000"/>
        </w:rPr>
        <w:t xml:space="preserve"> (Accessed 8 Mar. 2026).</w:t>
      </w:r>
    </w:p>
    <w:p w14:paraId="55D005F9" w14:textId="3F2854F6" w:rsidR="00765E80" w:rsidRPr="00C5262C" w:rsidRDefault="00765E80" w:rsidP="00C5262C">
      <w:pPr>
        <w:spacing w:after="240" w:line="360" w:lineRule="atLeast"/>
        <w:rPr>
          <w:color w:val="000000"/>
        </w:rPr>
      </w:pPr>
      <w:r w:rsidRPr="00765E80">
        <w:rPr>
          <w:color w:val="000000"/>
        </w:rPr>
        <w:t>World Health Organization (1948). </w:t>
      </w:r>
      <w:r w:rsidRPr="00765E80">
        <w:rPr>
          <w:i/>
          <w:iCs/>
          <w:color w:val="000000"/>
        </w:rPr>
        <w:t>Constitution of the world health organization</w:t>
      </w:r>
      <w:r w:rsidRPr="00765E80">
        <w:rPr>
          <w:color w:val="000000"/>
        </w:rPr>
        <w:t xml:space="preserve">. World Health Organization. Available at: https://www.who.int/about/governance/constitution </w:t>
      </w:r>
      <w:r w:rsidR="00BB6122">
        <w:rPr>
          <w:color w:val="000000"/>
        </w:rPr>
        <w:t>(</w:t>
      </w:r>
      <w:r w:rsidRPr="00765E80">
        <w:rPr>
          <w:color w:val="000000"/>
        </w:rPr>
        <w:t>Accessed 9 Mar. 2026</w:t>
      </w:r>
      <w:r w:rsidR="00BB6122">
        <w:rPr>
          <w:color w:val="000000"/>
        </w:rPr>
        <w:t>)</w:t>
      </w:r>
      <w:r w:rsidRPr="00765E80">
        <w:rPr>
          <w:color w:val="000000"/>
        </w:rPr>
        <w:t>.</w:t>
      </w:r>
    </w:p>
    <w:p w14:paraId="1233DDA4" w14:textId="1D194DE1" w:rsidR="00C5262C" w:rsidRPr="00C5262C" w:rsidRDefault="00C5262C" w:rsidP="00C5262C">
      <w:pPr>
        <w:spacing w:after="240" w:line="360" w:lineRule="atLeast"/>
        <w:rPr>
          <w:color w:val="000000"/>
        </w:rPr>
      </w:pPr>
      <w:r w:rsidRPr="00C5262C">
        <w:rPr>
          <w:color w:val="000000"/>
        </w:rPr>
        <w:t>World Health Organization (2025). </w:t>
      </w:r>
      <w:r w:rsidRPr="00C5262C">
        <w:rPr>
          <w:i/>
          <w:iCs/>
          <w:color w:val="000000"/>
        </w:rPr>
        <w:t>Universal Health Coverage (UHC)</w:t>
      </w:r>
      <w:r w:rsidRPr="00C5262C">
        <w:rPr>
          <w:color w:val="000000"/>
        </w:rPr>
        <w:t xml:space="preserve">. World Health Organization. Available at: https://www.who.int/news-room/fact-sheets/detail/universal-health-coverage-(uhc) </w:t>
      </w:r>
      <w:r w:rsidR="000F68D7">
        <w:rPr>
          <w:color w:val="000000"/>
        </w:rPr>
        <w:t>(</w:t>
      </w:r>
      <w:r w:rsidRPr="00C5262C">
        <w:rPr>
          <w:color w:val="000000"/>
        </w:rPr>
        <w:t>Accessed 7 Mar. 2026</w:t>
      </w:r>
      <w:r w:rsidR="000F68D7">
        <w:rPr>
          <w:color w:val="000000"/>
        </w:rPr>
        <w:t>)</w:t>
      </w:r>
      <w:r w:rsidRPr="00C5262C">
        <w:rPr>
          <w:color w:val="000000"/>
        </w:rPr>
        <w:t>.</w:t>
      </w:r>
    </w:p>
    <w:p w14:paraId="6ACA9C1D" w14:textId="1E4FAD76" w:rsidR="00C5262C" w:rsidRPr="00C5262C" w:rsidRDefault="00C5262C" w:rsidP="00C5262C">
      <w:pPr>
        <w:spacing w:after="240" w:line="360" w:lineRule="atLeast"/>
        <w:rPr>
          <w:color w:val="000000"/>
        </w:rPr>
      </w:pPr>
      <w:r w:rsidRPr="00C5262C">
        <w:rPr>
          <w:color w:val="000000"/>
        </w:rPr>
        <w:t>www.wmca.org.uk. (2025). </w:t>
      </w:r>
      <w:r w:rsidRPr="00C5262C">
        <w:rPr>
          <w:i/>
          <w:iCs/>
          <w:color w:val="000000"/>
        </w:rPr>
        <w:t>Social Inequality</w:t>
      </w:r>
      <w:r w:rsidRPr="00C5262C">
        <w:rPr>
          <w:color w:val="000000"/>
        </w:rPr>
        <w:t xml:space="preserve">. Available at: https://www.wmca.org.uk/documents/inclusive-communities/equity-and-inclusion-scheme/equity-and-inclusion-scheme-2022-24/social-inequality/ </w:t>
      </w:r>
      <w:r w:rsidR="000F68D7">
        <w:rPr>
          <w:color w:val="000000"/>
        </w:rPr>
        <w:t>(</w:t>
      </w:r>
      <w:r w:rsidRPr="00C5262C">
        <w:rPr>
          <w:color w:val="000000"/>
        </w:rPr>
        <w:t>Accessed 8 Mar. 2026</w:t>
      </w:r>
      <w:r w:rsidR="000F68D7">
        <w:rPr>
          <w:color w:val="000000"/>
        </w:rPr>
        <w:t>)</w:t>
      </w:r>
      <w:r w:rsidRPr="00C5262C">
        <w:rPr>
          <w:color w:val="000000"/>
        </w:rPr>
        <w:t>.</w:t>
      </w:r>
    </w:p>
    <w:p w14:paraId="67933587" w14:textId="15795E5A" w:rsidR="002D4931" w:rsidRDefault="002D4931">
      <w:pPr>
        <w:rPr>
          <w:rFonts w:ascii="Arial" w:hAnsi="Arial" w:cs="Times New Roman (Body CS)"/>
          <w:sz w:val="22"/>
        </w:rPr>
      </w:pPr>
    </w:p>
    <w:p w14:paraId="6C256228" w14:textId="77777777" w:rsidR="002D4931" w:rsidRDefault="002D4931">
      <w:pPr>
        <w:rPr>
          <w:rFonts w:ascii="Arial" w:hAnsi="Arial" w:cs="Times New Roman (Body CS)"/>
          <w:sz w:val="22"/>
        </w:rPr>
      </w:pPr>
    </w:p>
    <w:p w14:paraId="3D205C5B" w14:textId="1D83DAE3" w:rsidR="002D4931" w:rsidRDefault="002D4931">
      <w:pPr>
        <w:rPr>
          <w:rFonts w:ascii="Arial" w:hAnsi="Arial" w:cs="Times New Roman (Body CS)"/>
          <w:sz w:val="22"/>
        </w:rPr>
      </w:pPr>
    </w:p>
    <w:p w14:paraId="66710969" w14:textId="1982DDE9" w:rsidR="002D4931" w:rsidRDefault="002D4931">
      <w:pPr>
        <w:rPr>
          <w:rFonts w:ascii="Arial" w:hAnsi="Arial" w:cs="Times New Roman (Body CS)"/>
          <w:sz w:val="22"/>
        </w:rPr>
      </w:pPr>
    </w:p>
    <w:p w14:paraId="4C87E22D" w14:textId="13FCAA79" w:rsidR="002D4931" w:rsidRDefault="002D4931">
      <w:pPr>
        <w:rPr>
          <w:rFonts w:ascii="Arial" w:hAnsi="Arial" w:cs="Times New Roman (Body CS)"/>
          <w:sz w:val="22"/>
        </w:rPr>
      </w:pPr>
    </w:p>
    <w:p w14:paraId="5F249A6E" w14:textId="1A4549D3" w:rsidR="002D4931" w:rsidRDefault="002D4931">
      <w:pPr>
        <w:rPr>
          <w:rFonts w:ascii="Arial" w:hAnsi="Arial" w:cs="Times New Roman (Body CS)"/>
          <w:sz w:val="22"/>
        </w:rPr>
      </w:pPr>
    </w:p>
    <w:p w14:paraId="6F2DF1A6" w14:textId="509C70E1" w:rsidR="002D4931" w:rsidRDefault="002D4931">
      <w:pPr>
        <w:rPr>
          <w:rFonts w:ascii="Arial" w:hAnsi="Arial" w:cs="Times New Roman (Body CS)"/>
          <w:sz w:val="22"/>
        </w:rPr>
      </w:pPr>
    </w:p>
    <w:p w14:paraId="1CA34015" w14:textId="3DDE1F06" w:rsidR="002D4931" w:rsidRDefault="002D4931">
      <w:pPr>
        <w:rPr>
          <w:rFonts w:ascii="Arial" w:hAnsi="Arial" w:cs="Times New Roman (Body CS)"/>
          <w:sz w:val="22"/>
        </w:rPr>
      </w:pPr>
    </w:p>
    <w:p w14:paraId="24E0C4EE" w14:textId="77777777" w:rsidR="003D5971" w:rsidRPr="00B7473C" w:rsidRDefault="003D5971">
      <w:pPr>
        <w:rPr>
          <w:rFonts w:ascii="Arial" w:hAnsi="Arial" w:cs="Times New Roman (Body CS)"/>
          <w:sz w:val="22"/>
        </w:rPr>
      </w:pPr>
    </w:p>
    <w:sectPr w:rsidR="003D5971" w:rsidRPr="00B747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470"/>
    <w:rsid w:val="00002400"/>
    <w:rsid w:val="00005806"/>
    <w:rsid w:val="00041E32"/>
    <w:rsid w:val="000B3519"/>
    <w:rsid w:val="000F68D7"/>
    <w:rsid w:val="00155340"/>
    <w:rsid w:val="00182CF4"/>
    <w:rsid w:val="001C7D65"/>
    <w:rsid w:val="001D1FE9"/>
    <w:rsid w:val="001E2EEA"/>
    <w:rsid w:val="002D4931"/>
    <w:rsid w:val="0032348A"/>
    <w:rsid w:val="0036576B"/>
    <w:rsid w:val="00366451"/>
    <w:rsid w:val="00390025"/>
    <w:rsid w:val="003B5DDE"/>
    <w:rsid w:val="003D5971"/>
    <w:rsid w:val="00444B57"/>
    <w:rsid w:val="004746A9"/>
    <w:rsid w:val="00485276"/>
    <w:rsid w:val="004A6448"/>
    <w:rsid w:val="004A710B"/>
    <w:rsid w:val="004F7E8D"/>
    <w:rsid w:val="0052218B"/>
    <w:rsid w:val="005517E5"/>
    <w:rsid w:val="005672C8"/>
    <w:rsid w:val="00572E7A"/>
    <w:rsid w:val="005D5B12"/>
    <w:rsid w:val="005D5D22"/>
    <w:rsid w:val="005E3BA4"/>
    <w:rsid w:val="005F010F"/>
    <w:rsid w:val="00634365"/>
    <w:rsid w:val="006C7F89"/>
    <w:rsid w:val="007203D4"/>
    <w:rsid w:val="00727366"/>
    <w:rsid w:val="00765E80"/>
    <w:rsid w:val="007B3AEF"/>
    <w:rsid w:val="007F4CC8"/>
    <w:rsid w:val="00883396"/>
    <w:rsid w:val="008E2D6E"/>
    <w:rsid w:val="00913346"/>
    <w:rsid w:val="00966621"/>
    <w:rsid w:val="009B0775"/>
    <w:rsid w:val="009D06AC"/>
    <w:rsid w:val="009E7470"/>
    <w:rsid w:val="009F1606"/>
    <w:rsid w:val="00A574B3"/>
    <w:rsid w:val="00AF34F1"/>
    <w:rsid w:val="00B113EC"/>
    <w:rsid w:val="00B4564B"/>
    <w:rsid w:val="00B7473C"/>
    <w:rsid w:val="00B901D0"/>
    <w:rsid w:val="00BB165C"/>
    <w:rsid w:val="00BB6122"/>
    <w:rsid w:val="00BC29D8"/>
    <w:rsid w:val="00BE7B22"/>
    <w:rsid w:val="00BF27FA"/>
    <w:rsid w:val="00BF7320"/>
    <w:rsid w:val="00C35E23"/>
    <w:rsid w:val="00C50487"/>
    <w:rsid w:val="00C5262C"/>
    <w:rsid w:val="00C75312"/>
    <w:rsid w:val="00C96061"/>
    <w:rsid w:val="00D57BA5"/>
    <w:rsid w:val="00D77614"/>
    <w:rsid w:val="00DD61D3"/>
    <w:rsid w:val="00E4138F"/>
    <w:rsid w:val="00F5564C"/>
    <w:rsid w:val="00F61865"/>
    <w:rsid w:val="00FD2C3A"/>
    <w:rsid w:val="00FF6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3710B"/>
  <w15:chartTrackingRefBased/>
  <w15:docId w15:val="{949361ED-1DE9-3D48-B5EC-D36F78965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519"/>
    <w:rPr>
      <w:rFonts w:ascii="Times New Roman" w:eastAsia="Times New Roman" w:hAnsi="Times New Roman" w:cs="Times New Roman"/>
      <w:lang w:eastAsia="en-GB"/>
    </w:rPr>
  </w:style>
  <w:style w:type="paragraph" w:styleId="Heading1">
    <w:name w:val="heading 1"/>
    <w:basedOn w:val="Normal"/>
    <w:link w:val="Heading1Char"/>
    <w:uiPriority w:val="9"/>
    <w:qFormat/>
    <w:rsid w:val="00C5262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3519"/>
    <w:pPr>
      <w:spacing w:before="100" w:beforeAutospacing="1" w:after="100" w:afterAutospacing="1"/>
    </w:pPr>
  </w:style>
  <w:style w:type="character" w:customStyle="1" w:styleId="apple-converted-space">
    <w:name w:val="apple-converted-space"/>
    <w:basedOn w:val="DefaultParagraphFont"/>
    <w:rsid w:val="000B3519"/>
  </w:style>
  <w:style w:type="character" w:customStyle="1" w:styleId="Heading1Char">
    <w:name w:val="Heading 1 Char"/>
    <w:basedOn w:val="DefaultParagraphFont"/>
    <w:link w:val="Heading1"/>
    <w:uiPriority w:val="9"/>
    <w:rsid w:val="00C5262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59821">
      <w:bodyDiv w:val="1"/>
      <w:marLeft w:val="0"/>
      <w:marRight w:val="0"/>
      <w:marTop w:val="0"/>
      <w:marBottom w:val="0"/>
      <w:divBdr>
        <w:top w:val="none" w:sz="0" w:space="0" w:color="auto"/>
        <w:left w:val="none" w:sz="0" w:space="0" w:color="auto"/>
        <w:bottom w:val="none" w:sz="0" w:space="0" w:color="auto"/>
        <w:right w:val="none" w:sz="0" w:space="0" w:color="auto"/>
      </w:divBdr>
    </w:div>
    <w:div w:id="26613332">
      <w:bodyDiv w:val="1"/>
      <w:marLeft w:val="0"/>
      <w:marRight w:val="0"/>
      <w:marTop w:val="0"/>
      <w:marBottom w:val="0"/>
      <w:divBdr>
        <w:top w:val="none" w:sz="0" w:space="0" w:color="auto"/>
        <w:left w:val="none" w:sz="0" w:space="0" w:color="auto"/>
        <w:bottom w:val="none" w:sz="0" w:space="0" w:color="auto"/>
        <w:right w:val="none" w:sz="0" w:space="0" w:color="auto"/>
      </w:divBdr>
    </w:div>
    <w:div w:id="55663274">
      <w:bodyDiv w:val="1"/>
      <w:marLeft w:val="0"/>
      <w:marRight w:val="0"/>
      <w:marTop w:val="0"/>
      <w:marBottom w:val="0"/>
      <w:divBdr>
        <w:top w:val="none" w:sz="0" w:space="0" w:color="auto"/>
        <w:left w:val="none" w:sz="0" w:space="0" w:color="auto"/>
        <w:bottom w:val="none" w:sz="0" w:space="0" w:color="auto"/>
        <w:right w:val="none" w:sz="0" w:space="0" w:color="auto"/>
      </w:divBdr>
    </w:div>
    <w:div w:id="73475630">
      <w:bodyDiv w:val="1"/>
      <w:marLeft w:val="0"/>
      <w:marRight w:val="0"/>
      <w:marTop w:val="0"/>
      <w:marBottom w:val="0"/>
      <w:divBdr>
        <w:top w:val="none" w:sz="0" w:space="0" w:color="auto"/>
        <w:left w:val="none" w:sz="0" w:space="0" w:color="auto"/>
        <w:bottom w:val="none" w:sz="0" w:space="0" w:color="auto"/>
        <w:right w:val="none" w:sz="0" w:space="0" w:color="auto"/>
      </w:divBdr>
    </w:div>
    <w:div w:id="126631776">
      <w:bodyDiv w:val="1"/>
      <w:marLeft w:val="0"/>
      <w:marRight w:val="0"/>
      <w:marTop w:val="0"/>
      <w:marBottom w:val="0"/>
      <w:divBdr>
        <w:top w:val="none" w:sz="0" w:space="0" w:color="auto"/>
        <w:left w:val="none" w:sz="0" w:space="0" w:color="auto"/>
        <w:bottom w:val="none" w:sz="0" w:space="0" w:color="auto"/>
        <w:right w:val="none" w:sz="0" w:space="0" w:color="auto"/>
      </w:divBdr>
    </w:div>
    <w:div w:id="133956344">
      <w:bodyDiv w:val="1"/>
      <w:marLeft w:val="0"/>
      <w:marRight w:val="0"/>
      <w:marTop w:val="0"/>
      <w:marBottom w:val="0"/>
      <w:divBdr>
        <w:top w:val="none" w:sz="0" w:space="0" w:color="auto"/>
        <w:left w:val="none" w:sz="0" w:space="0" w:color="auto"/>
        <w:bottom w:val="none" w:sz="0" w:space="0" w:color="auto"/>
        <w:right w:val="none" w:sz="0" w:space="0" w:color="auto"/>
      </w:divBdr>
    </w:div>
    <w:div w:id="192890448">
      <w:bodyDiv w:val="1"/>
      <w:marLeft w:val="0"/>
      <w:marRight w:val="0"/>
      <w:marTop w:val="0"/>
      <w:marBottom w:val="0"/>
      <w:divBdr>
        <w:top w:val="none" w:sz="0" w:space="0" w:color="auto"/>
        <w:left w:val="none" w:sz="0" w:space="0" w:color="auto"/>
        <w:bottom w:val="none" w:sz="0" w:space="0" w:color="auto"/>
        <w:right w:val="none" w:sz="0" w:space="0" w:color="auto"/>
      </w:divBdr>
    </w:div>
    <w:div w:id="211231271">
      <w:bodyDiv w:val="1"/>
      <w:marLeft w:val="0"/>
      <w:marRight w:val="0"/>
      <w:marTop w:val="0"/>
      <w:marBottom w:val="0"/>
      <w:divBdr>
        <w:top w:val="none" w:sz="0" w:space="0" w:color="auto"/>
        <w:left w:val="none" w:sz="0" w:space="0" w:color="auto"/>
        <w:bottom w:val="none" w:sz="0" w:space="0" w:color="auto"/>
        <w:right w:val="none" w:sz="0" w:space="0" w:color="auto"/>
      </w:divBdr>
    </w:div>
    <w:div w:id="215167112">
      <w:bodyDiv w:val="1"/>
      <w:marLeft w:val="0"/>
      <w:marRight w:val="0"/>
      <w:marTop w:val="0"/>
      <w:marBottom w:val="0"/>
      <w:divBdr>
        <w:top w:val="none" w:sz="0" w:space="0" w:color="auto"/>
        <w:left w:val="none" w:sz="0" w:space="0" w:color="auto"/>
        <w:bottom w:val="none" w:sz="0" w:space="0" w:color="auto"/>
        <w:right w:val="none" w:sz="0" w:space="0" w:color="auto"/>
      </w:divBdr>
    </w:div>
    <w:div w:id="394857511">
      <w:bodyDiv w:val="1"/>
      <w:marLeft w:val="0"/>
      <w:marRight w:val="0"/>
      <w:marTop w:val="0"/>
      <w:marBottom w:val="0"/>
      <w:divBdr>
        <w:top w:val="none" w:sz="0" w:space="0" w:color="auto"/>
        <w:left w:val="none" w:sz="0" w:space="0" w:color="auto"/>
        <w:bottom w:val="none" w:sz="0" w:space="0" w:color="auto"/>
        <w:right w:val="none" w:sz="0" w:space="0" w:color="auto"/>
      </w:divBdr>
      <w:divsChild>
        <w:div w:id="1646934804">
          <w:marLeft w:val="0"/>
          <w:marRight w:val="0"/>
          <w:marTop w:val="0"/>
          <w:marBottom w:val="0"/>
          <w:divBdr>
            <w:top w:val="none" w:sz="0" w:space="0" w:color="auto"/>
            <w:left w:val="none" w:sz="0" w:space="0" w:color="auto"/>
            <w:bottom w:val="none" w:sz="0" w:space="0" w:color="auto"/>
            <w:right w:val="none" w:sz="0" w:space="0" w:color="auto"/>
          </w:divBdr>
        </w:div>
      </w:divsChild>
    </w:div>
    <w:div w:id="406919677">
      <w:bodyDiv w:val="1"/>
      <w:marLeft w:val="0"/>
      <w:marRight w:val="0"/>
      <w:marTop w:val="0"/>
      <w:marBottom w:val="0"/>
      <w:divBdr>
        <w:top w:val="none" w:sz="0" w:space="0" w:color="auto"/>
        <w:left w:val="none" w:sz="0" w:space="0" w:color="auto"/>
        <w:bottom w:val="none" w:sz="0" w:space="0" w:color="auto"/>
        <w:right w:val="none" w:sz="0" w:space="0" w:color="auto"/>
      </w:divBdr>
    </w:div>
    <w:div w:id="578709597">
      <w:bodyDiv w:val="1"/>
      <w:marLeft w:val="0"/>
      <w:marRight w:val="0"/>
      <w:marTop w:val="0"/>
      <w:marBottom w:val="0"/>
      <w:divBdr>
        <w:top w:val="none" w:sz="0" w:space="0" w:color="auto"/>
        <w:left w:val="none" w:sz="0" w:space="0" w:color="auto"/>
        <w:bottom w:val="none" w:sz="0" w:space="0" w:color="auto"/>
        <w:right w:val="none" w:sz="0" w:space="0" w:color="auto"/>
      </w:divBdr>
    </w:div>
    <w:div w:id="596405656">
      <w:bodyDiv w:val="1"/>
      <w:marLeft w:val="0"/>
      <w:marRight w:val="0"/>
      <w:marTop w:val="0"/>
      <w:marBottom w:val="0"/>
      <w:divBdr>
        <w:top w:val="none" w:sz="0" w:space="0" w:color="auto"/>
        <w:left w:val="none" w:sz="0" w:space="0" w:color="auto"/>
        <w:bottom w:val="none" w:sz="0" w:space="0" w:color="auto"/>
        <w:right w:val="none" w:sz="0" w:space="0" w:color="auto"/>
      </w:divBdr>
    </w:div>
    <w:div w:id="615723211">
      <w:bodyDiv w:val="1"/>
      <w:marLeft w:val="0"/>
      <w:marRight w:val="0"/>
      <w:marTop w:val="0"/>
      <w:marBottom w:val="0"/>
      <w:divBdr>
        <w:top w:val="none" w:sz="0" w:space="0" w:color="auto"/>
        <w:left w:val="none" w:sz="0" w:space="0" w:color="auto"/>
        <w:bottom w:val="none" w:sz="0" w:space="0" w:color="auto"/>
        <w:right w:val="none" w:sz="0" w:space="0" w:color="auto"/>
      </w:divBdr>
    </w:div>
    <w:div w:id="629167231">
      <w:bodyDiv w:val="1"/>
      <w:marLeft w:val="0"/>
      <w:marRight w:val="0"/>
      <w:marTop w:val="0"/>
      <w:marBottom w:val="0"/>
      <w:divBdr>
        <w:top w:val="none" w:sz="0" w:space="0" w:color="auto"/>
        <w:left w:val="none" w:sz="0" w:space="0" w:color="auto"/>
        <w:bottom w:val="none" w:sz="0" w:space="0" w:color="auto"/>
        <w:right w:val="none" w:sz="0" w:space="0" w:color="auto"/>
      </w:divBdr>
    </w:div>
    <w:div w:id="638650184">
      <w:bodyDiv w:val="1"/>
      <w:marLeft w:val="0"/>
      <w:marRight w:val="0"/>
      <w:marTop w:val="0"/>
      <w:marBottom w:val="0"/>
      <w:divBdr>
        <w:top w:val="none" w:sz="0" w:space="0" w:color="auto"/>
        <w:left w:val="none" w:sz="0" w:space="0" w:color="auto"/>
        <w:bottom w:val="none" w:sz="0" w:space="0" w:color="auto"/>
        <w:right w:val="none" w:sz="0" w:space="0" w:color="auto"/>
      </w:divBdr>
    </w:div>
    <w:div w:id="732968259">
      <w:bodyDiv w:val="1"/>
      <w:marLeft w:val="0"/>
      <w:marRight w:val="0"/>
      <w:marTop w:val="0"/>
      <w:marBottom w:val="0"/>
      <w:divBdr>
        <w:top w:val="none" w:sz="0" w:space="0" w:color="auto"/>
        <w:left w:val="none" w:sz="0" w:space="0" w:color="auto"/>
        <w:bottom w:val="none" w:sz="0" w:space="0" w:color="auto"/>
        <w:right w:val="none" w:sz="0" w:space="0" w:color="auto"/>
      </w:divBdr>
    </w:div>
    <w:div w:id="916280792">
      <w:bodyDiv w:val="1"/>
      <w:marLeft w:val="0"/>
      <w:marRight w:val="0"/>
      <w:marTop w:val="0"/>
      <w:marBottom w:val="0"/>
      <w:divBdr>
        <w:top w:val="none" w:sz="0" w:space="0" w:color="auto"/>
        <w:left w:val="none" w:sz="0" w:space="0" w:color="auto"/>
        <w:bottom w:val="none" w:sz="0" w:space="0" w:color="auto"/>
        <w:right w:val="none" w:sz="0" w:space="0" w:color="auto"/>
      </w:divBdr>
    </w:div>
    <w:div w:id="939409982">
      <w:bodyDiv w:val="1"/>
      <w:marLeft w:val="0"/>
      <w:marRight w:val="0"/>
      <w:marTop w:val="0"/>
      <w:marBottom w:val="0"/>
      <w:divBdr>
        <w:top w:val="none" w:sz="0" w:space="0" w:color="auto"/>
        <w:left w:val="none" w:sz="0" w:space="0" w:color="auto"/>
        <w:bottom w:val="none" w:sz="0" w:space="0" w:color="auto"/>
        <w:right w:val="none" w:sz="0" w:space="0" w:color="auto"/>
      </w:divBdr>
    </w:div>
    <w:div w:id="957567567">
      <w:bodyDiv w:val="1"/>
      <w:marLeft w:val="0"/>
      <w:marRight w:val="0"/>
      <w:marTop w:val="0"/>
      <w:marBottom w:val="0"/>
      <w:divBdr>
        <w:top w:val="none" w:sz="0" w:space="0" w:color="auto"/>
        <w:left w:val="none" w:sz="0" w:space="0" w:color="auto"/>
        <w:bottom w:val="none" w:sz="0" w:space="0" w:color="auto"/>
        <w:right w:val="none" w:sz="0" w:space="0" w:color="auto"/>
      </w:divBdr>
    </w:div>
    <w:div w:id="1042635831">
      <w:bodyDiv w:val="1"/>
      <w:marLeft w:val="0"/>
      <w:marRight w:val="0"/>
      <w:marTop w:val="0"/>
      <w:marBottom w:val="0"/>
      <w:divBdr>
        <w:top w:val="none" w:sz="0" w:space="0" w:color="auto"/>
        <w:left w:val="none" w:sz="0" w:space="0" w:color="auto"/>
        <w:bottom w:val="none" w:sz="0" w:space="0" w:color="auto"/>
        <w:right w:val="none" w:sz="0" w:space="0" w:color="auto"/>
      </w:divBdr>
    </w:div>
    <w:div w:id="1046102790">
      <w:bodyDiv w:val="1"/>
      <w:marLeft w:val="0"/>
      <w:marRight w:val="0"/>
      <w:marTop w:val="0"/>
      <w:marBottom w:val="0"/>
      <w:divBdr>
        <w:top w:val="none" w:sz="0" w:space="0" w:color="auto"/>
        <w:left w:val="none" w:sz="0" w:space="0" w:color="auto"/>
        <w:bottom w:val="none" w:sz="0" w:space="0" w:color="auto"/>
        <w:right w:val="none" w:sz="0" w:space="0" w:color="auto"/>
      </w:divBdr>
    </w:div>
    <w:div w:id="1059207624">
      <w:bodyDiv w:val="1"/>
      <w:marLeft w:val="0"/>
      <w:marRight w:val="0"/>
      <w:marTop w:val="0"/>
      <w:marBottom w:val="0"/>
      <w:divBdr>
        <w:top w:val="none" w:sz="0" w:space="0" w:color="auto"/>
        <w:left w:val="none" w:sz="0" w:space="0" w:color="auto"/>
        <w:bottom w:val="none" w:sz="0" w:space="0" w:color="auto"/>
        <w:right w:val="none" w:sz="0" w:space="0" w:color="auto"/>
      </w:divBdr>
      <w:divsChild>
        <w:div w:id="826286534">
          <w:marLeft w:val="0"/>
          <w:marRight w:val="0"/>
          <w:marTop w:val="0"/>
          <w:marBottom w:val="0"/>
          <w:divBdr>
            <w:top w:val="none" w:sz="0" w:space="0" w:color="auto"/>
            <w:left w:val="none" w:sz="0" w:space="0" w:color="auto"/>
            <w:bottom w:val="none" w:sz="0" w:space="0" w:color="auto"/>
            <w:right w:val="none" w:sz="0" w:space="0" w:color="auto"/>
          </w:divBdr>
        </w:div>
      </w:divsChild>
    </w:div>
    <w:div w:id="1097017922">
      <w:bodyDiv w:val="1"/>
      <w:marLeft w:val="0"/>
      <w:marRight w:val="0"/>
      <w:marTop w:val="0"/>
      <w:marBottom w:val="0"/>
      <w:divBdr>
        <w:top w:val="none" w:sz="0" w:space="0" w:color="auto"/>
        <w:left w:val="none" w:sz="0" w:space="0" w:color="auto"/>
        <w:bottom w:val="none" w:sz="0" w:space="0" w:color="auto"/>
        <w:right w:val="none" w:sz="0" w:space="0" w:color="auto"/>
      </w:divBdr>
    </w:div>
    <w:div w:id="1108432846">
      <w:bodyDiv w:val="1"/>
      <w:marLeft w:val="0"/>
      <w:marRight w:val="0"/>
      <w:marTop w:val="0"/>
      <w:marBottom w:val="0"/>
      <w:divBdr>
        <w:top w:val="none" w:sz="0" w:space="0" w:color="auto"/>
        <w:left w:val="none" w:sz="0" w:space="0" w:color="auto"/>
        <w:bottom w:val="none" w:sz="0" w:space="0" w:color="auto"/>
        <w:right w:val="none" w:sz="0" w:space="0" w:color="auto"/>
      </w:divBdr>
    </w:div>
    <w:div w:id="1181312095">
      <w:bodyDiv w:val="1"/>
      <w:marLeft w:val="0"/>
      <w:marRight w:val="0"/>
      <w:marTop w:val="0"/>
      <w:marBottom w:val="0"/>
      <w:divBdr>
        <w:top w:val="none" w:sz="0" w:space="0" w:color="auto"/>
        <w:left w:val="none" w:sz="0" w:space="0" w:color="auto"/>
        <w:bottom w:val="none" w:sz="0" w:space="0" w:color="auto"/>
        <w:right w:val="none" w:sz="0" w:space="0" w:color="auto"/>
      </w:divBdr>
      <w:divsChild>
        <w:div w:id="1175072056">
          <w:marLeft w:val="0"/>
          <w:marRight w:val="0"/>
          <w:marTop w:val="0"/>
          <w:marBottom w:val="0"/>
          <w:divBdr>
            <w:top w:val="none" w:sz="0" w:space="0" w:color="auto"/>
            <w:left w:val="none" w:sz="0" w:space="0" w:color="auto"/>
            <w:bottom w:val="none" w:sz="0" w:space="0" w:color="auto"/>
            <w:right w:val="none" w:sz="0" w:space="0" w:color="auto"/>
          </w:divBdr>
        </w:div>
      </w:divsChild>
    </w:div>
    <w:div w:id="1191914336">
      <w:bodyDiv w:val="1"/>
      <w:marLeft w:val="0"/>
      <w:marRight w:val="0"/>
      <w:marTop w:val="0"/>
      <w:marBottom w:val="0"/>
      <w:divBdr>
        <w:top w:val="none" w:sz="0" w:space="0" w:color="auto"/>
        <w:left w:val="none" w:sz="0" w:space="0" w:color="auto"/>
        <w:bottom w:val="none" w:sz="0" w:space="0" w:color="auto"/>
        <w:right w:val="none" w:sz="0" w:space="0" w:color="auto"/>
      </w:divBdr>
    </w:div>
    <w:div w:id="1223368568">
      <w:bodyDiv w:val="1"/>
      <w:marLeft w:val="0"/>
      <w:marRight w:val="0"/>
      <w:marTop w:val="0"/>
      <w:marBottom w:val="0"/>
      <w:divBdr>
        <w:top w:val="none" w:sz="0" w:space="0" w:color="auto"/>
        <w:left w:val="none" w:sz="0" w:space="0" w:color="auto"/>
        <w:bottom w:val="none" w:sz="0" w:space="0" w:color="auto"/>
        <w:right w:val="none" w:sz="0" w:space="0" w:color="auto"/>
      </w:divBdr>
    </w:div>
    <w:div w:id="1323508711">
      <w:bodyDiv w:val="1"/>
      <w:marLeft w:val="0"/>
      <w:marRight w:val="0"/>
      <w:marTop w:val="0"/>
      <w:marBottom w:val="0"/>
      <w:divBdr>
        <w:top w:val="none" w:sz="0" w:space="0" w:color="auto"/>
        <w:left w:val="none" w:sz="0" w:space="0" w:color="auto"/>
        <w:bottom w:val="none" w:sz="0" w:space="0" w:color="auto"/>
        <w:right w:val="none" w:sz="0" w:space="0" w:color="auto"/>
      </w:divBdr>
    </w:div>
    <w:div w:id="1364284395">
      <w:bodyDiv w:val="1"/>
      <w:marLeft w:val="0"/>
      <w:marRight w:val="0"/>
      <w:marTop w:val="0"/>
      <w:marBottom w:val="0"/>
      <w:divBdr>
        <w:top w:val="none" w:sz="0" w:space="0" w:color="auto"/>
        <w:left w:val="none" w:sz="0" w:space="0" w:color="auto"/>
        <w:bottom w:val="none" w:sz="0" w:space="0" w:color="auto"/>
        <w:right w:val="none" w:sz="0" w:space="0" w:color="auto"/>
      </w:divBdr>
    </w:div>
    <w:div w:id="1457142340">
      <w:bodyDiv w:val="1"/>
      <w:marLeft w:val="0"/>
      <w:marRight w:val="0"/>
      <w:marTop w:val="0"/>
      <w:marBottom w:val="0"/>
      <w:divBdr>
        <w:top w:val="none" w:sz="0" w:space="0" w:color="auto"/>
        <w:left w:val="none" w:sz="0" w:space="0" w:color="auto"/>
        <w:bottom w:val="none" w:sz="0" w:space="0" w:color="auto"/>
        <w:right w:val="none" w:sz="0" w:space="0" w:color="auto"/>
      </w:divBdr>
    </w:div>
    <w:div w:id="1540126041">
      <w:bodyDiv w:val="1"/>
      <w:marLeft w:val="0"/>
      <w:marRight w:val="0"/>
      <w:marTop w:val="0"/>
      <w:marBottom w:val="0"/>
      <w:divBdr>
        <w:top w:val="none" w:sz="0" w:space="0" w:color="auto"/>
        <w:left w:val="none" w:sz="0" w:space="0" w:color="auto"/>
        <w:bottom w:val="none" w:sz="0" w:space="0" w:color="auto"/>
        <w:right w:val="none" w:sz="0" w:space="0" w:color="auto"/>
      </w:divBdr>
    </w:div>
    <w:div w:id="1552498829">
      <w:bodyDiv w:val="1"/>
      <w:marLeft w:val="0"/>
      <w:marRight w:val="0"/>
      <w:marTop w:val="0"/>
      <w:marBottom w:val="0"/>
      <w:divBdr>
        <w:top w:val="none" w:sz="0" w:space="0" w:color="auto"/>
        <w:left w:val="none" w:sz="0" w:space="0" w:color="auto"/>
        <w:bottom w:val="none" w:sz="0" w:space="0" w:color="auto"/>
        <w:right w:val="none" w:sz="0" w:space="0" w:color="auto"/>
      </w:divBdr>
    </w:div>
    <w:div w:id="1570843577">
      <w:bodyDiv w:val="1"/>
      <w:marLeft w:val="0"/>
      <w:marRight w:val="0"/>
      <w:marTop w:val="0"/>
      <w:marBottom w:val="0"/>
      <w:divBdr>
        <w:top w:val="none" w:sz="0" w:space="0" w:color="auto"/>
        <w:left w:val="none" w:sz="0" w:space="0" w:color="auto"/>
        <w:bottom w:val="none" w:sz="0" w:space="0" w:color="auto"/>
        <w:right w:val="none" w:sz="0" w:space="0" w:color="auto"/>
      </w:divBdr>
    </w:div>
    <w:div w:id="1577669685">
      <w:bodyDiv w:val="1"/>
      <w:marLeft w:val="0"/>
      <w:marRight w:val="0"/>
      <w:marTop w:val="0"/>
      <w:marBottom w:val="0"/>
      <w:divBdr>
        <w:top w:val="none" w:sz="0" w:space="0" w:color="auto"/>
        <w:left w:val="none" w:sz="0" w:space="0" w:color="auto"/>
        <w:bottom w:val="none" w:sz="0" w:space="0" w:color="auto"/>
        <w:right w:val="none" w:sz="0" w:space="0" w:color="auto"/>
      </w:divBdr>
    </w:div>
    <w:div w:id="1725719534">
      <w:bodyDiv w:val="1"/>
      <w:marLeft w:val="0"/>
      <w:marRight w:val="0"/>
      <w:marTop w:val="0"/>
      <w:marBottom w:val="0"/>
      <w:divBdr>
        <w:top w:val="none" w:sz="0" w:space="0" w:color="auto"/>
        <w:left w:val="none" w:sz="0" w:space="0" w:color="auto"/>
        <w:bottom w:val="none" w:sz="0" w:space="0" w:color="auto"/>
        <w:right w:val="none" w:sz="0" w:space="0" w:color="auto"/>
      </w:divBdr>
    </w:div>
    <w:div w:id="1759672309">
      <w:bodyDiv w:val="1"/>
      <w:marLeft w:val="0"/>
      <w:marRight w:val="0"/>
      <w:marTop w:val="0"/>
      <w:marBottom w:val="0"/>
      <w:divBdr>
        <w:top w:val="none" w:sz="0" w:space="0" w:color="auto"/>
        <w:left w:val="none" w:sz="0" w:space="0" w:color="auto"/>
        <w:bottom w:val="none" w:sz="0" w:space="0" w:color="auto"/>
        <w:right w:val="none" w:sz="0" w:space="0" w:color="auto"/>
      </w:divBdr>
    </w:div>
    <w:div w:id="1874075668">
      <w:bodyDiv w:val="1"/>
      <w:marLeft w:val="0"/>
      <w:marRight w:val="0"/>
      <w:marTop w:val="0"/>
      <w:marBottom w:val="0"/>
      <w:divBdr>
        <w:top w:val="none" w:sz="0" w:space="0" w:color="auto"/>
        <w:left w:val="none" w:sz="0" w:space="0" w:color="auto"/>
        <w:bottom w:val="none" w:sz="0" w:space="0" w:color="auto"/>
        <w:right w:val="none" w:sz="0" w:space="0" w:color="auto"/>
      </w:divBdr>
    </w:div>
    <w:div w:id="1881742127">
      <w:bodyDiv w:val="1"/>
      <w:marLeft w:val="0"/>
      <w:marRight w:val="0"/>
      <w:marTop w:val="0"/>
      <w:marBottom w:val="0"/>
      <w:divBdr>
        <w:top w:val="none" w:sz="0" w:space="0" w:color="auto"/>
        <w:left w:val="none" w:sz="0" w:space="0" w:color="auto"/>
        <w:bottom w:val="none" w:sz="0" w:space="0" w:color="auto"/>
        <w:right w:val="none" w:sz="0" w:space="0" w:color="auto"/>
      </w:divBdr>
      <w:divsChild>
        <w:div w:id="695931988">
          <w:marLeft w:val="0"/>
          <w:marRight w:val="0"/>
          <w:marTop w:val="0"/>
          <w:marBottom w:val="0"/>
          <w:divBdr>
            <w:top w:val="none" w:sz="0" w:space="0" w:color="auto"/>
            <w:left w:val="none" w:sz="0" w:space="0" w:color="auto"/>
            <w:bottom w:val="none" w:sz="0" w:space="0" w:color="auto"/>
            <w:right w:val="none" w:sz="0" w:space="0" w:color="auto"/>
          </w:divBdr>
        </w:div>
      </w:divsChild>
    </w:div>
    <w:div w:id="1939942663">
      <w:bodyDiv w:val="1"/>
      <w:marLeft w:val="0"/>
      <w:marRight w:val="0"/>
      <w:marTop w:val="0"/>
      <w:marBottom w:val="0"/>
      <w:divBdr>
        <w:top w:val="none" w:sz="0" w:space="0" w:color="auto"/>
        <w:left w:val="none" w:sz="0" w:space="0" w:color="auto"/>
        <w:bottom w:val="none" w:sz="0" w:space="0" w:color="auto"/>
        <w:right w:val="none" w:sz="0" w:space="0" w:color="auto"/>
      </w:divBdr>
    </w:div>
    <w:div w:id="1941374310">
      <w:bodyDiv w:val="1"/>
      <w:marLeft w:val="0"/>
      <w:marRight w:val="0"/>
      <w:marTop w:val="0"/>
      <w:marBottom w:val="0"/>
      <w:divBdr>
        <w:top w:val="none" w:sz="0" w:space="0" w:color="auto"/>
        <w:left w:val="none" w:sz="0" w:space="0" w:color="auto"/>
        <w:bottom w:val="none" w:sz="0" w:space="0" w:color="auto"/>
        <w:right w:val="none" w:sz="0" w:space="0" w:color="auto"/>
      </w:divBdr>
    </w:div>
    <w:div w:id="1984191411">
      <w:bodyDiv w:val="1"/>
      <w:marLeft w:val="0"/>
      <w:marRight w:val="0"/>
      <w:marTop w:val="0"/>
      <w:marBottom w:val="0"/>
      <w:divBdr>
        <w:top w:val="none" w:sz="0" w:space="0" w:color="auto"/>
        <w:left w:val="none" w:sz="0" w:space="0" w:color="auto"/>
        <w:bottom w:val="none" w:sz="0" w:space="0" w:color="auto"/>
        <w:right w:val="none" w:sz="0" w:space="0" w:color="auto"/>
      </w:divBdr>
    </w:div>
    <w:div w:id="2043509509">
      <w:bodyDiv w:val="1"/>
      <w:marLeft w:val="0"/>
      <w:marRight w:val="0"/>
      <w:marTop w:val="0"/>
      <w:marBottom w:val="0"/>
      <w:divBdr>
        <w:top w:val="none" w:sz="0" w:space="0" w:color="auto"/>
        <w:left w:val="none" w:sz="0" w:space="0" w:color="auto"/>
        <w:bottom w:val="none" w:sz="0" w:space="0" w:color="auto"/>
        <w:right w:val="none" w:sz="0" w:space="0" w:color="auto"/>
      </w:divBdr>
    </w:div>
    <w:div w:id="2098280353">
      <w:bodyDiv w:val="1"/>
      <w:marLeft w:val="0"/>
      <w:marRight w:val="0"/>
      <w:marTop w:val="0"/>
      <w:marBottom w:val="0"/>
      <w:divBdr>
        <w:top w:val="none" w:sz="0" w:space="0" w:color="auto"/>
        <w:left w:val="none" w:sz="0" w:space="0" w:color="auto"/>
        <w:bottom w:val="none" w:sz="0" w:space="0" w:color="auto"/>
        <w:right w:val="none" w:sz="0" w:space="0" w:color="auto"/>
      </w:divBdr>
      <w:divsChild>
        <w:div w:id="1215197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314</TotalTime>
  <Pages>10</Pages>
  <Words>3708</Words>
  <Characters>21142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Perkins, Touannah S.</dc:creator>
  <cp:keywords/>
  <dc:description/>
  <cp:lastModifiedBy>Perkins, Touannah S.</cp:lastModifiedBy>
  <cp:revision>77</cp:revision>
  <dcterms:created xsi:type="dcterms:W3CDTF">2026-03-01T21:38:00Z</dcterms:created>
  <dcterms:modified xsi:type="dcterms:W3CDTF">2026-03-10T14:05:00Z</dcterms:modified>
</cp:coreProperties>
</file>