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center"/>
        <w:rPr>
          <w:b w:val="1"/>
          <w:sz w:val="28"/>
          <w:szCs w:val="28"/>
        </w:rPr>
      </w:pPr>
      <w:r w:rsidDel="00000000" w:rsidR="00000000" w:rsidRPr="00000000">
        <w:rPr>
          <w:rtl w:val="0"/>
        </w:rPr>
      </w:r>
    </w:p>
    <w:p w:rsidR="00000000" w:rsidDel="00000000" w:rsidP="00000000" w:rsidRDefault="00000000" w:rsidRPr="00000000" w14:paraId="00000002">
      <w:pPr>
        <w:jc w:val="center"/>
        <w:rPr>
          <w:b w:val="1"/>
          <w:sz w:val="28"/>
          <w:szCs w:val="28"/>
        </w:rPr>
      </w:pPr>
      <w:r w:rsidDel="00000000" w:rsidR="00000000" w:rsidRPr="00000000">
        <w:rPr>
          <w:rtl w:val="0"/>
        </w:rPr>
      </w:r>
    </w:p>
    <w:p w:rsidR="00000000" w:rsidDel="00000000" w:rsidP="00000000" w:rsidRDefault="00000000" w:rsidRPr="00000000" w14:paraId="00000003">
      <w:pPr>
        <w:jc w:val="center"/>
        <w:rPr>
          <w:b w:val="1"/>
          <w:sz w:val="28"/>
          <w:szCs w:val="28"/>
        </w:rPr>
      </w:pPr>
      <w:r w:rsidDel="00000000" w:rsidR="00000000" w:rsidRPr="00000000">
        <w:rPr>
          <w:rtl w:val="0"/>
        </w:rPr>
      </w:r>
    </w:p>
    <w:p w:rsidR="00000000" w:rsidDel="00000000" w:rsidP="00000000" w:rsidRDefault="00000000" w:rsidRPr="00000000" w14:paraId="00000004">
      <w:pPr>
        <w:jc w:val="center"/>
        <w:rPr>
          <w:b w:val="1"/>
          <w:sz w:val="28"/>
          <w:szCs w:val="28"/>
        </w:rPr>
      </w:pPr>
      <w:r w:rsidDel="00000000" w:rsidR="00000000" w:rsidRPr="00000000">
        <w:rPr>
          <w:rtl w:val="0"/>
        </w:rPr>
      </w:r>
    </w:p>
    <w:p w:rsidR="00000000" w:rsidDel="00000000" w:rsidP="00000000" w:rsidRDefault="00000000" w:rsidRPr="00000000" w14:paraId="00000005">
      <w:pPr>
        <w:jc w:val="center"/>
        <w:rPr>
          <w:b w:val="1"/>
          <w:sz w:val="28"/>
          <w:szCs w:val="28"/>
        </w:rPr>
      </w:pPr>
      <w:r w:rsidDel="00000000" w:rsidR="00000000" w:rsidRPr="00000000">
        <w:rPr>
          <w:rtl w:val="0"/>
        </w:rPr>
      </w:r>
    </w:p>
    <w:p w:rsidR="00000000" w:rsidDel="00000000" w:rsidP="00000000" w:rsidRDefault="00000000" w:rsidRPr="00000000" w14:paraId="00000006">
      <w:pPr>
        <w:jc w:val="center"/>
        <w:rPr>
          <w:b w:val="1"/>
          <w:sz w:val="28"/>
          <w:szCs w:val="28"/>
        </w:rPr>
      </w:pPr>
      <w:r w:rsidDel="00000000" w:rsidR="00000000" w:rsidRPr="00000000">
        <w:rPr>
          <w:rtl w:val="0"/>
        </w:rPr>
      </w:r>
    </w:p>
    <w:p w:rsidR="00000000" w:rsidDel="00000000" w:rsidP="00000000" w:rsidRDefault="00000000" w:rsidRPr="00000000" w14:paraId="00000007">
      <w:pPr>
        <w:jc w:val="center"/>
        <w:rPr>
          <w:b w:val="1"/>
          <w:sz w:val="28"/>
          <w:szCs w:val="28"/>
        </w:rPr>
      </w:pPr>
      <w:r w:rsidDel="00000000" w:rsidR="00000000" w:rsidRPr="00000000">
        <w:rPr>
          <w:rtl w:val="0"/>
        </w:rPr>
      </w:r>
    </w:p>
    <w:p w:rsidR="00000000" w:rsidDel="00000000" w:rsidP="00000000" w:rsidRDefault="00000000" w:rsidRPr="00000000" w14:paraId="00000008">
      <w:pPr>
        <w:jc w:val="center"/>
        <w:rPr>
          <w:b w:val="1"/>
          <w:sz w:val="28"/>
          <w:szCs w:val="28"/>
        </w:rPr>
      </w:pPr>
      <w:r w:rsidDel="00000000" w:rsidR="00000000" w:rsidRPr="00000000">
        <w:rPr>
          <w:rtl w:val="0"/>
        </w:rPr>
      </w:r>
    </w:p>
    <w:p w:rsidR="00000000" w:rsidDel="00000000" w:rsidP="00000000" w:rsidRDefault="00000000" w:rsidRPr="00000000" w14:paraId="00000009">
      <w:pPr>
        <w:jc w:val="center"/>
        <w:rPr>
          <w:b w:val="1"/>
          <w:sz w:val="28"/>
          <w:szCs w:val="28"/>
        </w:rPr>
      </w:pPr>
      <w:r w:rsidDel="00000000" w:rsidR="00000000" w:rsidRPr="00000000">
        <w:rPr>
          <w:rtl w:val="0"/>
        </w:rPr>
      </w:r>
    </w:p>
    <w:p w:rsidR="00000000" w:rsidDel="00000000" w:rsidP="00000000" w:rsidRDefault="00000000" w:rsidRPr="00000000" w14:paraId="0000000A">
      <w:pPr>
        <w:jc w:val="center"/>
        <w:rPr>
          <w:b w:val="1"/>
          <w:sz w:val="28"/>
          <w:szCs w:val="28"/>
        </w:rPr>
      </w:pPr>
      <w:r w:rsidDel="00000000" w:rsidR="00000000" w:rsidRPr="00000000">
        <w:rPr>
          <w:rtl w:val="0"/>
        </w:rPr>
      </w:r>
    </w:p>
    <w:p w:rsidR="00000000" w:rsidDel="00000000" w:rsidP="00000000" w:rsidRDefault="00000000" w:rsidRPr="00000000" w14:paraId="0000000B">
      <w:pPr>
        <w:jc w:val="center"/>
        <w:rPr>
          <w:b w:val="1"/>
          <w:sz w:val="28"/>
          <w:szCs w:val="28"/>
        </w:rPr>
      </w:pPr>
      <w:r w:rsidDel="00000000" w:rsidR="00000000" w:rsidRPr="00000000">
        <w:rPr>
          <w:rtl w:val="0"/>
        </w:rPr>
      </w:r>
    </w:p>
    <w:p w:rsidR="00000000" w:rsidDel="00000000" w:rsidP="00000000" w:rsidRDefault="00000000" w:rsidRPr="00000000" w14:paraId="0000000C">
      <w:pPr>
        <w:jc w:val="center"/>
        <w:rPr>
          <w:b w:val="1"/>
          <w:sz w:val="32"/>
          <w:szCs w:val="32"/>
        </w:rPr>
      </w:pPr>
      <w:r w:rsidDel="00000000" w:rsidR="00000000" w:rsidRPr="00000000">
        <w:rPr>
          <w:b w:val="1"/>
          <w:sz w:val="32"/>
          <w:szCs w:val="32"/>
          <w:rtl w:val="0"/>
        </w:rPr>
        <w:t xml:space="preserve">Module Code: LCBB5002</w:t>
      </w:r>
    </w:p>
    <w:p w:rsidR="00000000" w:rsidDel="00000000" w:rsidP="00000000" w:rsidRDefault="00000000" w:rsidRPr="00000000" w14:paraId="0000000D">
      <w:pPr>
        <w:jc w:val="center"/>
        <w:rPr>
          <w:b w:val="1"/>
          <w:sz w:val="32"/>
          <w:szCs w:val="32"/>
        </w:rPr>
      </w:pPr>
      <w:r w:rsidDel="00000000" w:rsidR="00000000" w:rsidRPr="00000000">
        <w:rPr>
          <w:b w:val="1"/>
          <w:sz w:val="32"/>
          <w:szCs w:val="32"/>
          <w:rtl w:val="0"/>
        </w:rPr>
        <w:t xml:space="preserve">Module Name: “MANAGEMENT ACCOUNTING”</w:t>
      </w:r>
    </w:p>
    <w:p w:rsidR="00000000" w:rsidDel="00000000" w:rsidP="00000000" w:rsidRDefault="00000000" w:rsidRPr="00000000" w14:paraId="0000000E">
      <w:pPr>
        <w:pBdr>
          <w:bottom w:color="000000" w:space="1" w:sz="4" w:val="single"/>
        </w:pBdr>
        <w:jc w:val="center"/>
        <w:rPr>
          <w:b w:val="1"/>
          <w:sz w:val="28"/>
          <w:szCs w:val="28"/>
        </w:rPr>
      </w:pPr>
      <w:r w:rsidDel="00000000" w:rsidR="00000000" w:rsidRPr="00000000">
        <w:rPr>
          <w:b w:val="1"/>
          <w:sz w:val="32"/>
          <w:szCs w:val="32"/>
          <w:rtl w:val="0"/>
        </w:rPr>
        <w:t xml:space="preserve">Assignment 2 </w:t>
      </w:r>
      <w:r w:rsidDel="00000000" w:rsidR="00000000" w:rsidRPr="00000000">
        <w:rPr>
          <w:rtl w:val="0"/>
        </w:rPr>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b w:val="1"/>
          <w:rtl w:val="0"/>
        </w:rPr>
        <w:t xml:space="preserve">Student name: Valentin Susanu</w:t>
      </w:r>
    </w:p>
    <w:p w:rsidR="00000000" w:rsidDel="00000000" w:rsidP="00000000" w:rsidRDefault="00000000" w:rsidRPr="00000000" w14:paraId="00000012">
      <w:pPr>
        <w:rPr>
          <w:b w:val="1"/>
        </w:rPr>
      </w:pPr>
      <w:bookmarkStart w:colFirst="0" w:colLast="0" w:name="_heading=h.gjdgxs" w:id="0"/>
      <w:bookmarkEnd w:id="0"/>
      <w:r w:rsidDel="00000000" w:rsidR="00000000" w:rsidRPr="00000000">
        <w:rPr>
          <w:b w:val="1"/>
          <w:rtl w:val="0"/>
        </w:rPr>
        <w:t xml:space="preserve">Student ID: 2019937</w:t>
      </w:r>
      <w:r w:rsidDel="00000000" w:rsidR="00000000" w:rsidRPr="00000000">
        <w:br w:type="page"/>
      </w: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Discussions</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A: “Applied performance evaluation for business Amana Ltd”</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1: “Identif</w:t>
            </w:r>
          </w:hyperlink>
          <w:hyperlink w:anchor="_heading=h.2et92p0">
            <w:r w:rsidDel="00000000" w:rsidR="00000000" w:rsidRPr="00000000">
              <w:rPr>
                <w:rtl w:val="0"/>
              </w:rPr>
              <w:t xml:space="preserve">ication of</w:t>
            </w:r>
          </w:hyperlink>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evaluation regarding original, flexible budget with variance analysis”</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2: “Evaluating basic performances associated to Amana Ltd considering present performances”</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3: “</w:t>
            </w:r>
          </w:hyperlink>
          <w:hyperlink w:anchor="_heading=h.3dy6vkm">
            <w:r w:rsidDel="00000000" w:rsidR="00000000" w:rsidRPr="00000000">
              <w:rPr>
                <w:rtl w:val="0"/>
              </w:rPr>
              <w:t xml:space="preserve">R</w:t>
            </w:r>
          </w:hyperlink>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ecommendation to Amana Ltd depending on present performances”</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B: “Evaluating business operating identification related to Amana Ltd”</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Conclusions</w:t>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heading=h.30j0zll" w:id="1"/>
      <w:bookmarkEnd w:id="1"/>
      <w:r w:rsidDel="00000000" w:rsidR="00000000" w:rsidRPr="00000000">
        <w:rPr>
          <w:rtl w:val="0"/>
        </w:rPr>
        <w:t xml:space="preserve">Introduction </w:t>
      </w:r>
    </w:p>
    <w:p w:rsidR="00000000" w:rsidDel="00000000" w:rsidP="00000000" w:rsidRDefault="00000000" w:rsidRPr="00000000" w14:paraId="00000020">
      <w:pPr>
        <w:rPr/>
      </w:pPr>
      <w:r w:rsidDel="00000000" w:rsidR="00000000" w:rsidRPr="00000000">
        <w:rPr>
          <w:rtl w:val="0"/>
        </w:rPr>
        <w:t xml:space="preserve">Systematic presentation of accounting identification is used to bring a compatibility determination approach including the strategic identification that initiates to maintain the objective competition structure in a proper order. It is also used to bring the formulated approach including and optimise processing related to business performance in a proper order as well with consideration of which the stabilised formulation of business can be managed.  Importance to this type of presentation are also initiated to bring the formulated approach mainly that provides the operating approach in an efficient basis. Primary importance related to different accounting branches are initiated in order to provide compatibility support basically with the formulation of which standardised processing can be initiated (Atrill and McLaney, 2018). </w:t>
      </w:r>
    </w:p>
    <w:p w:rsidR="00000000" w:rsidDel="00000000" w:rsidP="00000000" w:rsidRDefault="00000000" w:rsidRPr="00000000" w14:paraId="00000021">
      <w:pPr>
        <w:rPr/>
      </w:pPr>
      <w:r w:rsidDel="00000000" w:rsidR="00000000" w:rsidRPr="00000000">
        <w:rPr>
          <w:rtl w:val="0"/>
        </w:rPr>
        <w:t xml:space="preserve">Approach to accounting presentation is essential for individual business and with considering such this report is providing a systematic evaluation approach related to individual business in a supportive basis for optimised performance development reasons. </w:t>
      </w:r>
    </w:p>
    <w:p w:rsidR="00000000" w:rsidDel="00000000" w:rsidP="00000000" w:rsidRDefault="00000000" w:rsidRPr="00000000" w14:paraId="00000022">
      <w:pPr>
        <w:pStyle w:val="Heading1"/>
        <w:rPr/>
      </w:pPr>
      <w:bookmarkStart w:colFirst="0" w:colLast="0" w:name="_heading=h.1fob9te" w:id="2"/>
      <w:bookmarkEnd w:id="2"/>
      <w:r w:rsidDel="00000000" w:rsidR="00000000" w:rsidRPr="00000000">
        <w:rPr>
          <w:rtl w:val="0"/>
        </w:rPr>
        <w:t xml:space="preserve">Discussions  </w:t>
      </w:r>
    </w:p>
    <w:p w:rsidR="00000000" w:rsidDel="00000000" w:rsidP="00000000" w:rsidRDefault="00000000" w:rsidRPr="00000000" w14:paraId="00000023">
      <w:pPr>
        <w:pStyle w:val="Heading2"/>
        <w:rPr/>
      </w:pPr>
      <w:bookmarkStart w:colFirst="0" w:colLast="0" w:name="_heading=h.3znysh7" w:id="3"/>
      <w:bookmarkEnd w:id="3"/>
      <w:r w:rsidDel="00000000" w:rsidR="00000000" w:rsidRPr="00000000">
        <w:rPr>
          <w:rtl w:val="0"/>
        </w:rPr>
        <w:t xml:space="preserve">Section A: “Applied performance evaluation for business Amana Ltd” </w:t>
      </w:r>
    </w:p>
    <w:p w:rsidR="00000000" w:rsidDel="00000000" w:rsidP="00000000" w:rsidRDefault="00000000" w:rsidRPr="00000000" w14:paraId="00000024">
      <w:pPr>
        <w:rPr/>
      </w:pPr>
      <w:r w:rsidDel="00000000" w:rsidR="00000000" w:rsidRPr="00000000">
        <w:rPr>
          <w:rtl w:val="0"/>
        </w:rPr>
        <w:t xml:space="preserve">Generally the formulated approach “associated with presentation of business budget concept is initiated under the management accounting process with respect of which proper evaluation including formulated development can be initiated in an effective order. It also provides some systematic opportunity as well with consideration of which the probable feasibility approach including some of the structural processing for individual business can also be identified in a proper order. In some cases it used to initiate a compatibility determination approach including formulated strategic processing support as well which is essential in order to bring the primary standardised growth of business in a systematic procedure” (</w:t>
      </w:r>
      <w:r w:rsidDel="00000000" w:rsidR="00000000" w:rsidRPr="00000000">
        <w:rPr>
          <w:color w:val="222222"/>
          <w:highlight w:val="white"/>
          <w:rtl w:val="0"/>
        </w:rPr>
        <w:t xml:space="preserve">Atrill and McLaney, 2015)</w:t>
      </w:r>
      <w:r w:rsidDel="00000000" w:rsidR="00000000" w:rsidRPr="00000000">
        <w:rPr>
          <w:rtl w:val="0"/>
        </w:rPr>
        <w:t xml:space="preserve">. </w:t>
      </w:r>
    </w:p>
    <w:p w:rsidR="00000000" w:rsidDel="00000000" w:rsidP="00000000" w:rsidRDefault="00000000" w:rsidRPr="00000000" w14:paraId="00000025">
      <w:pPr>
        <w:rPr/>
      </w:pPr>
      <w:r w:rsidDel="00000000" w:rsidR="00000000" w:rsidRPr="00000000">
        <w:rPr>
          <w:rtl w:val="0"/>
        </w:rPr>
        <w:t xml:space="preserve">In respect to the present performance initiative the financial results analysis for the business </w:t>
      </w:r>
      <w:r w:rsidDel="00000000" w:rsidR="00000000" w:rsidRPr="00000000">
        <w:rPr>
          <w:b w:val="1"/>
          <w:rtl w:val="0"/>
        </w:rPr>
        <w:t xml:space="preserve">Amana Ltd</w:t>
      </w:r>
      <w:r w:rsidDel="00000000" w:rsidR="00000000" w:rsidRPr="00000000">
        <w:rPr>
          <w:rtl w:val="0"/>
        </w:rPr>
        <w:t xml:space="preserve"> is initiated with recognising this type of conceptual framework. </w:t>
      </w:r>
    </w:p>
    <w:p w:rsidR="00000000" w:rsidDel="00000000" w:rsidP="00000000" w:rsidRDefault="00000000" w:rsidRPr="00000000" w14:paraId="00000026">
      <w:pPr>
        <w:pStyle w:val="Heading3"/>
        <w:rPr/>
      </w:pPr>
      <w:bookmarkStart w:colFirst="0" w:colLast="0" w:name="_heading=h.2et92p0" w:id="4"/>
      <w:bookmarkEnd w:id="4"/>
      <w:r w:rsidDel="00000000" w:rsidR="00000000" w:rsidRPr="00000000">
        <w:rPr>
          <w:rtl w:val="0"/>
        </w:rPr>
        <w:t xml:space="preserve">Part 1: “Identification of evaluation regarding original, flexible budget with variance analysis”</w:t>
      </w:r>
    </w:p>
    <w:p w:rsidR="00000000" w:rsidDel="00000000" w:rsidP="00000000" w:rsidRDefault="00000000" w:rsidRPr="00000000" w14:paraId="00000027">
      <w:pPr>
        <w:rPr/>
      </w:pPr>
      <w:r w:rsidDel="00000000" w:rsidR="00000000" w:rsidRPr="00000000">
        <w:rPr>
          <w:rtl w:val="0"/>
        </w:rPr>
        <w:t xml:space="preserve">The approach of “business budget conceptual approach is used to provide a general  forecasted framework related to business financial processing mainly with the determination of which business structural identification can be managed and formulated. It is also initiated in order to bring the compatibility development including some structural identification support also with the determination of which a probable opportunity including the feasibility business processing can also be identified. The maintenance approach related to budget is also initiated in order to manage the compatibility development and some of the structural processing also with the initiative of which the probable growth including performance indication can also be managed in an efficient basis. Considering the present approach, presentation of standard costing is also initiated for considering performance stability on an efficient basis (</w:t>
      </w:r>
      <w:r w:rsidDel="00000000" w:rsidR="00000000" w:rsidRPr="00000000">
        <w:rPr>
          <w:color w:val="222222"/>
          <w:highlight w:val="white"/>
          <w:rtl w:val="0"/>
        </w:rPr>
        <w:t xml:space="preserve">Seal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2019)</w:t>
      </w:r>
      <w:r w:rsidDel="00000000" w:rsidR="00000000" w:rsidRPr="00000000">
        <w:rPr>
          <w:rtl w:val="0"/>
        </w:rPr>
        <w:t xml:space="preserve">. It is also initiated for recognising the formulation regarding variance analysis including formulated development support in an efficient manner. It also applied for formulating some supportive accounting approach including formulation development regarding strategic initiatives also that provide the operating development approach in an efficient manner”. </w:t>
      </w:r>
    </w:p>
    <w:p w:rsidR="00000000" w:rsidDel="00000000" w:rsidP="00000000" w:rsidRDefault="00000000" w:rsidRPr="00000000" w14:paraId="00000028">
      <w:pPr>
        <w:rPr/>
      </w:pPr>
      <w:r w:rsidDel="00000000" w:rsidR="00000000" w:rsidRPr="00000000">
        <w:rPr>
          <w:rtl w:val="0"/>
        </w:rPr>
        <w:t xml:space="preserve">Depending on the present performance initiatives the formulated budget analysis related to the production volume of 100,000 units has been initiated that is recognised for maintaining optimised processing including standardised approach in an efficient basis. The presentation of such budget processing has been provided in below; </w:t>
      </w:r>
    </w:p>
    <w:p w:rsidR="00000000" w:rsidDel="00000000" w:rsidP="00000000" w:rsidRDefault="00000000" w:rsidRPr="00000000" w14:paraId="00000029">
      <w:pPr>
        <w:jc w:val="center"/>
        <w:rPr/>
      </w:pPr>
      <w:r w:rsidDel="00000000" w:rsidR="00000000" w:rsidRPr="00000000">
        <w:rPr/>
        <w:drawing>
          <wp:inline distB="114300" distT="114300" distL="114300" distR="114300">
            <wp:extent cx="4881563" cy="2927316"/>
            <wp:effectExtent b="0" l="0" r="0" t="0"/>
            <wp:docPr id="5"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4881563" cy="2927316"/>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2A">
      <w:pPr>
        <w:rPr/>
      </w:pPr>
      <w:r w:rsidDel="00000000" w:rsidR="00000000" w:rsidRPr="00000000">
        <w:rPr>
          <w:rtl w:val="0"/>
        </w:rPr>
        <w:t xml:space="preserve">Including present operating approach the present formulation regarding actual performances has been initiated that provides a positive sustainability including formulation approach in an efficient basis. For such purpose mainly 80,000 units have been initiated regarding production approach including optimised approach on an efficient basis. Such presentation has been provided for recognising the level of development in an efficient manner. </w:t>
      </w:r>
    </w:p>
    <w:p w:rsidR="00000000" w:rsidDel="00000000" w:rsidP="00000000" w:rsidRDefault="00000000" w:rsidRPr="00000000" w14:paraId="0000002B">
      <w:pPr>
        <w:jc w:val="center"/>
        <w:rPr/>
      </w:pPr>
      <w:r w:rsidDel="00000000" w:rsidR="00000000" w:rsidRPr="00000000">
        <w:rPr/>
        <w:drawing>
          <wp:inline distB="114300" distT="114300" distL="114300" distR="114300">
            <wp:extent cx="4818660" cy="3024188"/>
            <wp:effectExtent b="0" l="0" r="0" t="0"/>
            <wp:docPr id="7"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818660" cy="3024188"/>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Associated with the present operating approach the level of business “financial evaluation has been initiated with the support of which a proper volume of financial compatibility can also be initiated on an efficient basis. Including the present approach the presentation of variance is generally indicating the feasibility processing including operating formulation approach mainly that provides the compatibility determination in an efficient basis (</w:t>
      </w:r>
      <w:r w:rsidDel="00000000" w:rsidR="00000000" w:rsidRPr="00000000">
        <w:rPr>
          <w:color w:val="222222"/>
          <w:highlight w:val="white"/>
          <w:rtl w:val="0"/>
        </w:rPr>
        <w:t xml:space="preserve">Drury, 2013)</w:t>
      </w:r>
      <w:r w:rsidDel="00000000" w:rsidR="00000000" w:rsidRPr="00000000">
        <w:rPr>
          <w:rtl w:val="0"/>
        </w:rPr>
        <w:t xml:space="preserve">. Depending on the present performance the level of variance analysis is used to provide a systematic volume or modification result as well which is essential in order to provide a compatibility and determination as well as formulated development of the business on a proper basis”. </w:t>
      </w:r>
    </w:p>
    <w:p w:rsidR="00000000" w:rsidDel="00000000" w:rsidP="00000000" w:rsidRDefault="00000000" w:rsidRPr="00000000" w14:paraId="0000002D">
      <w:pPr>
        <w:jc w:val="center"/>
        <w:rPr/>
      </w:pPr>
      <w:r w:rsidDel="00000000" w:rsidR="00000000" w:rsidRPr="00000000">
        <w:rPr/>
        <w:drawing>
          <wp:inline distB="114300" distT="114300" distL="114300" distR="114300">
            <wp:extent cx="5731200" cy="2209800"/>
            <wp:effectExtent b="0" l="0" r="0" t="0"/>
            <wp:docPr id="6"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731200" cy="22098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With analysis of the above formulation it can be recognised that some of the systematic processing related to this particular variance analysis is provided in different positions which is essential in order to maintain the compatibility growth including some positive formulated development in a proper basis. Respecting present performance initiative the management should consider some systematic development including formulation approach on a proper basis so that the feasibility processing of business can also be initiated in a sustainable order (</w:t>
      </w:r>
      <w:r w:rsidDel="00000000" w:rsidR="00000000" w:rsidRPr="00000000">
        <w:rPr>
          <w:color w:val="222222"/>
          <w:highlight w:val="white"/>
          <w:rtl w:val="0"/>
        </w:rPr>
        <w:t xml:space="preserve">Weetman, 2019)</w:t>
      </w:r>
      <w:r w:rsidDel="00000000" w:rsidR="00000000" w:rsidRPr="00000000">
        <w:rPr>
          <w:rtl w:val="0"/>
        </w:rPr>
        <w:t xml:space="preserve">. </w:t>
      </w:r>
    </w:p>
    <w:p w:rsidR="00000000" w:rsidDel="00000000" w:rsidP="00000000" w:rsidRDefault="00000000" w:rsidRPr="00000000" w14:paraId="0000002F">
      <w:pPr>
        <w:pStyle w:val="Heading2"/>
        <w:rPr/>
      </w:pPr>
      <w:bookmarkStart w:colFirst="0" w:colLast="0" w:name="_heading=h.tyjcwt" w:id="5"/>
      <w:bookmarkEnd w:id="5"/>
      <w:r w:rsidDel="00000000" w:rsidR="00000000" w:rsidRPr="00000000">
        <w:rPr>
          <w:rtl w:val="0"/>
        </w:rPr>
        <w:t xml:space="preserve">Part 2: “Evaluating basic performances associated to Amana Ltd considering present performances” </w:t>
      </w:r>
    </w:p>
    <w:p w:rsidR="00000000" w:rsidDel="00000000" w:rsidP="00000000" w:rsidRDefault="00000000" w:rsidRPr="00000000" w14:paraId="00000030">
      <w:pPr>
        <w:rPr/>
      </w:pPr>
      <w:r w:rsidDel="00000000" w:rsidR="00000000" w:rsidRPr="00000000">
        <w:rPr>
          <w:rtl w:val="0"/>
        </w:rPr>
        <w:t xml:space="preserve">As per the general “formulated approach the presentation of business variance analysis is initiated with support of standard costing concept that brings a positive identification regarding business visibility approach related to costing initiatives on a proper basis. It also allowed to maintain the sustainability growth including the formulation development of business production initiatives also with response of which the probable growth as well as some of the structural initiatives can also be balanced. Depending on the present situation the management of the business needs to consider the compatibility process as the present business variety is indicating some of the adverse positions regarding individual business costing elements (</w:t>
      </w:r>
      <w:r w:rsidDel="00000000" w:rsidR="00000000" w:rsidRPr="00000000">
        <w:rPr>
          <w:color w:val="222222"/>
          <w:highlight w:val="white"/>
          <w:rtl w:val="0"/>
        </w:rPr>
        <w:t xml:space="preserve">Oncioiu and Stanciu, 2020)</w:t>
      </w:r>
      <w:r w:rsidDel="00000000" w:rsidR="00000000" w:rsidRPr="00000000">
        <w:rPr>
          <w:rtl w:val="0"/>
        </w:rPr>
        <w:t xml:space="preserve">. As per the present provided structure The managerial department can recognise that at the present situation with overall volume of business revenue performance is indicating the unfavourable position which means the expected initiative of the budget is comparatively lower compared to the actual business initiative. It is generally indicating the current position while the sufficient number of production initiatives are not supportive to initiate for business compatibility development reasons. Including the same approach it can also recognise that the present volume of business costing structure are indicating a comparatively favourable condition related to direct material and direct labour approach only as the volume of production is decreased and the overall charges related to those variable costs are also decreased in an associated basis (</w:t>
      </w:r>
      <w:r w:rsidDel="00000000" w:rsidR="00000000" w:rsidRPr="00000000">
        <w:rPr>
          <w:color w:val="222222"/>
          <w:highlight w:val="white"/>
          <w:rtl w:val="0"/>
        </w:rPr>
        <w:t xml:space="preserve">Bufan, 2013)</w:t>
      </w:r>
      <w:r w:rsidDel="00000000" w:rsidR="00000000" w:rsidRPr="00000000">
        <w:rPr>
          <w:rtl w:val="0"/>
        </w:rPr>
        <w:t xml:space="preserve">. While on the other hand the overhead expenditure related to general variable expenditure of the business is indicating basically unfavourable conditions which are required to initiate some controlling function for financial feasibility approach is a proper order. On the contrary, it can also recognise that in the present situation overall volume of business fixed costs are indicating an unfavourable condition which is basically creating a significant volume of financial burden mainly. With recognising the present performance initiative it is basically considerable that at the present situation the management of business need to initiate some systematic development including formulated growth initiative in a proper basis  so that the optimum value related to business performance can also be managed in a proper basis” (</w:t>
      </w:r>
      <w:r w:rsidDel="00000000" w:rsidR="00000000" w:rsidRPr="00000000">
        <w:rPr>
          <w:color w:val="222222"/>
          <w:highlight w:val="white"/>
          <w:rtl w:val="0"/>
        </w:rPr>
        <w:t xml:space="preserve">Dyson, 2010)</w:t>
      </w:r>
      <w:r w:rsidDel="00000000" w:rsidR="00000000" w:rsidRPr="00000000">
        <w:rPr>
          <w:rtl w:val="0"/>
        </w:rPr>
        <w:t xml:space="preserve">. </w:t>
      </w:r>
    </w:p>
    <w:p w:rsidR="00000000" w:rsidDel="00000000" w:rsidP="00000000" w:rsidRDefault="00000000" w:rsidRPr="00000000" w14:paraId="00000031">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2"/>
        <w:rPr/>
      </w:pPr>
      <w:bookmarkStart w:colFirst="0" w:colLast="0" w:name="_heading=h.3dy6vkm" w:id="6"/>
      <w:bookmarkEnd w:id="6"/>
      <w:r w:rsidDel="00000000" w:rsidR="00000000" w:rsidRPr="00000000">
        <w:rPr>
          <w:rtl w:val="0"/>
        </w:rPr>
        <w:t xml:space="preserve">Part 3: “Recommendation to Amana Ltd depending on present performances”</w:t>
      </w:r>
    </w:p>
    <w:p w:rsidR="00000000" w:rsidDel="00000000" w:rsidP="00000000" w:rsidRDefault="00000000" w:rsidRPr="00000000" w14:paraId="00000033">
      <w:pPr>
        <w:rPr/>
      </w:pPr>
      <w:r w:rsidDel="00000000" w:rsidR="00000000" w:rsidRPr="00000000">
        <w:rPr>
          <w:rtl w:val="0"/>
        </w:rPr>
        <w:t xml:space="preserve">Depending on the above evaluation “including the analysis related to variance processing of the business it is mainly recognisable that at the present situation the management of the business is need to considered some of the significant development approach including formulation associated support also with respect to which the probability of business visibility structure including the development approach can also be managed in a proper basis. Depending on the present situation the management is needed to initiate some of the development growth including structural enhancing approach basically with respect of which proper accountable processing including strategic initiatives can be maintained. Considering the current situation if the management at the present situation used to provide an increasing approach regarding productivity formulation including a proper increasing support regarding selling price therefore a proper amount of visibility including structural processing can be initiated mainly” (</w:t>
      </w:r>
      <w:r w:rsidDel="00000000" w:rsidR="00000000" w:rsidRPr="00000000">
        <w:rPr>
          <w:color w:val="222222"/>
          <w:highlight w:val="white"/>
          <w:rtl w:val="0"/>
        </w:rPr>
        <w:t xml:space="preserve">Warren and Jones, 2018)</w:t>
      </w:r>
      <w:r w:rsidDel="00000000" w:rsidR="00000000" w:rsidRPr="00000000">
        <w:rPr>
          <w:rtl w:val="0"/>
        </w:rPr>
        <w:t xml:space="preserve">.  </w:t>
      </w:r>
    </w:p>
    <w:p w:rsidR="00000000" w:rsidDel="00000000" w:rsidP="00000000" w:rsidRDefault="00000000" w:rsidRPr="00000000" w14:paraId="00000034">
      <w:pPr>
        <w:rPr/>
      </w:pPr>
      <w:r w:rsidDel="00000000" w:rsidR="00000000" w:rsidRPr="00000000">
        <w:rPr>
          <w:rtl w:val="0"/>
        </w:rPr>
        <w:t xml:space="preserve">Depending on the present situation, the “management is also used to provide importance to the optimised label related to cost maintenance approach. Basically, the overall volume of development including the structural processing of business primary stability can also be managed in a proper order. Associated with the same approach the business is also required to be concerned about the profitability initiative with the maintenance of performance efficiency processing basically so that the primary approach related to financial contribution of the business can effectively balance.  Including the same approach the management at the present situation also need to provide concern about the promotional approach basically with the initiative of social media engagement with the maintenance of which the primary initiative related to productivity formulation and customer engagement can be initiated for revenue development reasons (Thomas and Ward, 2019). Considering the above approach, the management of the business is able to initiate this type of processing therefore a proper financial feasibility as well as some of the compatibility growth can properly initiate for future development of the business basically”.</w:t>
      </w:r>
    </w:p>
    <w:p w:rsidR="00000000" w:rsidDel="00000000" w:rsidP="00000000" w:rsidRDefault="00000000" w:rsidRPr="00000000" w14:paraId="00000035">
      <w:pPr>
        <w:pStyle w:val="Heading2"/>
        <w:rPr/>
      </w:pPr>
      <w:bookmarkStart w:colFirst="0" w:colLast="0" w:name="_heading=h.1t3h5sf" w:id="7"/>
      <w:bookmarkEnd w:id="7"/>
      <w:r w:rsidDel="00000000" w:rsidR="00000000" w:rsidRPr="00000000">
        <w:rPr>
          <w:rtl w:val="0"/>
        </w:rPr>
        <w:t xml:space="preserve">Section B: “Evaluating business operating identification related to Amana Ltd” </w:t>
      </w:r>
    </w:p>
    <w:p w:rsidR="00000000" w:rsidDel="00000000" w:rsidP="00000000" w:rsidRDefault="00000000" w:rsidRPr="00000000" w14:paraId="00000036">
      <w:pPr>
        <w:rPr/>
      </w:pPr>
      <w:r w:rsidDel="00000000" w:rsidR="00000000" w:rsidRPr="00000000">
        <w:rPr>
          <w:rtl w:val="0"/>
        </w:rPr>
        <w:t xml:space="preserve">Identifying the general initiative related to “business performance evaluation with support of Costing principles brings a systematic formulation approach basically with the initiative of which the compatibility including formulated development approach of business can also be managed. Associated with the same approach is also used to recognise some of the feasibility structure as well that can be initiated in order to maintain the optimised processing of business growth in a more supportive order. Under the cost principle systematic recognition regarding make or buy decisions is initiated which is used to bring a proper identification approach regarding business performance initiatives. With the conceptual approach related to this, the management of a business usually evaluates whether a particular process should continue or some other approaches should initiate in order to get better opportunities. It is also recognised as an evaluation measurement process basically with the maintenance of which a proper feasibility growth including the development process of accounting stability and sustainability can also be balanced in a simultaneous basis” (Schroeder </w:t>
      </w:r>
      <w:r w:rsidDel="00000000" w:rsidR="00000000" w:rsidRPr="00000000">
        <w:rPr>
          <w:i w:val="1"/>
          <w:rtl w:val="0"/>
        </w:rPr>
        <w:t xml:space="preserve">et al., </w:t>
      </w:r>
      <w:r w:rsidDel="00000000" w:rsidR="00000000" w:rsidRPr="00000000">
        <w:rPr>
          <w:rtl w:val="0"/>
        </w:rPr>
        <w:t xml:space="preserve">2019). </w:t>
      </w:r>
    </w:p>
    <w:p w:rsidR="00000000" w:rsidDel="00000000" w:rsidP="00000000" w:rsidRDefault="00000000" w:rsidRPr="00000000" w14:paraId="00000037">
      <w:pPr>
        <w:rPr/>
      </w:pPr>
      <w:r w:rsidDel="00000000" w:rsidR="00000000" w:rsidRPr="00000000">
        <w:rPr>
          <w:rtl w:val="0"/>
        </w:rPr>
        <w:t xml:space="preserve">According to the present “provided details Mr Amana presently has two different business branches related to Birmingham city and Manchester city and the owner is intended to close a particular branch  and continue the overall business operation using two different approaches mainly. One is applying the offline trading approach with support of a particular branch and the other one is to initiate 50% business performances with the initiative of online trading engagement. As in the present situation, overall demand related to online trading initiatives is rapidly increasing. This type of engagement is able to bring a compatible development as well as sustainable approach in a proper order. Considering the same approach the management is also intended to either continue the online trading engagement with the support of their own online trading platform or via Amazon basically systematic and secured selling unit support (</w:t>
      </w:r>
      <w:r w:rsidDel="00000000" w:rsidR="00000000" w:rsidRPr="00000000">
        <w:rPr>
          <w:color w:val="222222"/>
          <w:highlight w:val="white"/>
          <w:rtl w:val="0"/>
        </w:rPr>
        <w:t xml:space="preserve">Wiratama and Asri, 2020)</w:t>
      </w:r>
      <w:r w:rsidDel="00000000" w:rsidR="00000000" w:rsidRPr="00000000">
        <w:rPr>
          <w:rtl w:val="0"/>
        </w:rPr>
        <w:t xml:space="preserve">. With response to this particular initiative the owner fundamentally initiated the approach of make or buy oriented principal under the costing in proper places where difference cost initiative has been evaluated in order to get better results in a more supportive and comprehensive manner. </w:t>
      </w:r>
    </w:p>
    <w:p w:rsidR="00000000" w:rsidDel="00000000" w:rsidP="00000000" w:rsidRDefault="00000000" w:rsidRPr="00000000" w14:paraId="00000038">
      <w:pPr>
        <w:rPr/>
      </w:pPr>
      <w:r w:rsidDel="00000000" w:rsidR="00000000" w:rsidRPr="00000000">
        <w:rPr>
          <w:rtl w:val="0"/>
        </w:rPr>
        <w:t xml:space="preserve">Respect to the present situation if the management is intended to continue the “overall online trading engagement with the support of their own established online trading platform therefore a systematic volume of some significant expenditures  need to be consumed by the management for efficient financial growth including the sustainability processing in an effective basis. Depending on the present situation the overall details related to some of the systematic business expenditure has been provided” (</w:t>
      </w:r>
      <w:r w:rsidDel="00000000" w:rsidR="00000000" w:rsidRPr="00000000">
        <w:rPr>
          <w:color w:val="222222"/>
          <w:highlight w:val="white"/>
          <w:rtl w:val="0"/>
        </w:rPr>
        <w:t xml:space="preserve">Bryer, 2021)</w:t>
      </w:r>
      <w:r w:rsidDel="00000000" w:rsidR="00000000" w:rsidRPr="00000000">
        <w:rPr>
          <w:rtl w:val="0"/>
        </w:rPr>
        <w:t xml:space="preserve">. </w:t>
      </w:r>
    </w:p>
    <w:p w:rsidR="00000000" w:rsidDel="00000000" w:rsidP="00000000" w:rsidRDefault="00000000" w:rsidRPr="00000000" w14:paraId="00000039">
      <w:pPr>
        <w:jc w:val="center"/>
        <w:rPr/>
      </w:pPr>
      <w:r w:rsidDel="00000000" w:rsidR="00000000" w:rsidRPr="00000000">
        <w:rPr/>
        <w:drawing>
          <wp:inline distB="114300" distT="114300" distL="114300" distR="114300">
            <wp:extent cx="4519827" cy="1163743"/>
            <wp:effectExtent b="0" l="0" r="0" t="0"/>
            <wp:docPr id="8"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4519827" cy="1163743"/>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With respect to the above computed approach it is generally recognisable that at the present situation if the management of the business continues their  own online trading engagement therefore the overall volume of options related to £235,000 have to be initiated along with a particular selling unit volume resulting in 100,000 mainly. It is basically providing a sustainable approach with respect to which the feasibility structure including the optimised growth initiative of the business can also be maintained on a proper basis. </w:t>
      </w:r>
    </w:p>
    <w:p w:rsidR="00000000" w:rsidDel="00000000" w:rsidP="00000000" w:rsidRDefault="00000000" w:rsidRPr="00000000" w14:paraId="0000003B">
      <w:pPr>
        <w:rPr/>
      </w:pPr>
      <w:r w:rsidDel="00000000" w:rsidR="00000000" w:rsidRPr="00000000">
        <w:rPr>
          <w:rtl w:val="0"/>
        </w:rPr>
        <w:t xml:space="preserve">Withholding the “another option if the owner of the business uses the platform of Amazon instead of using own online trading engagement therefore the overall volume of cost contribution related to maintenance and fulfilment fees have to be consumed by the business which will amount to £50,000 respectively. Considering the same approach this particular processing is also providing a guaranteed and secured selling units of 65000 mainly which is also essential in order to maintain the stability of approach including those structures in an effective basis. It is providing a comparatively lower approach related to the selling unit volume context, however it is comprehensive and sustainable in order to maintain a systematic volume of development and optimised processing of the business” (</w:t>
      </w:r>
      <w:r w:rsidDel="00000000" w:rsidR="00000000" w:rsidRPr="00000000">
        <w:rPr>
          <w:color w:val="222222"/>
          <w:highlight w:val="white"/>
          <w:rtl w:val="0"/>
        </w:rPr>
        <w:t xml:space="preserve">Deb, 2019)</w:t>
      </w:r>
      <w:r w:rsidDel="00000000" w:rsidR="00000000" w:rsidRPr="00000000">
        <w:rPr>
          <w:rtl w:val="0"/>
        </w:rPr>
        <w:t xml:space="preserve">. </w:t>
      </w:r>
    </w:p>
    <w:p w:rsidR="00000000" w:rsidDel="00000000" w:rsidP="00000000" w:rsidRDefault="00000000" w:rsidRPr="00000000" w14:paraId="0000003C">
      <w:pPr>
        <w:rPr/>
      </w:pPr>
      <w:r w:rsidDel="00000000" w:rsidR="00000000" w:rsidRPr="00000000">
        <w:rPr>
          <w:rtl w:val="0"/>
        </w:rPr>
        <w:t xml:space="preserve">Associated with the present approach in order to maintain a systematic volume of comparison between two different options, mainly per unit cost concept has been initiated which is able to provide a systematic evaluation related to the performance initiative in a proper order. Such presentation has been provided; </w:t>
      </w:r>
    </w:p>
    <w:p w:rsidR="00000000" w:rsidDel="00000000" w:rsidP="00000000" w:rsidRDefault="00000000" w:rsidRPr="00000000" w14:paraId="0000003D">
      <w:pPr>
        <w:rPr>
          <w:b w:val="1"/>
          <w:i w:val="1"/>
        </w:rPr>
      </w:pPr>
      <w:r w:rsidDel="00000000" w:rsidR="00000000" w:rsidRPr="00000000">
        <w:rPr>
          <w:b w:val="1"/>
          <w:i w:val="1"/>
          <w:rtl w:val="0"/>
        </w:rPr>
        <w:t xml:space="preserve">Through own online trading engagement; 235000 / 100000 = 2.35 per unit </w:t>
      </w:r>
    </w:p>
    <w:p w:rsidR="00000000" w:rsidDel="00000000" w:rsidP="00000000" w:rsidRDefault="00000000" w:rsidRPr="00000000" w14:paraId="0000003E">
      <w:pPr>
        <w:rPr>
          <w:b w:val="1"/>
          <w:i w:val="1"/>
        </w:rPr>
      </w:pPr>
      <w:r w:rsidDel="00000000" w:rsidR="00000000" w:rsidRPr="00000000">
        <w:rPr>
          <w:b w:val="1"/>
          <w:i w:val="1"/>
          <w:rtl w:val="0"/>
        </w:rPr>
        <w:t xml:space="preserve">Through Amazon engagement; 50,000 / 65000 = 0.76 per unit </w:t>
      </w:r>
    </w:p>
    <w:p w:rsidR="00000000" w:rsidDel="00000000" w:rsidP="00000000" w:rsidRDefault="00000000" w:rsidRPr="00000000" w14:paraId="0000003F">
      <w:pPr>
        <w:rPr>
          <w:b w:val="1"/>
        </w:rPr>
      </w:pPr>
      <w:r w:rsidDel="00000000" w:rsidR="00000000" w:rsidRPr="00000000">
        <w:rPr>
          <w:rtl w:val="0"/>
        </w:rPr>
        <w:t xml:space="preserve">With the analysis of above processing and evaluation “it is recognisable that at the present situation if the management of the business used to provide focus over the online trading engagement in a supportive order therefore a systematic volume of revenue formulation approach can be initiated. Including the same structure if the management of the business also provides importance to the platform of </w:t>
      </w:r>
      <w:r w:rsidDel="00000000" w:rsidR="00000000" w:rsidRPr="00000000">
        <w:rPr>
          <w:b w:val="1"/>
          <w:rtl w:val="0"/>
        </w:rPr>
        <w:t xml:space="preserve">Amazon </w:t>
      </w:r>
      <w:r w:rsidDel="00000000" w:rsidR="00000000" w:rsidRPr="00000000">
        <w:rPr>
          <w:rtl w:val="0"/>
        </w:rPr>
        <w:t xml:space="preserve">for initiating the online performance in a supportive basis therefore the compatibility including the optimised processing of business can also be initiated. With the application of this initiative the general compatibility including a formulated approach can also be initiated in a supportive basis that can be balanced in order to maintain the formulated approach in a proper order. Respect to the present initiative of the management of the business used to initiate the systematic formulation including promotional approach mainly therefore the optimised processing including the visibility approach can also be balanced in a proper order (</w:t>
      </w:r>
      <w:r w:rsidDel="00000000" w:rsidR="00000000" w:rsidRPr="00000000">
        <w:rPr>
          <w:color w:val="222222"/>
          <w:highlight w:val="white"/>
          <w:rtl w:val="0"/>
        </w:rPr>
        <w:t xml:space="preserve">Osho and Adebambo, 2018)</w:t>
      </w:r>
      <w:r w:rsidDel="00000000" w:rsidR="00000000" w:rsidRPr="00000000">
        <w:rPr>
          <w:rtl w:val="0"/>
        </w:rPr>
        <w:t xml:space="preserve">. With recognition of the above analysis it is basically considerable that at the present situation the management of the business also needs to be considered about the marketability initiative basically with the maintenance of which the proper volume of business productivity selling and formulation approach can be initiated. The formulated processing of this type of initiative can also be initiated in order to maintain the general formulation to support also with the maintenance of which the visibility structure of the business can also be balanced on a proper basis” (</w:t>
      </w:r>
      <w:r w:rsidDel="00000000" w:rsidR="00000000" w:rsidRPr="00000000">
        <w:rPr>
          <w:color w:val="222222"/>
          <w:highlight w:val="white"/>
          <w:rtl w:val="0"/>
        </w:rPr>
        <w:t xml:space="preserve">Lee, 2020)</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40">
      <w:pPr>
        <w:pStyle w:val="Heading1"/>
        <w:rPr/>
      </w:pPr>
      <w:bookmarkStart w:colFirst="0" w:colLast="0" w:name="_heading=h.4d34og8" w:id="8"/>
      <w:bookmarkEnd w:id="8"/>
      <w:r w:rsidDel="00000000" w:rsidR="00000000" w:rsidRPr="00000000">
        <w:rPr>
          <w:rtl w:val="0"/>
        </w:rPr>
        <w:t xml:space="preserve">Conclusions </w:t>
      </w:r>
    </w:p>
    <w:p w:rsidR="00000000" w:rsidDel="00000000" w:rsidP="00000000" w:rsidRDefault="00000000" w:rsidRPr="00000000" w14:paraId="00000041">
      <w:pPr>
        <w:rPr/>
      </w:pPr>
      <w:r w:rsidDel="00000000" w:rsidR="00000000" w:rsidRPr="00000000">
        <w:rPr>
          <w:rtl w:val="0"/>
        </w:rPr>
        <w:t xml:space="preserve">Primary growth related to business performances brings a systematic identification including development approach also that can be processed to maintain the optimised formulation approach in a proper basis. Applied competitive analysis related to this type of processing are also initiated to bring a supportive development that can manage to initiate a structural growth and systematic process in a supportive basis. The maintenance of this type of engagement is also initiated in order to proceed the compatibility formulation also with the maintenance of the general compatibility including feasibility report related to financial growth of the business can also be identified in a proper order. </w:t>
      </w:r>
    </w:p>
    <w:p w:rsidR="00000000" w:rsidDel="00000000" w:rsidP="00000000" w:rsidRDefault="00000000" w:rsidRPr="00000000" w14:paraId="00000042">
      <w:pPr>
        <w:rPr/>
      </w:pP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rPr/>
      </w:pPr>
      <w:bookmarkStart w:colFirst="0" w:colLast="0" w:name="_heading=h.2s8eyo1" w:id="9"/>
      <w:bookmarkEnd w:id="9"/>
      <w:r w:rsidDel="00000000" w:rsidR="00000000" w:rsidRPr="00000000">
        <w:rPr>
          <w:rtl w:val="0"/>
        </w:rPr>
        <w:t xml:space="preserve">References</w:t>
      </w:r>
    </w:p>
    <w:p w:rsidR="00000000" w:rsidDel="00000000" w:rsidP="00000000" w:rsidRDefault="00000000" w:rsidRPr="00000000" w14:paraId="00000044">
      <w:pPr>
        <w:rPr>
          <w:color w:val="222222"/>
          <w:highlight w:val="white"/>
        </w:rPr>
      </w:pPr>
      <w:r w:rsidDel="00000000" w:rsidR="00000000" w:rsidRPr="00000000">
        <w:rPr>
          <w:color w:val="222222"/>
          <w:highlight w:val="white"/>
          <w:rtl w:val="0"/>
        </w:rPr>
        <w:t xml:space="preserve">Atrill, P. and McLaney, E., 2015. </w:t>
      </w:r>
      <w:r w:rsidDel="00000000" w:rsidR="00000000" w:rsidRPr="00000000">
        <w:rPr>
          <w:i w:val="1"/>
          <w:color w:val="222222"/>
          <w:highlight w:val="white"/>
          <w:rtl w:val="0"/>
        </w:rPr>
        <w:t xml:space="preserve">Management accounting for decision makers</w:t>
      </w:r>
      <w:r w:rsidDel="00000000" w:rsidR="00000000" w:rsidRPr="00000000">
        <w:rPr>
          <w:color w:val="222222"/>
          <w:highlight w:val="white"/>
          <w:rtl w:val="0"/>
        </w:rPr>
        <w:t xml:space="preserve">. Pearson Education.</w:t>
      </w:r>
    </w:p>
    <w:p w:rsidR="00000000" w:rsidDel="00000000" w:rsidP="00000000" w:rsidRDefault="00000000" w:rsidRPr="00000000" w14:paraId="00000045">
      <w:pPr>
        <w:rPr>
          <w:color w:val="222222"/>
          <w:highlight w:val="white"/>
        </w:rPr>
      </w:pPr>
      <w:r w:rsidDel="00000000" w:rsidR="00000000" w:rsidRPr="00000000">
        <w:rPr>
          <w:color w:val="222222"/>
          <w:highlight w:val="white"/>
          <w:rtl w:val="0"/>
        </w:rPr>
        <w:t xml:space="preserve">Atrill, P. and McLaney, E.J., 2018. </w:t>
      </w:r>
      <w:r w:rsidDel="00000000" w:rsidR="00000000" w:rsidRPr="00000000">
        <w:rPr>
          <w:i w:val="1"/>
          <w:color w:val="222222"/>
          <w:highlight w:val="white"/>
          <w:rtl w:val="0"/>
        </w:rPr>
        <w:t xml:space="preserve">Accounting and Finance for Non-specialists</w:t>
      </w:r>
      <w:r w:rsidDel="00000000" w:rsidR="00000000" w:rsidRPr="00000000">
        <w:rPr>
          <w:color w:val="222222"/>
          <w:highlight w:val="white"/>
          <w:rtl w:val="0"/>
        </w:rPr>
        <w:t xml:space="preserve">. 11</w:t>
      </w:r>
      <w:r w:rsidDel="00000000" w:rsidR="00000000" w:rsidRPr="00000000">
        <w:rPr>
          <w:color w:val="222222"/>
          <w:highlight w:val="white"/>
          <w:vertAlign w:val="superscript"/>
          <w:rtl w:val="0"/>
        </w:rPr>
        <w:t xml:space="preserve">th</w:t>
      </w:r>
      <w:r w:rsidDel="00000000" w:rsidR="00000000" w:rsidRPr="00000000">
        <w:rPr>
          <w:color w:val="222222"/>
          <w:highlight w:val="white"/>
          <w:rtl w:val="0"/>
        </w:rPr>
        <w:t xml:space="preserve"> Edition, Pearson Education. Chapter 1, 2, 3 and 5. </w:t>
      </w:r>
    </w:p>
    <w:p w:rsidR="00000000" w:rsidDel="00000000" w:rsidP="00000000" w:rsidRDefault="00000000" w:rsidRPr="00000000" w14:paraId="00000046">
      <w:pPr>
        <w:rPr>
          <w:color w:val="222222"/>
          <w:highlight w:val="white"/>
        </w:rPr>
      </w:pPr>
      <w:r w:rsidDel="00000000" w:rsidR="00000000" w:rsidRPr="00000000">
        <w:rPr>
          <w:color w:val="222222"/>
          <w:highlight w:val="white"/>
          <w:rtl w:val="0"/>
        </w:rPr>
        <w:t xml:space="preserve">Bryer, R., 2021. </w:t>
      </w:r>
      <w:r w:rsidDel="00000000" w:rsidR="00000000" w:rsidRPr="00000000">
        <w:rPr>
          <w:i w:val="1"/>
          <w:color w:val="222222"/>
          <w:highlight w:val="white"/>
          <w:rtl w:val="0"/>
        </w:rPr>
        <w:t xml:space="preserve">CREATING THE “BIG MESS” A Marxist History of American Accounting Theory, c. 1900–1929</w:t>
      </w:r>
      <w:r w:rsidDel="00000000" w:rsidR="00000000" w:rsidRPr="00000000">
        <w:rPr>
          <w:color w:val="222222"/>
          <w:highlight w:val="white"/>
          <w:rtl w:val="0"/>
        </w:rPr>
        <w:t xml:space="preserve">.</w:t>
      </w:r>
    </w:p>
    <w:p w:rsidR="00000000" w:rsidDel="00000000" w:rsidP="00000000" w:rsidRDefault="00000000" w:rsidRPr="00000000" w14:paraId="00000047">
      <w:pPr>
        <w:rPr>
          <w:color w:val="222222"/>
          <w:highlight w:val="white"/>
        </w:rPr>
      </w:pPr>
      <w:r w:rsidDel="00000000" w:rsidR="00000000" w:rsidRPr="00000000">
        <w:rPr>
          <w:color w:val="222222"/>
          <w:highlight w:val="white"/>
          <w:rtl w:val="0"/>
        </w:rPr>
        <w:t xml:space="preserve">Bufan, I.D., 2013. The Role of the Budgeting in the Management Process: Planning and Control. </w:t>
      </w:r>
      <w:r w:rsidDel="00000000" w:rsidR="00000000" w:rsidRPr="00000000">
        <w:rPr>
          <w:i w:val="1"/>
          <w:color w:val="222222"/>
          <w:highlight w:val="white"/>
          <w:rtl w:val="0"/>
        </w:rPr>
        <w:t xml:space="preserve">SEA–Practical Application of Science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w:t>
      </w:r>
      <w:r w:rsidDel="00000000" w:rsidR="00000000" w:rsidRPr="00000000">
        <w:rPr>
          <w:color w:val="222222"/>
          <w:highlight w:val="white"/>
          <w:rtl w:val="0"/>
        </w:rPr>
        <w:t xml:space="preserve">(01), pp.16-37.</w:t>
      </w:r>
    </w:p>
    <w:p w:rsidR="00000000" w:rsidDel="00000000" w:rsidP="00000000" w:rsidRDefault="00000000" w:rsidRPr="00000000" w14:paraId="00000048">
      <w:pPr>
        <w:rPr>
          <w:color w:val="222222"/>
          <w:highlight w:val="white"/>
        </w:rPr>
      </w:pPr>
      <w:r w:rsidDel="00000000" w:rsidR="00000000" w:rsidRPr="00000000">
        <w:rPr>
          <w:color w:val="222222"/>
          <w:highlight w:val="white"/>
          <w:rtl w:val="0"/>
        </w:rPr>
        <w:t xml:space="preserve">Deb, R., 2019. Accounting theory coherence revisited. </w:t>
      </w:r>
      <w:r w:rsidDel="00000000" w:rsidR="00000000" w:rsidRPr="00000000">
        <w:rPr>
          <w:i w:val="1"/>
          <w:color w:val="222222"/>
          <w:highlight w:val="white"/>
          <w:rtl w:val="0"/>
        </w:rPr>
        <w:t xml:space="preserve">Management and labour studies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44</w:t>
      </w:r>
      <w:r w:rsidDel="00000000" w:rsidR="00000000" w:rsidRPr="00000000">
        <w:rPr>
          <w:color w:val="222222"/>
          <w:highlight w:val="white"/>
          <w:rtl w:val="0"/>
        </w:rPr>
        <w:t xml:space="preserve">(1), pp.36-57.</w:t>
      </w:r>
    </w:p>
    <w:p w:rsidR="00000000" w:rsidDel="00000000" w:rsidP="00000000" w:rsidRDefault="00000000" w:rsidRPr="00000000" w14:paraId="00000049">
      <w:pPr>
        <w:rPr>
          <w:color w:val="222222"/>
          <w:highlight w:val="white"/>
        </w:rPr>
      </w:pPr>
      <w:r w:rsidDel="00000000" w:rsidR="00000000" w:rsidRPr="00000000">
        <w:rPr>
          <w:color w:val="222222"/>
          <w:highlight w:val="white"/>
          <w:rtl w:val="0"/>
        </w:rPr>
        <w:t xml:space="preserve">Drury, C.M., 2013. </w:t>
      </w:r>
      <w:r w:rsidDel="00000000" w:rsidR="00000000" w:rsidRPr="00000000">
        <w:rPr>
          <w:i w:val="1"/>
          <w:color w:val="222222"/>
          <w:highlight w:val="white"/>
          <w:rtl w:val="0"/>
        </w:rPr>
        <w:t xml:space="preserve">Management and cost accounting</w:t>
      </w:r>
      <w:r w:rsidDel="00000000" w:rsidR="00000000" w:rsidRPr="00000000">
        <w:rPr>
          <w:color w:val="222222"/>
          <w:highlight w:val="white"/>
          <w:rtl w:val="0"/>
        </w:rPr>
        <w:t xml:space="preserve">. Springer.</w:t>
      </w:r>
    </w:p>
    <w:p w:rsidR="00000000" w:rsidDel="00000000" w:rsidP="00000000" w:rsidRDefault="00000000" w:rsidRPr="00000000" w14:paraId="0000004A">
      <w:pPr>
        <w:rPr>
          <w:color w:val="222222"/>
          <w:highlight w:val="white"/>
        </w:rPr>
      </w:pPr>
      <w:r w:rsidDel="00000000" w:rsidR="00000000" w:rsidRPr="00000000">
        <w:rPr>
          <w:color w:val="222222"/>
          <w:highlight w:val="white"/>
          <w:rtl w:val="0"/>
        </w:rPr>
        <w:t xml:space="preserve">Dyson, J. 2010. </w:t>
      </w:r>
      <w:r w:rsidDel="00000000" w:rsidR="00000000" w:rsidRPr="00000000">
        <w:rPr>
          <w:i w:val="1"/>
          <w:color w:val="222222"/>
          <w:highlight w:val="white"/>
          <w:rtl w:val="0"/>
        </w:rPr>
        <w:t xml:space="preserve">Accounting for Non-Accounting student</w:t>
      </w:r>
      <w:r w:rsidDel="00000000" w:rsidR="00000000" w:rsidRPr="00000000">
        <w:rPr>
          <w:color w:val="222222"/>
          <w:highlight w:val="white"/>
          <w:rtl w:val="0"/>
        </w:rPr>
        <w:t xml:space="preserve">. 8</w:t>
      </w:r>
      <w:r w:rsidDel="00000000" w:rsidR="00000000" w:rsidRPr="00000000">
        <w:rPr>
          <w:color w:val="222222"/>
          <w:highlight w:val="white"/>
          <w:vertAlign w:val="superscript"/>
          <w:rtl w:val="0"/>
        </w:rPr>
        <w:t xml:space="preserve">th</w:t>
      </w:r>
      <w:r w:rsidDel="00000000" w:rsidR="00000000" w:rsidRPr="00000000">
        <w:rPr>
          <w:color w:val="222222"/>
          <w:highlight w:val="white"/>
          <w:rtl w:val="0"/>
        </w:rPr>
        <w:t xml:space="preserve"> Edition, Harlow: FT Prentice Hall - Chapter 1, 2, and 5. </w:t>
      </w:r>
    </w:p>
    <w:p w:rsidR="00000000" w:rsidDel="00000000" w:rsidP="00000000" w:rsidRDefault="00000000" w:rsidRPr="00000000" w14:paraId="0000004B">
      <w:pPr>
        <w:rPr>
          <w:color w:val="222222"/>
          <w:highlight w:val="white"/>
        </w:rPr>
      </w:pPr>
      <w:r w:rsidDel="00000000" w:rsidR="00000000" w:rsidRPr="00000000">
        <w:rPr>
          <w:color w:val="222222"/>
          <w:highlight w:val="white"/>
          <w:rtl w:val="0"/>
        </w:rPr>
        <w:t xml:space="preserve">Lee, T.A., 2020. Financial accounting theory. In </w:t>
      </w:r>
      <w:r w:rsidDel="00000000" w:rsidR="00000000" w:rsidRPr="00000000">
        <w:rPr>
          <w:i w:val="1"/>
          <w:color w:val="222222"/>
          <w:highlight w:val="white"/>
          <w:rtl w:val="0"/>
        </w:rPr>
        <w:t xml:space="preserve">The Routledge Companion to Accounting History</w:t>
      </w:r>
      <w:r w:rsidDel="00000000" w:rsidR="00000000" w:rsidRPr="00000000">
        <w:rPr>
          <w:color w:val="222222"/>
          <w:highlight w:val="white"/>
          <w:rtl w:val="0"/>
        </w:rPr>
        <w:t xml:space="preserve"> (pp. 159-184). London, UK: Routledge.</w:t>
      </w:r>
    </w:p>
    <w:p w:rsidR="00000000" w:rsidDel="00000000" w:rsidP="00000000" w:rsidRDefault="00000000" w:rsidRPr="00000000" w14:paraId="0000004C">
      <w:pPr>
        <w:rPr>
          <w:color w:val="222222"/>
          <w:highlight w:val="white"/>
        </w:rPr>
      </w:pPr>
      <w:r w:rsidDel="00000000" w:rsidR="00000000" w:rsidRPr="00000000">
        <w:rPr>
          <w:color w:val="222222"/>
          <w:highlight w:val="white"/>
          <w:rtl w:val="0"/>
        </w:rPr>
        <w:t xml:space="preserve">Oncioiu, G.C. and Stanciu, A., 2020. Creative Accounting and Its Impact on Financial Statements. In </w:t>
      </w:r>
      <w:r w:rsidDel="00000000" w:rsidR="00000000" w:rsidRPr="00000000">
        <w:rPr>
          <w:i w:val="1"/>
          <w:color w:val="222222"/>
          <w:highlight w:val="white"/>
          <w:rtl w:val="0"/>
        </w:rPr>
        <w:t xml:space="preserve">Management Accounting Standards for Sustainable Business Practices</w:t>
      </w:r>
      <w:r w:rsidDel="00000000" w:rsidR="00000000" w:rsidRPr="00000000">
        <w:rPr>
          <w:color w:val="222222"/>
          <w:highlight w:val="white"/>
          <w:rtl w:val="0"/>
        </w:rPr>
        <w:t xml:space="preserve"> (pp. 239-250). IGI Global.</w:t>
      </w:r>
    </w:p>
    <w:p w:rsidR="00000000" w:rsidDel="00000000" w:rsidP="00000000" w:rsidRDefault="00000000" w:rsidRPr="00000000" w14:paraId="0000004D">
      <w:pPr>
        <w:rPr>
          <w:color w:val="222222"/>
          <w:highlight w:val="white"/>
        </w:rPr>
      </w:pPr>
      <w:r w:rsidDel="00000000" w:rsidR="00000000" w:rsidRPr="00000000">
        <w:rPr>
          <w:color w:val="222222"/>
          <w:highlight w:val="white"/>
          <w:rtl w:val="0"/>
        </w:rPr>
        <w:t xml:space="preserve">Osho, A.E. and Adebambo, A., 2018. The Relevance of Accounting Theory on Business Financial Performance in Nigeria. </w:t>
      </w:r>
      <w:r w:rsidDel="00000000" w:rsidR="00000000" w:rsidRPr="00000000">
        <w:rPr>
          <w:i w:val="1"/>
          <w:color w:val="222222"/>
          <w:highlight w:val="white"/>
          <w:rtl w:val="0"/>
        </w:rPr>
        <w:t xml:space="preserve">European Scientific Journal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14</w:t>
      </w:r>
      <w:r w:rsidDel="00000000" w:rsidR="00000000" w:rsidRPr="00000000">
        <w:rPr>
          <w:color w:val="222222"/>
          <w:highlight w:val="white"/>
          <w:rtl w:val="0"/>
        </w:rPr>
        <w:t xml:space="preserve">, p.25.</w:t>
      </w:r>
    </w:p>
    <w:p w:rsidR="00000000" w:rsidDel="00000000" w:rsidP="00000000" w:rsidRDefault="00000000" w:rsidRPr="00000000" w14:paraId="0000004E">
      <w:pPr>
        <w:rPr/>
      </w:pPr>
      <w:r w:rsidDel="00000000" w:rsidR="00000000" w:rsidRPr="00000000">
        <w:rPr>
          <w:rtl w:val="0"/>
        </w:rPr>
        <w:t xml:space="preserve">Schroeder, R.G., Clark, M.W. and Cathey, J.M., 2019. </w:t>
      </w:r>
      <w:r w:rsidDel="00000000" w:rsidR="00000000" w:rsidRPr="00000000">
        <w:rPr>
          <w:i w:val="1"/>
          <w:rtl w:val="0"/>
        </w:rPr>
        <w:t xml:space="preserve">Financial accounting theory and analysis: text and cases</w:t>
      </w:r>
      <w:r w:rsidDel="00000000" w:rsidR="00000000" w:rsidRPr="00000000">
        <w:rPr>
          <w:rtl w:val="0"/>
        </w:rPr>
        <w:t xml:space="preserve">. John Wiley &amp; Sons.</w:t>
      </w:r>
    </w:p>
    <w:p w:rsidR="00000000" w:rsidDel="00000000" w:rsidP="00000000" w:rsidRDefault="00000000" w:rsidRPr="00000000" w14:paraId="0000004F">
      <w:pPr>
        <w:rPr>
          <w:color w:val="222222"/>
          <w:highlight w:val="white"/>
        </w:rPr>
      </w:pPr>
      <w:r w:rsidDel="00000000" w:rsidR="00000000" w:rsidRPr="00000000">
        <w:rPr>
          <w:color w:val="222222"/>
          <w:highlight w:val="white"/>
          <w:rtl w:val="0"/>
        </w:rPr>
        <w:t xml:space="preserve">Seal, W.B., Rohde, C., Garrison, R.H. and Noreen, E.W., 2019. Management accounting. Sixth education.</w:t>
      </w:r>
    </w:p>
    <w:p w:rsidR="00000000" w:rsidDel="00000000" w:rsidP="00000000" w:rsidRDefault="00000000" w:rsidRPr="00000000" w14:paraId="00000050">
      <w:pPr>
        <w:rPr>
          <w:color w:val="222222"/>
          <w:highlight w:val="white"/>
        </w:rPr>
      </w:pPr>
      <w:r w:rsidDel="00000000" w:rsidR="00000000" w:rsidRPr="00000000">
        <w:rPr>
          <w:color w:val="222222"/>
          <w:highlight w:val="white"/>
          <w:rtl w:val="0"/>
        </w:rPr>
        <w:t xml:space="preserve">Thomas, A. and Ward, A.M., 2019. </w:t>
      </w:r>
      <w:r w:rsidDel="00000000" w:rsidR="00000000" w:rsidRPr="00000000">
        <w:rPr>
          <w:i w:val="1"/>
          <w:color w:val="222222"/>
          <w:highlight w:val="white"/>
          <w:rtl w:val="0"/>
        </w:rPr>
        <w:t xml:space="preserve">EBOOK: Introduction to Financial Accounting, 9e</w:t>
      </w:r>
      <w:r w:rsidDel="00000000" w:rsidR="00000000" w:rsidRPr="00000000">
        <w:rPr>
          <w:color w:val="222222"/>
          <w:highlight w:val="white"/>
          <w:rtl w:val="0"/>
        </w:rPr>
        <w:t xml:space="preserve">. McGraw Hill. </w:t>
      </w:r>
    </w:p>
    <w:p w:rsidR="00000000" w:rsidDel="00000000" w:rsidP="00000000" w:rsidRDefault="00000000" w:rsidRPr="00000000" w14:paraId="00000051">
      <w:pPr>
        <w:rPr>
          <w:color w:val="222222"/>
          <w:highlight w:val="white"/>
        </w:rPr>
      </w:pPr>
      <w:r w:rsidDel="00000000" w:rsidR="00000000" w:rsidRPr="00000000">
        <w:rPr>
          <w:color w:val="222222"/>
          <w:highlight w:val="white"/>
          <w:rtl w:val="0"/>
        </w:rPr>
        <w:t xml:space="preserve">Warren, C.S. and Jones, J., 2018. </w:t>
      </w:r>
      <w:r w:rsidDel="00000000" w:rsidR="00000000" w:rsidRPr="00000000">
        <w:rPr>
          <w:i w:val="1"/>
          <w:color w:val="222222"/>
          <w:highlight w:val="white"/>
          <w:rtl w:val="0"/>
        </w:rPr>
        <w:t xml:space="preserve">Corporate financial accounting</w:t>
      </w:r>
      <w:r w:rsidDel="00000000" w:rsidR="00000000" w:rsidRPr="00000000">
        <w:rPr>
          <w:color w:val="222222"/>
          <w:highlight w:val="white"/>
          <w:rtl w:val="0"/>
        </w:rPr>
        <w:t xml:space="preserve">. Cengage Learning.</w:t>
      </w:r>
    </w:p>
    <w:p w:rsidR="00000000" w:rsidDel="00000000" w:rsidP="00000000" w:rsidRDefault="00000000" w:rsidRPr="00000000" w14:paraId="00000052">
      <w:pPr>
        <w:rPr>
          <w:color w:val="222222"/>
          <w:highlight w:val="white"/>
        </w:rPr>
      </w:pPr>
      <w:r w:rsidDel="00000000" w:rsidR="00000000" w:rsidRPr="00000000">
        <w:rPr>
          <w:color w:val="222222"/>
          <w:highlight w:val="white"/>
          <w:rtl w:val="0"/>
        </w:rPr>
        <w:t xml:space="preserve">Weetman, P., 2019. </w:t>
      </w:r>
      <w:r w:rsidDel="00000000" w:rsidR="00000000" w:rsidRPr="00000000">
        <w:rPr>
          <w:i w:val="1"/>
          <w:color w:val="222222"/>
          <w:highlight w:val="white"/>
          <w:rtl w:val="0"/>
        </w:rPr>
        <w:t xml:space="preserve">Financial and management accounting</w:t>
      </w:r>
      <w:r w:rsidDel="00000000" w:rsidR="00000000" w:rsidRPr="00000000">
        <w:rPr>
          <w:color w:val="222222"/>
          <w:highlight w:val="white"/>
          <w:rtl w:val="0"/>
        </w:rPr>
        <w:t xml:space="preserve">. Pearson UK.</w:t>
      </w:r>
    </w:p>
    <w:p w:rsidR="00000000" w:rsidDel="00000000" w:rsidP="00000000" w:rsidRDefault="00000000" w:rsidRPr="00000000" w14:paraId="00000053">
      <w:pPr>
        <w:rPr>
          <w:color w:val="222222"/>
          <w:highlight w:val="white"/>
        </w:rPr>
      </w:pPr>
      <w:r w:rsidDel="00000000" w:rsidR="00000000" w:rsidRPr="00000000">
        <w:rPr>
          <w:color w:val="222222"/>
          <w:highlight w:val="white"/>
          <w:rtl w:val="0"/>
        </w:rPr>
        <w:t xml:space="preserve">Wiratama, R. and Asri, M., 2020. A literature review: Positive accounting theory (PAT). </w:t>
      </w:r>
      <w:r w:rsidDel="00000000" w:rsidR="00000000" w:rsidRPr="00000000">
        <w:rPr>
          <w:i w:val="1"/>
          <w:color w:val="222222"/>
          <w:highlight w:val="white"/>
          <w:rtl w:val="0"/>
        </w:rPr>
        <w:t xml:space="preserve">Available at SSRN 3523571</w:t>
      </w:r>
      <w:r w:rsidDel="00000000" w:rsidR="00000000" w:rsidRPr="00000000">
        <w:rPr>
          <w:color w:val="222222"/>
          <w:highlight w:val="white"/>
          <w:rtl w:val="0"/>
        </w:rPr>
        <w:t xml:space="preserve">.</w:t>
      </w:r>
    </w:p>
    <w:sectPr>
      <w:footerReference r:id="rId11"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rPr>
      <w:b w:val="1"/>
    </w:rPr>
  </w:style>
  <w:style w:type="paragraph" w:styleId="Heading2">
    <w:name w:val="heading 2"/>
    <w:basedOn w:val="Normal"/>
    <w:next w:val="Normal"/>
    <w:pPr/>
    <w:rPr>
      <w:b w:val="1"/>
    </w:rPr>
  </w:style>
  <w:style w:type="paragraph" w:styleId="Heading3">
    <w:name w:val="heading 3"/>
    <w:basedOn w:val="Normal"/>
    <w:next w:val="Normal"/>
    <w:pPr/>
    <w:rPr>
      <w:b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rPr>
      <w:lang w:val="en-GB"/>
    </w:rPr>
  </w:style>
  <w:style w:type="paragraph" w:styleId="Heading1">
    <w:name w:val="heading 1"/>
    <w:basedOn w:val="Normal"/>
    <w:next w:val="Normal"/>
    <w:rsid w:val="00991C10"/>
    <w:pPr>
      <w:outlineLvl w:val="0"/>
    </w:pPr>
    <w:rPr>
      <w:b w:val="1"/>
    </w:rPr>
  </w:style>
  <w:style w:type="paragraph" w:styleId="Heading2">
    <w:name w:val="heading 2"/>
    <w:basedOn w:val="Normal"/>
    <w:next w:val="Normal"/>
    <w:rsid w:val="00991C10"/>
    <w:pPr>
      <w:outlineLvl w:val="1"/>
    </w:pPr>
    <w:rPr>
      <w:b w:val="1"/>
    </w:rPr>
  </w:style>
  <w:style w:type="paragraph" w:styleId="Heading3">
    <w:name w:val="heading 3"/>
    <w:basedOn w:val="Normal"/>
    <w:next w:val="Normal"/>
    <w:rsid w:val="00991C10"/>
    <w:pPr>
      <w:outlineLvl w:val="2"/>
    </w:pPr>
    <w:rPr>
      <w:b w:val="1"/>
    </w:rPr>
  </w:style>
  <w:style w:type="paragraph" w:styleId="Heading4">
    <w:name w:val="heading 4"/>
    <w:basedOn w:val="Normal"/>
    <w:next w:val="Normal"/>
    <w:pPr>
      <w:keepNext w:val="1"/>
      <w:keepLines w:val="1"/>
      <w:spacing w:after="80" w:before="280"/>
      <w:outlineLvl w:val="3"/>
    </w:pPr>
    <w:rPr>
      <w:color w:val="666666"/>
    </w:rPr>
  </w:style>
  <w:style w:type="paragraph" w:styleId="Heading5">
    <w:name w:val="heading 5"/>
    <w:basedOn w:val="Normal"/>
    <w:next w:val="Normal"/>
    <w:pPr>
      <w:keepNext w:val="1"/>
      <w:keepLines w:val="1"/>
      <w:spacing w:after="80" w:before="240"/>
      <w:outlineLvl w:val="4"/>
    </w:pPr>
    <w:rPr>
      <w:color w:val="666666"/>
      <w:sz w:val="22"/>
      <w:szCs w:val="22"/>
    </w:rPr>
  </w:style>
  <w:style w:type="paragraph" w:styleId="Heading6">
    <w:name w:val="heading 6"/>
    <w:basedOn w:val="Normal"/>
    <w:next w:val="Normal"/>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rFonts w:ascii="Arial" w:cs="Arial" w:eastAsia="Arial" w:hAnsi="Arial"/>
      <w:color w:val="666666"/>
      <w:sz w:val="30"/>
      <w:szCs w:val="30"/>
    </w:rPr>
  </w:style>
  <w:style w:type="paragraph" w:styleId="TOCHeading">
    <w:name w:val="TOC Heading"/>
    <w:basedOn w:val="Heading1"/>
    <w:next w:val="Normal"/>
    <w:uiPriority w:val="39"/>
    <w:unhideWhenUsed w:val="1"/>
    <w:qFormat w:val="1"/>
    <w:rsid w:val="00991C10"/>
    <w:pPr>
      <w:keepNext w:val="1"/>
      <w:keepLines w:val="1"/>
      <w:spacing w:before="240" w:line="259" w:lineRule="auto"/>
      <w:jc w:val="left"/>
      <w:outlineLvl w:val="9"/>
    </w:pPr>
    <w:rPr>
      <w:rFonts w:asciiTheme="majorHAnsi" w:cstheme="majorBidi" w:eastAsiaTheme="majorEastAsia" w:hAnsiTheme="majorHAnsi"/>
      <w:b w:val="0"/>
      <w:color w:val="365f91" w:themeColor="accent1" w:themeShade="0000BF"/>
      <w:sz w:val="32"/>
      <w:szCs w:val="32"/>
      <w:lang w:val="en-US"/>
    </w:rPr>
  </w:style>
  <w:style w:type="paragraph" w:styleId="TOC1">
    <w:name w:val="toc 1"/>
    <w:basedOn w:val="Normal"/>
    <w:next w:val="Normal"/>
    <w:autoRedefine w:val="1"/>
    <w:uiPriority w:val="39"/>
    <w:unhideWhenUsed w:val="1"/>
    <w:rsid w:val="00991C10"/>
    <w:pPr>
      <w:spacing w:after="100"/>
    </w:pPr>
  </w:style>
  <w:style w:type="paragraph" w:styleId="TOC2">
    <w:name w:val="toc 2"/>
    <w:basedOn w:val="Normal"/>
    <w:next w:val="Normal"/>
    <w:autoRedefine w:val="1"/>
    <w:uiPriority w:val="39"/>
    <w:unhideWhenUsed w:val="1"/>
    <w:rsid w:val="00991C10"/>
    <w:pPr>
      <w:spacing w:after="100"/>
      <w:ind w:left="240"/>
    </w:pPr>
  </w:style>
  <w:style w:type="paragraph" w:styleId="TOC3">
    <w:name w:val="toc 3"/>
    <w:basedOn w:val="Normal"/>
    <w:next w:val="Normal"/>
    <w:autoRedefine w:val="1"/>
    <w:uiPriority w:val="39"/>
    <w:unhideWhenUsed w:val="1"/>
    <w:rsid w:val="00991C10"/>
    <w:pPr>
      <w:spacing w:after="100"/>
      <w:ind w:left="480"/>
    </w:pPr>
  </w:style>
  <w:style w:type="character" w:styleId="Hyperlink">
    <w:name w:val="Hyperlink"/>
    <w:basedOn w:val="DefaultParagraphFont"/>
    <w:uiPriority w:val="99"/>
    <w:unhideWhenUsed w:val="1"/>
    <w:rsid w:val="00991C10"/>
    <w:rPr>
      <w:color w:val="0000ff" w:themeColor="hyperlink"/>
      <w:u w:val="single"/>
    </w:rPr>
  </w:style>
  <w:style w:type="paragraph" w:styleId="Header">
    <w:name w:val="header"/>
    <w:basedOn w:val="Normal"/>
    <w:link w:val="HeaderChar"/>
    <w:uiPriority w:val="99"/>
    <w:unhideWhenUsed w:val="1"/>
    <w:rsid w:val="00991C10"/>
    <w:pPr>
      <w:tabs>
        <w:tab w:val="center" w:pos="4680"/>
        <w:tab w:val="right" w:pos="9360"/>
      </w:tabs>
      <w:spacing w:line="240" w:lineRule="auto"/>
    </w:pPr>
  </w:style>
  <w:style w:type="character" w:styleId="HeaderChar" w:customStyle="1">
    <w:name w:val="Header Char"/>
    <w:basedOn w:val="DefaultParagraphFont"/>
    <w:link w:val="Header"/>
    <w:uiPriority w:val="99"/>
    <w:rsid w:val="00991C10"/>
    <w:rPr>
      <w:lang w:val="en-GB"/>
    </w:rPr>
  </w:style>
  <w:style w:type="paragraph" w:styleId="Footer">
    <w:name w:val="footer"/>
    <w:basedOn w:val="Normal"/>
    <w:link w:val="FooterChar"/>
    <w:uiPriority w:val="99"/>
    <w:unhideWhenUsed w:val="1"/>
    <w:rsid w:val="00991C10"/>
    <w:pPr>
      <w:tabs>
        <w:tab w:val="center" w:pos="4680"/>
        <w:tab w:val="right" w:pos="9360"/>
      </w:tabs>
      <w:spacing w:line="240" w:lineRule="auto"/>
    </w:pPr>
  </w:style>
  <w:style w:type="character" w:styleId="FooterChar" w:customStyle="1">
    <w:name w:val="Footer Char"/>
    <w:basedOn w:val="DefaultParagraphFont"/>
    <w:link w:val="Footer"/>
    <w:uiPriority w:val="99"/>
    <w:rsid w:val="00991C10"/>
    <w:rPr>
      <w:lang w:val="en-GB"/>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image" Target="media/image3.png"/><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BCGXuJUzdpySQnlkTpRwZBflihQ==">AMUW2mWiJH4jOGJMSLB8bq08oCx4Oz+PS3fRNt0g4hRTQJf3eqLCEuJcAQdw0M8gDJ5Gzcb57er7PqNiO2fpeWJRdsnLO0TvxPKIN4k8Fh/jtzNygE2/GSB7oOKkLfUGHbxL+zBNPrVGgROsjH56TmmI+oaqYAa5OOaQyaGJVRF+Jpj4H5FFjLGW+zpnz0CGElu5Noxe1nfGpnSIOh2YnJMiSBBVzy/SCvhre24F5/+CbeKCYDCRTIUq9WnW+2MIatYKmGz6JgAF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2022-04-20T15:50:00Z</dcterms:created>
</cp:coreProperties>
</file>