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05C6C" w14:textId="77777777" w:rsidR="00611BD5" w:rsidRPr="00671258" w:rsidRDefault="00562D58">
      <w:pPr>
        <w:rPr>
          <w:b/>
          <w:bCs/>
          <w:i/>
          <w:iCs/>
        </w:rPr>
      </w:pPr>
      <w:r w:rsidRPr="00671258">
        <w:rPr>
          <w:b/>
          <w:bCs/>
          <w:i/>
          <w:iCs/>
        </w:rPr>
        <w:t>Slide: Recommendations – Design Thinking Framework</w:t>
      </w:r>
    </w:p>
    <w:p w14:paraId="78A668B5" w14:textId="77777777" w:rsidR="00562D58" w:rsidRDefault="001E694E" w:rsidP="00562D58">
      <w:pPr>
        <w:jc w:val="center"/>
      </w:pPr>
      <w:r w:rsidRPr="00562D58">
        <w:rPr>
          <w:noProof/>
        </w:rPr>
      </w:r>
      <w:r w:rsidR="001E694E" w:rsidRPr="00562D58">
        <w:rPr>
          <w:noProof/>
        </w:rPr>
        <w:object w:dxaOrig="7202" w:dyaOrig="40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3.05pt" o:ole="">
            <v:imagedata r:id="rId4" o:title=""/>
          </v:shape>
          <o:OLEObject Type="Embed" ProgID="PowerPoint.Slide.12" ShapeID="_x0000_i1025" DrawAspect="Content" ObjectID="_1749835828" r:id="rId5"/>
        </w:object>
      </w:r>
    </w:p>
    <w:p w14:paraId="230BE0EA" w14:textId="77777777" w:rsidR="00562D58" w:rsidRDefault="00562D58" w:rsidP="00562D58">
      <w:pPr>
        <w:jc w:val="both"/>
      </w:pPr>
      <w:r w:rsidRPr="00562D58">
        <w:rPr>
          <w:b/>
          <w:bCs/>
          <w:i/>
          <w:iCs/>
        </w:rPr>
        <w:t>Note:</w:t>
      </w:r>
      <w:r>
        <w:t xml:space="preserve"> </w:t>
      </w:r>
      <w:r w:rsidRPr="00562D58">
        <w:t>By actively listening as well as engaging with other stakeholders, the team can uncover new and unique insights as well as identify hidden challenges which may not be immediately apparent. This empathetic approach assures that the solutions developed are human centered considering the specific challenges faced by the people from the real world, due to these considerations as new and unique insights from this process can be gained it lead towards more effective and meaningful intervention ensuing process</w:t>
      </w:r>
      <w:r w:rsidR="00BF7BD2">
        <w:t xml:space="preserve"> (Naiman, 2019)</w:t>
      </w:r>
      <w:r w:rsidRPr="00562D58">
        <w:t xml:space="preserve">. In consideration to human centered approach it can be found that empathy drives human centered approach in design thinking and assures that the solutions are meaningful, inclusive and relevant at the same time. </w:t>
      </w:r>
    </w:p>
    <w:p w14:paraId="19C03FE9" w14:textId="77777777" w:rsidR="00562D58" w:rsidRPr="00671258" w:rsidRDefault="00562D58" w:rsidP="00562D58">
      <w:pPr>
        <w:rPr>
          <w:b/>
          <w:bCs/>
          <w:i/>
          <w:iCs/>
        </w:rPr>
      </w:pPr>
      <w:r w:rsidRPr="00671258">
        <w:rPr>
          <w:b/>
          <w:bCs/>
          <w:i/>
          <w:iCs/>
        </w:rPr>
        <w:t xml:space="preserve">Slide: Continued… </w:t>
      </w:r>
    </w:p>
    <w:p w14:paraId="7F608B62" w14:textId="77777777" w:rsidR="00562D58" w:rsidRDefault="001E694E" w:rsidP="00562D58">
      <w:pPr>
        <w:jc w:val="center"/>
      </w:pPr>
      <w:r w:rsidRPr="00562D58">
        <w:rPr>
          <w:noProof/>
        </w:rPr>
      </w:r>
      <w:r w:rsidR="001E694E" w:rsidRPr="00562D58">
        <w:rPr>
          <w:noProof/>
        </w:rPr>
        <w:object w:dxaOrig="7202" w:dyaOrig="4043">
          <v:shape id="_x0000_i1026" type="#_x0000_t75" style="width:5in;height:203.05pt" o:ole="">
            <v:imagedata r:id="rId6" o:title=""/>
          </v:shape>
          <o:OLEObject Type="Embed" ProgID="PowerPoint.Slide.12" ShapeID="_x0000_i1026" DrawAspect="Content" ObjectID="_1749835829" r:id="rId7"/>
        </w:object>
      </w:r>
    </w:p>
    <w:p w14:paraId="35D02238" w14:textId="77777777" w:rsidR="00562D58" w:rsidRDefault="00562D58" w:rsidP="00562D58">
      <w:pPr>
        <w:jc w:val="both"/>
      </w:pPr>
      <w:r w:rsidRPr="00562D58">
        <w:rPr>
          <w:b/>
          <w:bCs/>
          <w:i/>
          <w:iCs/>
        </w:rPr>
        <w:t xml:space="preserve">Note: </w:t>
      </w:r>
      <w:r w:rsidRPr="00562D58">
        <w:t xml:space="preserve">Stakeholders engagement includes engagement with communities and individuals that are directly affected by the challenges of environmental degradation and climate change as well as policymakers, </w:t>
      </w:r>
      <w:r w:rsidRPr="00562D58">
        <w:lastRenderedPageBreak/>
        <w:t>experts, scientists and the companies that are working on the field. By involving stakeholders such as farmers, healthcare professionals, indigenous communities and environmentalists the team can gather diverse insights and perspectives regarding the challenges faced. Now, in the process of observation and immersion, observation of the physical manifestation of the challenges for example, rising seas levels, extreme weather events and changes in the ecosystem is critical. That is because witnessing those impacts primarily the team can effectively understand the long-term as well as immediate consequences on the infrastructure, natural environment and communities at the same time</w:t>
      </w:r>
      <w:r w:rsidR="00BF7BD2">
        <w:t xml:space="preserve"> (Shapira </w:t>
      </w:r>
      <w:r w:rsidR="00BF7BD2" w:rsidRPr="00BF7BD2">
        <w:rPr>
          <w:i/>
          <w:iCs/>
        </w:rPr>
        <w:t>et al.</w:t>
      </w:r>
      <w:r w:rsidR="00BF7BD2">
        <w:t xml:space="preserve"> 2017) </w:t>
      </w:r>
      <w:r w:rsidRPr="00562D58">
        <w:t>. Lastly, in the aspect of active listening, it involves creation of an open and safe environment for the stakeholders to share their experiences, ideas and concerns, now through actively listening with empathy, the team will be able to uncover the psychological and emotional impact of these challenges on communities and individuals. Moreover, it also can be found that active listening helps in understanding the specific vulnerabilities, aspirations and needs of different groups of stakeholders.</w:t>
      </w:r>
    </w:p>
    <w:p w14:paraId="0CBD7C50" w14:textId="77777777" w:rsidR="00562D58" w:rsidRPr="00671258" w:rsidRDefault="00562D58" w:rsidP="00562D58">
      <w:pPr>
        <w:jc w:val="both"/>
        <w:rPr>
          <w:b/>
          <w:bCs/>
          <w:i/>
          <w:iCs/>
        </w:rPr>
      </w:pPr>
      <w:r w:rsidRPr="00671258">
        <w:rPr>
          <w:b/>
          <w:bCs/>
          <w:i/>
          <w:iCs/>
        </w:rPr>
        <w:t xml:space="preserve">Slide: Continued… </w:t>
      </w:r>
    </w:p>
    <w:p w14:paraId="5C56C4DB" w14:textId="77777777" w:rsidR="00562D58" w:rsidRDefault="001E694E" w:rsidP="00562D58">
      <w:pPr>
        <w:jc w:val="center"/>
        <w:rPr>
          <w:b/>
          <w:bCs/>
          <w:i/>
          <w:iCs/>
        </w:rPr>
      </w:pPr>
      <w:r w:rsidRPr="00562D58">
        <w:rPr>
          <w:b/>
          <w:bCs/>
          <w:i/>
          <w:iCs/>
          <w:noProof/>
        </w:rPr>
      </w:r>
      <w:r w:rsidR="001E694E" w:rsidRPr="00562D58">
        <w:rPr>
          <w:b/>
          <w:bCs/>
          <w:i/>
          <w:iCs/>
          <w:noProof/>
        </w:rPr>
        <w:object w:dxaOrig="7202" w:dyaOrig="4043">
          <v:shape id="_x0000_i1027" type="#_x0000_t75" style="width:5in;height:203.05pt" o:ole="">
            <v:imagedata r:id="rId8" o:title=""/>
          </v:shape>
          <o:OLEObject Type="Embed" ProgID="PowerPoint.Slide.12" ShapeID="_x0000_i1027" DrawAspect="Content" ObjectID="_1749835830" r:id="rId9"/>
        </w:object>
      </w:r>
    </w:p>
    <w:p w14:paraId="07CADD74" w14:textId="77777777" w:rsidR="00562D58" w:rsidRDefault="00562D58" w:rsidP="00562D58">
      <w:pPr>
        <w:jc w:val="both"/>
        <w:rPr>
          <w:b/>
          <w:bCs/>
          <w:i/>
          <w:iCs/>
        </w:rPr>
      </w:pPr>
      <w:r>
        <w:rPr>
          <w:b/>
          <w:bCs/>
          <w:i/>
          <w:iCs/>
        </w:rPr>
        <w:t xml:space="preserve">Note: </w:t>
      </w:r>
      <w:r w:rsidRPr="00562D58">
        <w:t>In the aspect of interviews, interviews can be conducted with community leaders, individuals and focus groups there, surveys can be used for collection of quantitative information on the socio economic perceptions and impacts of environmental degradation and climate change. These methods help in the process of capturing a diverse range of perspectives and experiences which enables a more nuanced understanding of the challenges. In the aspect of empathy mapping, creation of visual representation involves identifying stakeholder’ needs emotions, aspirations and behaviors that are related to environmental degradation and climate change</w:t>
      </w:r>
      <w:r w:rsidR="00BF7BD2">
        <w:t xml:space="preserve"> (</w:t>
      </w:r>
      <w:r w:rsidR="00BF7BD2" w:rsidRPr="00BF7BD2">
        <w:rPr>
          <w:rFonts w:eastAsia="Times New Roman" w:cstheme="minorHAnsi"/>
          <w:szCs w:val="22"/>
          <w:shd w:val="clear" w:color="auto" w:fill="FFFFFF"/>
        </w:rPr>
        <w:t>Simpson</w:t>
      </w:r>
      <w:r w:rsidR="00BF7BD2">
        <w:rPr>
          <w:rFonts w:eastAsia="Times New Roman" w:cstheme="minorHAnsi"/>
          <w:szCs w:val="22"/>
          <w:shd w:val="clear" w:color="auto" w:fill="FFFFFF"/>
        </w:rPr>
        <w:t xml:space="preserve"> </w:t>
      </w:r>
      <w:r w:rsidR="00BF7BD2" w:rsidRPr="00BF7BD2">
        <w:rPr>
          <w:rFonts w:eastAsia="Times New Roman" w:cstheme="minorHAnsi"/>
          <w:i/>
          <w:iCs/>
          <w:szCs w:val="22"/>
          <w:shd w:val="clear" w:color="auto" w:fill="FFFFFF"/>
        </w:rPr>
        <w:t>et al.</w:t>
      </w:r>
      <w:r w:rsidR="00BF7BD2">
        <w:rPr>
          <w:rFonts w:eastAsia="Times New Roman" w:cstheme="minorHAnsi"/>
          <w:szCs w:val="22"/>
          <w:shd w:val="clear" w:color="auto" w:fill="FFFFFF"/>
        </w:rPr>
        <w:t xml:space="preserve"> 2021)</w:t>
      </w:r>
      <w:r w:rsidRPr="00562D58">
        <w:t>. This empathy mapping helps in identification of patterns, commonalities as well as discrepancies among various different groups of stakeholders which allows a deeper understanding of their motivations and concerns.</w:t>
      </w:r>
      <w:r w:rsidRPr="00562D58">
        <w:rPr>
          <w:b/>
          <w:bCs/>
          <w:i/>
          <w:iCs/>
        </w:rPr>
        <w:t xml:space="preserve">  </w:t>
      </w:r>
    </w:p>
    <w:p w14:paraId="0C9E6118" w14:textId="77777777" w:rsidR="00562D58" w:rsidRDefault="00562D58" w:rsidP="00562D58">
      <w:pPr>
        <w:jc w:val="both"/>
        <w:rPr>
          <w:b/>
          <w:bCs/>
          <w:i/>
          <w:iCs/>
        </w:rPr>
      </w:pPr>
      <w:r>
        <w:rPr>
          <w:b/>
          <w:bCs/>
          <w:i/>
          <w:iCs/>
        </w:rPr>
        <w:t xml:space="preserve">Slide: Continued… </w:t>
      </w:r>
    </w:p>
    <w:p w14:paraId="32FF80CE" w14:textId="77777777" w:rsidR="00562D58" w:rsidRDefault="001E694E" w:rsidP="00562D58">
      <w:pPr>
        <w:jc w:val="center"/>
        <w:rPr>
          <w:b/>
          <w:bCs/>
          <w:i/>
          <w:iCs/>
        </w:rPr>
      </w:pPr>
      <w:r w:rsidRPr="00562D58">
        <w:rPr>
          <w:b/>
          <w:bCs/>
          <w:i/>
          <w:iCs/>
          <w:noProof/>
        </w:rPr>
      </w:r>
      <w:r w:rsidR="001E694E" w:rsidRPr="00562D58">
        <w:rPr>
          <w:b/>
          <w:bCs/>
          <w:i/>
          <w:iCs/>
          <w:noProof/>
        </w:rPr>
        <w:object w:dxaOrig="7202" w:dyaOrig="4043">
          <v:shape id="_x0000_i1028" type="#_x0000_t75" style="width:5in;height:203.05pt" o:ole="">
            <v:imagedata r:id="rId10" o:title=""/>
          </v:shape>
          <o:OLEObject Type="Embed" ProgID="PowerPoint.Slide.12" ShapeID="_x0000_i1028" DrawAspect="Content" ObjectID="_1749835831" r:id="rId11"/>
        </w:object>
      </w:r>
    </w:p>
    <w:p w14:paraId="0EFD2353" w14:textId="77777777" w:rsidR="00562D58" w:rsidRPr="00562D58" w:rsidRDefault="00562D58" w:rsidP="00562D58">
      <w:pPr>
        <w:jc w:val="both"/>
      </w:pPr>
      <w:r>
        <w:rPr>
          <w:b/>
          <w:bCs/>
          <w:i/>
          <w:iCs/>
        </w:rPr>
        <w:t xml:space="preserve">Note: </w:t>
      </w:r>
      <w:r w:rsidRPr="00562D58">
        <w:t>As climate change has been considered a difficult problem that has been intertwined with social, economic, and political elements, empathetic engagement has been justified. In this way, it has also become able to delve into surface-level issues and determine the underlying requirements, inspirations, as well as key obstacles that impact attitude and problem-solving scenarios</w:t>
      </w:r>
      <w:r w:rsidR="00BF7BD2">
        <w:t xml:space="preserve"> (</w:t>
      </w:r>
      <w:r w:rsidR="00BF7BD2" w:rsidRPr="00BF7BD2">
        <w:rPr>
          <w:rFonts w:eastAsia="Times New Roman" w:cstheme="minorHAnsi"/>
          <w:szCs w:val="22"/>
          <w:shd w:val="clear" w:color="auto" w:fill="FFFFFF"/>
        </w:rPr>
        <w:t>H</w:t>
      </w:r>
      <w:r w:rsidR="00BF7BD2">
        <w:rPr>
          <w:rFonts w:eastAsia="Times New Roman" w:cstheme="minorHAnsi"/>
          <w:szCs w:val="22"/>
          <w:shd w:val="clear" w:color="auto" w:fill="FFFFFF"/>
        </w:rPr>
        <w:t>ornsey and Fielding,</w:t>
      </w:r>
      <w:r w:rsidR="00BF7BD2" w:rsidRPr="00BF7BD2">
        <w:rPr>
          <w:rFonts w:eastAsia="Times New Roman" w:cstheme="minorHAnsi"/>
          <w:szCs w:val="22"/>
          <w:shd w:val="clear" w:color="auto" w:fill="FFFFFF"/>
        </w:rPr>
        <w:t xml:space="preserve"> 2020</w:t>
      </w:r>
      <w:r w:rsidR="00BF7BD2">
        <w:rPr>
          <w:rFonts w:eastAsia="Times New Roman" w:cstheme="minorHAnsi"/>
          <w:szCs w:val="22"/>
          <w:shd w:val="clear" w:color="auto" w:fill="FFFFFF"/>
        </w:rPr>
        <w:t>)</w:t>
      </w:r>
      <w:r w:rsidRPr="00562D58">
        <w:t>. This better knowledge and experience have also allowed people to establish targeted interventions that consider the main reasons behind such climate change and also nurture positive changes thereafter. </w:t>
      </w:r>
    </w:p>
    <w:p w14:paraId="2040DB61" w14:textId="77777777" w:rsidR="00562D58" w:rsidRDefault="00562D58" w:rsidP="00562D58">
      <w:pPr>
        <w:jc w:val="both"/>
      </w:pPr>
      <w:r w:rsidRPr="00562D58">
        <w:t xml:space="preserve">By establishing trust and nurturing engagement properly also, it becomes also possible to boost an active listening approach among involved stakeholders and people. It also helps to build an inclusive and co-creation-enabled environment, whereas such a collaborative aspect has also developed right consensus, handles high resistance to change forces, and also helps a lot to mobilize collective actions and solutions towards climate change solutions with expected benefits after all. </w:t>
      </w:r>
    </w:p>
    <w:p w14:paraId="732CE2DD" w14:textId="77777777" w:rsidR="00562D58" w:rsidRPr="00562D58" w:rsidRDefault="00562D58" w:rsidP="00562D58">
      <w:pPr>
        <w:jc w:val="both"/>
        <w:rPr>
          <w:b/>
          <w:bCs/>
          <w:i/>
          <w:iCs/>
        </w:rPr>
      </w:pPr>
      <w:r w:rsidRPr="00562D58">
        <w:rPr>
          <w:b/>
          <w:bCs/>
          <w:i/>
          <w:iCs/>
        </w:rPr>
        <w:t xml:space="preserve">Slide: Continued… </w:t>
      </w:r>
    </w:p>
    <w:p w14:paraId="1C083531" w14:textId="77777777" w:rsidR="00562D58" w:rsidRDefault="001E694E" w:rsidP="00562D58">
      <w:pPr>
        <w:jc w:val="center"/>
      </w:pPr>
      <w:r w:rsidRPr="00562D58">
        <w:rPr>
          <w:noProof/>
        </w:rPr>
      </w:r>
      <w:r w:rsidR="001E694E" w:rsidRPr="00562D58">
        <w:rPr>
          <w:noProof/>
        </w:rPr>
        <w:object w:dxaOrig="7202" w:dyaOrig="4043">
          <v:shape id="_x0000_i1029" type="#_x0000_t75" style="width:5in;height:203.05pt" o:ole="">
            <v:imagedata r:id="rId12" o:title=""/>
          </v:shape>
          <o:OLEObject Type="Embed" ProgID="PowerPoint.Slide.12" ShapeID="_x0000_i1029" DrawAspect="Content" ObjectID="_1749835832" r:id="rId13"/>
        </w:object>
      </w:r>
    </w:p>
    <w:p w14:paraId="01ED6ADA" w14:textId="77777777" w:rsidR="00610200" w:rsidRDefault="00562D58" w:rsidP="00562D58">
      <w:pPr>
        <w:jc w:val="both"/>
        <w:rPr>
          <w:b/>
          <w:bCs/>
          <w:i/>
          <w:iCs/>
        </w:rPr>
      </w:pPr>
      <w:r w:rsidRPr="00562D58">
        <w:rPr>
          <w:b/>
          <w:bCs/>
          <w:i/>
          <w:iCs/>
        </w:rPr>
        <w:t>Note:</w:t>
      </w:r>
      <w:r>
        <w:rPr>
          <w:b/>
          <w:bCs/>
          <w:i/>
          <w:iCs/>
        </w:rPr>
        <w:t xml:space="preserve"> </w:t>
      </w:r>
      <w:r w:rsidRPr="00562D58">
        <w:t>Natural ecosystems, such as forests, wetlands, and coral reefs should need to be preserved and restored. This is because; such ecosystems have played major roles in terms of acting as carbon sinks, absorbing greenhouse (GHG) gasses, as well as successful contributions made in the field of biodiversity conservation after all. It has also been needed to foster sustainable agriculture approaches, which have played major roles to minimize GHG emissions in the environment, protect soil health, as well as reduce excessive use of water and waste generation</w:t>
      </w:r>
      <w:r w:rsidR="00BF7BD2">
        <w:t xml:space="preserve"> (</w:t>
      </w:r>
      <w:r w:rsidR="00BF7BD2" w:rsidRPr="00BF7BD2">
        <w:rPr>
          <w:rFonts w:eastAsia="Times New Roman" w:cstheme="minorHAnsi"/>
          <w:szCs w:val="22"/>
          <w:shd w:val="clear" w:color="auto" w:fill="FFFFFF"/>
        </w:rPr>
        <w:t>Dur</w:t>
      </w:r>
      <w:r w:rsidR="00BF7BD2">
        <w:rPr>
          <w:rFonts w:eastAsia="Times New Roman" w:cstheme="minorHAnsi"/>
          <w:szCs w:val="22"/>
          <w:shd w:val="clear" w:color="auto" w:fill="FFFFFF"/>
        </w:rPr>
        <w:t>ante and Rosillo,</w:t>
      </w:r>
      <w:r w:rsidR="00BF7BD2" w:rsidRPr="00BF7BD2">
        <w:rPr>
          <w:rFonts w:eastAsia="Times New Roman" w:cstheme="minorHAnsi"/>
          <w:szCs w:val="22"/>
          <w:shd w:val="clear" w:color="auto" w:fill="FFFFFF"/>
        </w:rPr>
        <w:t xml:space="preserve"> 2020</w:t>
      </w:r>
      <w:r w:rsidR="00BF7BD2">
        <w:rPr>
          <w:rFonts w:eastAsia="Times New Roman" w:cstheme="minorHAnsi"/>
          <w:szCs w:val="22"/>
          <w:shd w:val="clear" w:color="auto" w:fill="FFFFFF"/>
        </w:rPr>
        <w:t>)</w:t>
      </w:r>
      <w:r w:rsidRPr="00562D58">
        <w:t>. That is why; several valued aspects like agroforestry, organic farming, regenerative agriculture measures, and other activities should be promoted higher.</w:t>
      </w:r>
      <w:r w:rsidRPr="00562D58">
        <w:rPr>
          <w:b/>
          <w:bCs/>
          <w:i/>
          <w:iCs/>
        </w:rPr>
        <w:t xml:space="preserve"> </w:t>
      </w:r>
    </w:p>
    <w:p w14:paraId="0C28DCB4" w14:textId="77777777" w:rsidR="00610200" w:rsidRDefault="00610200">
      <w:pPr>
        <w:rPr>
          <w:b/>
          <w:bCs/>
          <w:i/>
          <w:iCs/>
        </w:rPr>
      </w:pPr>
      <w:r>
        <w:rPr>
          <w:b/>
          <w:bCs/>
          <w:i/>
          <w:iCs/>
        </w:rPr>
        <w:br w:type="page"/>
      </w:r>
    </w:p>
    <w:p w14:paraId="16A79F04" w14:textId="77777777" w:rsidR="00562D58" w:rsidRDefault="00610200" w:rsidP="00610200">
      <w:pPr>
        <w:rPr>
          <w:b/>
          <w:bCs/>
          <w:i/>
          <w:iCs/>
        </w:rPr>
      </w:pPr>
      <w:r>
        <w:rPr>
          <w:b/>
          <w:bCs/>
          <w:i/>
          <w:iCs/>
        </w:rPr>
        <w:lastRenderedPageBreak/>
        <w:t>References</w:t>
      </w:r>
    </w:p>
    <w:p w14:paraId="378C1AB6" w14:textId="77777777" w:rsidR="00610200" w:rsidRPr="00BF7BD2" w:rsidRDefault="00610200" w:rsidP="00610200">
      <w:pPr>
        <w:spacing w:after="0" w:line="240" w:lineRule="auto"/>
        <w:jc w:val="both"/>
        <w:rPr>
          <w:rFonts w:eastAsia="Times New Roman" w:cstheme="minorHAnsi"/>
          <w:szCs w:val="22"/>
        </w:rPr>
      </w:pPr>
      <w:r w:rsidRPr="00BF7BD2">
        <w:rPr>
          <w:rFonts w:eastAsia="Times New Roman" w:cstheme="minorHAnsi"/>
          <w:szCs w:val="22"/>
          <w:shd w:val="clear" w:color="auto" w:fill="FFFFFF"/>
        </w:rPr>
        <w:t xml:space="preserve">Durante, J.J. and Rosillo, R. eds., 2020. </w:t>
      </w:r>
      <w:r w:rsidRPr="00BF7BD2">
        <w:rPr>
          <w:rFonts w:eastAsia="Times New Roman" w:cstheme="minorHAnsi"/>
          <w:i/>
          <w:iCs/>
          <w:szCs w:val="22"/>
          <w:shd w:val="clear" w:color="auto" w:fill="FFFFFF"/>
        </w:rPr>
        <w:t>Natural disasters and climate change: Innovative solutions in financial risk management</w:t>
      </w:r>
      <w:r w:rsidRPr="00BF7BD2">
        <w:rPr>
          <w:rFonts w:eastAsia="Times New Roman" w:cstheme="minorHAnsi"/>
          <w:szCs w:val="22"/>
          <w:shd w:val="clear" w:color="auto" w:fill="FFFFFF"/>
        </w:rPr>
        <w:t>. Springer Nature. </w:t>
      </w:r>
    </w:p>
    <w:p w14:paraId="14E9808A" w14:textId="77777777" w:rsidR="00610200" w:rsidRPr="00BF7BD2" w:rsidRDefault="00610200" w:rsidP="00610200">
      <w:pPr>
        <w:spacing w:after="0" w:line="240" w:lineRule="auto"/>
        <w:jc w:val="both"/>
        <w:rPr>
          <w:rFonts w:eastAsia="Times New Roman" w:cstheme="minorHAnsi"/>
          <w:szCs w:val="22"/>
        </w:rPr>
      </w:pPr>
      <w:r w:rsidRPr="00BF7BD2">
        <w:rPr>
          <w:rFonts w:eastAsia="Times New Roman" w:cstheme="minorHAnsi"/>
          <w:szCs w:val="22"/>
          <w:shd w:val="clear" w:color="auto" w:fill="FFFFFF"/>
        </w:rPr>
        <w:t xml:space="preserve">Hornsey, M.J. and Fielding, K.S., 2020. Understanding (and reducing) inaction on climate change. </w:t>
      </w:r>
      <w:r w:rsidRPr="00BF7BD2">
        <w:rPr>
          <w:rFonts w:eastAsia="Times New Roman" w:cstheme="minorHAnsi"/>
          <w:i/>
          <w:iCs/>
          <w:szCs w:val="22"/>
          <w:shd w:val="clear" w:color="auto" w:fill="FFFFFF"/>
        </w:rPr>
        <w:t>Social Issues and Policy Review</w:t>
      </w:r>
      <w:r w:rsidRPr="00BF7BD2">
        <w:rPr>
          <w:rFonts w:eastAsia="Times New Roman" w:cstheme="minorHAnsi"/>
          <w:szCs w:val="22"/>
          <w:shd w:val="clear" w:color="auto" w:fill="FFFFFF"/>
        </w:rPr>
        <w:t xml:space="preserve">, </w:t>
      </w:r>
      <w:r w:rsidRPr="00BF7BD2">
        <w:rPr>
          <w:rFonts w:eastAsia="Times New Roman" w:cstheme="minorHAnsi"/>
          <w:i/>
          <w:iCs/>
          <w:szCs w:val="22"/>
          <w:shd w:val="clear" w:color="auto" w:fill="FFFFFF"/>
        </w:rPr>
        <w:t>14</w:t>
      </w:r>
      <w:r w:rsidRPr="00BF7BD2">
        <w:rPr>
          <w:rFonts w:eastAsia="Times New Roman" w:cstheme="minorHAnsi"/>
          <w:szCs w:val="22"/>
          <w:shd w:val="clear" w:color="auto" w:fill="FFFFFF"/>
        </w:rPr>
        <w:t>(1), pp.3-35. </w:t>
      </w:r>
    </w:p>
    <w:p w14:paraId="5CF4E3C8" w14:textId="77777777" w:rsidR="00610200" w:rsidRPr="00BF7BD2" w:rsidRDefault="00610200" w:rsidP="00610200">
      <w:pPr>
        <w:spacing w:after="0" w:line="240" w:lineRule="auto"/>
        <w:jc w:val="both"/>
        <w:rPr>
          <w:rFonts w:eastAsia="Times New Roman" w:cstheme="minorHAnsi"/>
          <w:szCs w:val="22"/>
        </w:rPr>
      </w:pPr>
      <w:r w:rsidRPr="00BF7BD2">
        <w:rPr>
          <w:rFonts w:eastAsia="Times New Roman" w:cstheme="minorHAnsi"/>
          <w:szCs w:val="22"/>
          <w:shd w:val="clear" w:color="auto" w:fill="FFFFFF"/>
        </w:rPr>
        <w:t xml:space="preserve">Naiman, L., 2019. Design thinking as a strategy for innovation. </w:t>
      </w:r>
      <w:r w:rsidRPr="00BF7BD2">
        <w:rPr>
          <w:rFonts w:eastAsia="Times New Roman" w:cstheme="minorHAnsi"/>
          <w:i/>
          <w:iCs/>
          <w:szCs w:val="22"/>
          <w:shd w:val="clear" w:color="auto" w:fill="FFFFFF"/>
        </w:rPr>
        <w:t>The European Business Review</w:t>
      </w:r>
      <w:r w:rsidRPr="00BF7BD2">
        <w:rPr>
          <w:rFonts w:eastAsia="Times New Roman" w:cstheme="minorHAnsi"/>
          <w:szCs w:val="22"/>
          <w:shd w:val="clear" w:color="auto" w:fill="FFFFFF"/>
        </w:rPr>
        <w:t xml:space="preserve">, </w:t>
      </w:r>
      <w:r w:rsidRPr="00BF7BD2">
        <w:rPr>
          <w:rFonts w:eastAsia="Times New Roman" w:cstheme="minorHAnsi"/>
          <w:i/>
          <w:iCs/>
          <w:szCs w:val="22"/>
          <w:shd w:val="clear" w:color="auto" w:fill="FFFFFF"/>
        </w:rPr>
        <w:t>53</w:t>
      </w:r>
      <w:r w:rsidRPr="00BF7BD2">
        <w:rPr>
          <w:rFonts w:eastAsia="Times New Roman" w:cstheme="minorHAnsi"/>
          <w:szCs w:val="22"/>
          <w:shd w:val="clear" w:color="auto" w:fill="FFFFFF"/>
        </w:rPr>
        <w:t>, pp.72-76.</w:t>
      </w:r>
    </w:p>
    <w:p w14:paraId="39D34B98" w14:textId="77777777" w:rsidR="00610200" w:rsidRPr="00BF7BD2" w:rsidRDefault="00610200" w:rsidP="00610200">
      <w:pPr>
        <w:spacing w:after="0" w:line="240" w:lineRule="auto"/>
        <w:jc w:val="both"/>
        <w:rPr>
          <w:rFonts w:eastAsia="Times New Roman" w:cstheme="minorHAnsi"/>
          <w:szCs w:val="22"/>
        </w:rPr>
      </w:pPr>
      <w:r w:rsidRPr="00BF7BD2">
        <w:rPr>
          <w:rFonts w:eastAsia="Times New Roman" w:cstheme="minorHAnsi"/>
          <w:szCs w:val="22"/>
          <w:shd w:val="clear" w:color="auto" w:fill="FFFFFF"/>
        </w:rPr>
        <w:t xml:space="preserve">Shapira, H., Ketchie, A. and Nehe, M., 2017. The integration of design thinking and strategic sustainable development. </w:t>
      </w:r>
      <w:r w:rsidRPr="00BF7BD2">
        <w:rPr>
          <w:rFonts w:eastAsia="Times New Roman" w:cstheme="minorHAnsi"/>
          <w:i/>
          <w:iCs/>
          <w:szCs w:val="22"/>
          <w:shd w:val="clear" w:color="auto" w:fill="FFFFFF"/>
        </w:rPr>
        <w:t>Journal of Cleaner Production</w:t>
      </w:r>
      <w:r w:rsidRPr="00BF7BD2">
        <w:rPr>
          <w:rFonts w:eastAsia="Times New Roman" w:cstheme="minorHAnsi"/>
          <w:szCs w:val="22"/>
          <w:shd w:val="clear" w:color="auto" w:fill="FFFFFF"/>
        </w:rPr>
        <w:t xml:space="preserve">, </w:t>
      </w:r>
      <w:r w:rsidRPr="00BF7BD2">
        <w:rPr>
          <w:rFonts w:eastAsia="Times New Roman" w:cstheme="minorHAnsi"/>
          <w:i/>
          <w:iCs/>
          <w:szCs w:val="22"/>
          <w:shd w:val="clear" w:color="auto" w:fill="FFFFFF"/>
        </w:rPr>
        <w:t>140</w:t>
      </w:r>
      <w:r w:rsidRPr="00BF7BD2">
        <w:rPr>
          <w:rFonts w:eastAsia="Times New Roman" w:cstheme="minorHAnsi"/>
          <w:szCs w:val="22"/>
          <w:shd w:val="clear" w:color="auto" w:fill="FFFFFF"/>
        </w:rPr>
        <w:t>, pp.277-287.</w:t>
      </w:r>
    </w:p>
    <w:p w14:paraId="7A07DB2F" w14:textId="77777777" w:rsidR="00610200" w:rsidRPr="00BF7BD2" w:rsidRDefault="00610200" w:rsidP="00610200">
      <w:pPr>
        <w:spacing w:after="0" w:line="240" w:lineRule="auto"/>
        <w:jc w:val="both"/>
        <w:rPr>
          <w:rFonts w:eastAsia="Times New Roman" w:cstheme="minorHAnsi"/>
          <w:szCs w:val="22"/>
        </w:rPr>
      </w:pPr>
      <w:r w:rsidRPr="00BF7BD2">
        <w:rPr>
          <w:rFonts w:eastAsia="Times New Roman" w:cstheme="minorHAnsi"/>
          <w:szCs w:val="22"/>
          <w:shd w:val="clear" w:color="auto" w:fill="FFFFFF"/>
        </w:rPr>
        <w:t xml:space="preserve">Simpson, N.P., Mach, K.J., Constable, A., Hess, J., Hogarth, R., Howden, M., Lawrence, J., Lempert, R.J., Muccione, V., Mackey, B. and New, M.G., 2021. A framework for complex climate change risk assessment. </w:t>
      </w:r>
      <w:r w:rsidRPr="00BF7BD2">
        <w:rPr>
          <w:rFonts w:eastAsia="Times New Roman" w:cstheme="minorHAnsi"/>
          <w:i/>
          <w:iCs/>
          <w:szCs w:val="22"/>
          <w:shd w:val="clear" w:color="auto" w:fill="FFFFFF"/>
        </w:rPr>
        <w:t>One Earth</w:t>
      </w:r>
      <w:r w:rsidRPr="00BF7BD2">
        <w:rPr>
          <w:rFonts w:eastAsia="Times New Roman" w:cstheme="minorHAnsi"/>
          <w:szCs w:val="22"/>
          <w:shd w:val="clear" w:color="auto" w:fill="FFFFFF"/>
        </w:rPr>
        <w:t xml:space="preserve">, </w:t>
      </w:r>
      <w:r w:rsidRPr="00BF7BD2">
        <w:rPr>
          <w:rFonts w:eastAsia="Times New Roman" w:cstheme="minorHAnsi"/>
          <w:i/>
          <w:iCs/>
          <w:szCs w:val="22"/>
          <w:shd w:val="clear" w:color="auto" w:fill="FFFFFF"/>
        </w:rPr>
        <w:t>4</w:t>
      </w:r>
      <w:r w:rsidRPr="00BF7BD2">
        <w:rPr>
          <w:rFonts w:eastAsia="Times New Roman" w:cstheme="minorHAnsi"/>
          <w:szCs w:val="22"/>
          <w:shd w:val="clear" w:color="auto" w:fill="FFFFFF"/>
        </w:rPr>
        <w:t>(4), pp.489-501.</w:t>
      </w:r>
    </w:p>
    <w:p w14:paraId="1A709988" w14:textId="77777777" w:rsidR="00610200" w:rsidRPr="00BF7BD2" w:rsidRDefault="00610200" w:rsidP="00610200">
      <w:pPr>
        <w:jc w:val="both"/>
        <w:rPr>
          <w:rFonts w:cstheme="minorHAnsi"/>
          <w:b/>
          <w:bCs/>
          <w:i/>
          <w:iCs/>
          <w:sz w:val="20"/>
          <w:szCs w:val="24"/>
        </w:rPr>
      </w:pPr>
      <w:r w:rsidRPr="00BF7BD2">
        <w:rPr>
          <w:rFonts w:eastAsia="Times New Roman" w:cstheme="minorHAnsi"/>
          <w:szCs w:val="22"/>
          <w:shd w:val="clear" w:color="auto" w:fill="FFFFFF"/>
        </w:rPr>
        <w:t xml:space="preserve">Whyte, K., 2020. Too late for indigenous climate justice: Ecological and relational tipping points. </w:t>
      </w:r>
      <w:r w:rsidRPr="00BF7BD2">
        <w:rPr>
          <w:rFonts w:eastAsia="Times New Roman" w:cstheme="minorHAnsi"/>
          <w:i/>
          <w:iCs/>
          <w:szCs w:val="22"/>
          <w:shd w:val="clear" w:color="auto" w:fill="FFFFFF"/>
        </w:rPr>
        <w:t>Wiley Interdisciplinary Reviews: Climate Change</w:t>
      </w:r>
      <w:r w:rsidRPr="00BF7BD2">
        <w:rPr>
          <w:rFonts w:eastAsia="Times New Roman" w:cstheme="minorHAnsi"/>
          <w:szCs w:val="22"/>
          <w:shd w:val="clear" w:color="auto" w:fill="FFFFFF"/>
        </w:rPr>
        <w:t xml:space="preserve">, </w:t>
      </w:r>
      <w:r w:rsidRPr="00BF7BD2">
        <w:rPr>
          <w:rFonts w:eastAsia="Times New Roman" w:cstheme="minorHAnsi"/>
          <w:i/>
          <w:iCs/>
          <w:szCs w:val="22"/>
          <w:shd w:val="clear" w:color="auto" w:fill="FFFFFF"/>
        </w:rPr>
        <w:t>11</w:t>
      </w:r>
      <w:r w:rsidRPr="00BF7BD2">
        <w:rPr>
          <w:rFonts w:eastAsia="Times New Roman" w:cstheme="minorHAnsi"/>
          <w:szCs w:val="22"/>
          <w:shd w:val="clear" w:color="auto" w:fill="FFFFFF"/>
        </w:rPr>
        <w:t>(1), p.e603.</w:t>
      </w:r>
    </w:p>
    <w:p w14:paraId="6CBEA8D5" w14:textId="77777777" w:rsidR="00610200" w:rsidRPr="00562D58" w:rsidRDefault="00BF7BD2" w:rsidP="00BF7BD2">
      <w:pPr>
        <w:tabs>
          <w:tab w:val="left" w:pos="6525"/>
        </w:tabs>
        <w:rPr>
          <w:b/>
          <w:bCs/>
          <w:i/>
          <w:iCs/>
        </w:rPr>
      </w:pPr>
      <w:r w:rsidRPr="00BF7BD2">
        <w:rPr>
          <w:b/>
          <w:bCs/>
          <w:i/>
          <w:iCs/>
        </w:rPr>
        <w:tab/>
      </w:r>
    </w:p>
    <w:p w14:paraId="695FD695" w14:textId="77777777" w:rsidR="00562D58" w:rsidRPr="00562D58" w:rsidRDefault="00562D58" w:rsidP="00562D58">
      <w:pPr>
        <w:rPr>
          <w:b/>
          <w:bCs/>
          <w:i/>
          <w:iCs/>
        </w:rPr>
      </w:pPr>
    </w:p>
    <w:p w14:paraId="1CB7FEDA" w14:textId="77777777" w:rsidR="00562D58" w:rsidRPr="00562D58" w:rsidRDefault="00562D58" w:rsidP="00562D58">
      <w:pPr>
        <w:rPr>
          <w:b/>
          <w:bCs/>
          <w:i/>
          <w:iCs/>
        </w:rPr>
      </w:pPr>
      <w:r w:rsidRPr="00562D58">
        <w:rPr>
          <w:b/>
          <w:bCs/>
          <w:i/>
          <w:iCs/>
        </w:rPr>
        <w:br/>
      </w:r>
    </w:p>
    <w:p w14:paraId="59B8BA2D" w14:textId="77777777" w:rsidR="00562D58" w:rsidRPr="00562D58" w:rsidRDefault="00562D58" w:rsidP="00562D58">
      <w:pPr>
        <w:rPr>
          <w:i/>
          <w:iCs/>
        </w:rPr>
      </w:pPr>
    </w:p>
    <w:p w14:paraId="1ECB270B" w14:textId="77777777" w:rsidR="00562D58" w:rsidRDefault="00562D58" w:rsidP="00562D58"/>
    <w:sectPr w:rsidR="00562D58" w:rsidSect="00E12F6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D58"/>
    <w:rsid w:val="00132BBA"/>
    <w:rsid w:val="001E694E"/>
    <w:rsid w:val="00291B17"/>
    <w:rsid w:val="003F178C"/>
    <w:rsid w:val="00562D58"/>
    <w:rsid w:val="00610200"/>
    <w:rsid w:val="00611BD5"/>
    <w:rsid w:val="00671258"/>
    <w:rsid w:val="00BF7BD2"/>
    <w:rsid w:val="00D446AD"/>
    <w:rsid w:val="00E12F66"/>
    <w:rsid w:val="00FA0D9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98449C5"/>
  <w15:docId w15:val="{B26BA000-AB28-6B4B-9F08-F3824D1D5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F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2D5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335">
      <w:bodyDiv w:val="1"/>
      <w:marLeft w:val="0"/>
      <w:marRight w:val="0"/>
      <w:marTop w:val="0"/>
      <w:marBottom w:val="0"/>
      <w:divBdr>
        <w:top w:val="none" w:sz="0" w:space="0" w:color="auto"/>
        <w:left w:val="none" w:sz="0" w:space="0" w:color="auto"/>
        <w:bottom w:val="none" w:sz="0" w:space="0" w:color="auto"/>
        <w:right w:val="none" w:sz="0" w:space="0" w:color="auto"/>
      </w:divBdr>
    </w:div>
    <w:div w:id="158084117">
      <w:bodyDiv w:val="1"/>
      <w:marLeft w:val="0"/>
      <w:marRight w:val="0"/>
      <w:marTop w:val="0"/>
      <w:marBottom w:val="0"/>
      <w:divBdr>
        <w:top w:val="none" w:sz="0" w:space="0" w:color="auto"/>
        <w:left w:val="none" w:sz="0" w:space="0" w:color="auto"/>
        <w:bottom w:val="none" w:sz="0" w:space="0" w:color="auto"/>
        <w:right w:val="none" w:sz="0" w:space="0" w:color="auto"/>
      </w:divBdr>
    </w:div>
    <w:div w:id="510877152">
      <w:bodyDiv w:val="1"/>
      <w:marLeft w:val="0"/>
      <w:marRight w:val="0"/>
      <w:marTop w:val="0"/>
      <w:marBottom w:val="0"/>
      <w:divBdr>
        <w:top w:val="none" w:sz="0" w:space="0" w:color="auto"/>
        <w:left w:val="none" w:sz="0" w:space="0" w:color="auto"/>
        <w:bottom w:val="none" w:sz="0" w:space="0" w:color="auto"/>
        <w:right w:val="none" w:sz="0" w:space="0" w:color="auto"/>
      </w:divBdr>
    </w:div>
    <w:div w:id="551695143">
      <w:bodyDiv w:val="1"/>
      <w:marLeft w:val="0"/>
      <w:marRight w:val="0"/>
      <w:marTop w:val="0"/>
      <w:marBottom w:val="0"/>
      <w:divBdr>
        <w:top w:val="none" w:sz="0" w:space="0" w:color="auto"/>
        <w:left w:val="none" w:sz="0" w:space="0" w:color="auto"/>
        <w:bottom w:val="none" w:sz="0" w:space="0" w:color="auto"/>
        <w:right w:val="none" w:sz="0" w:space="0" w:color="auto"/>
      </w:divBdr>
    </w:div>
    <w:div w:id="606667753">
      <w:bodyDiv w:val="1"/>
      <w:marLeft w:val="0"/>
      <w:marRight w:val="0"/>
      <w:marTop w:val="0"/>
      <w:marBottom w:val="0"/>
      <w:divBdr>
        <w:top w:val="none" w:sz="0" w:space="0" w:color="auto"/>
        <w:left w:val="none" w:sz="0" w:space="0" w:color="auto"/>
        <w:bottom w:val="none" w:sz="0" w:space="0" w:color="auto"/>
        <w:right w:val="none" w:sz="0" w:space="0" w:color="auto"/>
      </w:divBdr>
    </w:div>
    <w:div w:id="1410230653">
      <w:bodyDiv w:val="1"/>
      <w:marLeft w:val="0"/>
      <w:marRight w:val="0"/>
      <w:marTop w:val="0"/>
      <w:marBottom w:val="0"/>
      <w:divBdr>
        <w:top w:val="none" w:sz="0" w:space="0" w:color="auto"/>
        <w:left w:val="none" w:sz="0" w:space="0" w:color="auto"/>
        <w:bottom w:val="none" w:sz="0" w:space="0" w:color="auto"/>
        <w:right w:val="none" w:sz="0" w:space="0" w:color="auto"/>
      </w:divBdr>
    </w:div>
    <w:div w:id="2028368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Office_PowerPoint_Slide5.sldx"/><Relationship Id="rId3" Type="http://schemas.openxmlformats.org/officeDocument/2006/relationships/webSettings" Target="webSettings.xml"/><Relationship Id="rId7" Type="http://schemas.openxmlformats.org/officeDocument/2006/relationships/package" Target="embeddings/Microsoft_Office_PowerPoint_Slide2.sldx"/><Relationship Id="rId12" Type="http://schemas.openxmlformats.org/officeDocument/2006/relationships/image" Target="media/image5.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5" Type="http://schemas.openxmlformats.org/officeDocument/2006/relationships/package" Target="embeddings/Microsoft_Office_PowerPoint_Slide1.sldx"/><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921</Words>
  <Characters>5250</Characters>
  <Application>Microsoft Office Word</Application>
  <DocSecurity>0</DocSecurity>
  <Lines>43</Lines>
  <Paragraphs>12</Paragraphs>
  <ScaleCrop>false</ScaleCrop>
  <Company/>
  <LinksUpToDate>false</LinksUpToDate>
  <CharactersWithSpaces>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Hazra</dc:creator>
  <cp:lastModifiedBy>Muntakim Ali (1817589)</cp:lastModifiedBy>
  <cp:revision>2</cp:revision>
  <dcterms:created xsi:type="dcterms:W3CDTF">2023-07-02T19:44:00Z</dcterms:created>
  <dcterms:modified xsi:type="dcterms:W3CDTF">2023-07-02T19:44:00Z</dcterms:modified>
</cp:coreProperties>
</file>