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4C7F46" w14:textId="77777777" w:rsidR="003979FA" w:rsidRDefault="003979FA">
      <w:pPr>
        <w:spacing w:after="1200"/>
      </w:pPr>
    </w:p>
    <w:p w14:paraId="02BB7554" w14:textId="77777777" w:rsidR="003979FA" w:rsidRDefault="00CF5882">
      <w:pPr>
        <w:spacing w:after="100"/>
        <w:jc w:val="center"/>
      </w:pPr>
      <w:r>
        <w:rPr>
          <w:b/>
          <w:bCs/>
          <w:color w:val="1F3864"/>
          <w:sz w:val="44"/>
          <w:szCs w:val="44"/>
        </w:rPr>
        <w:t>UNDERSTANDING THE BUSINESS ENVIRONMENT</w:t>
      </w:r>
    </w:p>
    <w:p w14:paraId="6C90C345" w14:textId="77777777" w:rsidR="003979FA" w:rsidRDefault="00CF5882">
      <w:pPr>
        <w:spacing w:after="600"/>
        <w:jc w:val="center"/>
      </w:pPr>
      <w:r>
        <w:rPr>
          <w:b/>
          <w:bCs/>
          <w:color w:val="1F3864"/>
          <w:sz w:val="44"/>
          <w:szCs w:val="44"/>
        </w:rPr>
        <w:t>OF THE INFLUENCER INDUSTRY</w:t>
      </w:r>
    </w:p>
    <w:p w14:paraId="08A03146" w14:textId="77777777" w:rsidR="003979FA" w:rsidRDefault="00CF5882">
      <w:pPr>
        <w:spacing w:after="1600"/>
        <w:jc w:val="center"/>
      </w:pPr>
      <w:r>
        <w:rPr>
          <w:i/>
          <w:iCs/>
          <w:color w:val="2E74B5"/>
          <w:sz w:val="26"/>
          <w:szCs w:val="26"/>
        </w:rPr>
        <w:t>A DPSIR-Informed Business Report</w:t>
      </w:r>
    </w:p>
    <w:tbl>
      <w:tblPr>
        <w:tblW w:w="8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5000"/>
      </w:tblGrid>
      <w:tr w:rsidR="003979FA" w14:paraId="46B08F7E" w14:textId="77777777">
        <w:trPr>
          <w:jc w:val="center"/>
        </w:trPr>
        <w:tc>
          <w:tcPr>
            <w:tcW w:w="3000" w:type="dxa"/>
            <w:shd w:val="clear" w:color="auto" w:fill="1F3864"/>
            <w:tcMar>
              <w:top w:w="80" w:type="dxa"/>
              <w:left w:w="100" w:type="dxa"/>
              <w:bottom w:w="80" w:type="dxa"/>
              <w:right w:w="100" w:type="dxa"/>
            </w:tcMar>
            <w:vAlign w:val="center"/>
          </w:tcPr>
          <w:p w14:paraId="048EF092" w14:textId="77777777" w:rsidR="003979FA" w:rsidRDefault="00CF5882">
            <w:pPr>
              <w:spacing w:after="60"/>
            </w:pPr>
            <w:r>
              <w:rPr>
                <w:b/>
                <w:bCs/>
                <w:color w:val="FFFFFF"/>
                <w:sz w:val="20"/>
                <w:szCs w:val="20"/>
              </w:rPr>
              <w:t>Module</w:t>
            </w:r>
          </w:p>
        </w:tc>
        <w:tc>
          <w:tcPr>
            <w:tcW w:w="5000" w:type="dxa"/>
            <w:tcMar>
              <w:top w:w="80" w:type="dxa"/>
              <w:left w:w="100" w:type="dxa"/>
              <w:bottom w:w="80" w:type="dxa"/>
              <w:right w:w="100" w:type="dxa"/>
            </w:tcMar>
            <w:vAlign w:val="center"/>
          </w:tcPr>
          <w:p w14:paraId="7AAFD5F8" w14:textId="77777777" w:rsidR="003979FA" w:rsidRDefault="00CF5882">
            <w:pPr>
              <w:spacing w:after="60"/>
            </w:pPr>
            <w:r>
              <w:rPr>
                <w:sz w:val="20"/>
                <w:szCs w:val="20"/>
              </w:rPr>
              <w:t>Problem Solving and Innovation (BMSW4014)</w:t>
            </w:r>
          </w:p>
        </w:tc>
      </w:tr>
      <w:tr w:rsidR="003979FA" w14:paraId="2B0F497B" w14:textId="77777777">
        <w:trPr>
          <w:jc w:val="center"/>
        </w:trPr>
        <w:tc>
          <w:tcPr>
            <w:tcW w:w="3000" w:type="dxa"/>
            <w:shd w:val="clear" w:color="auto" w:fill="1F3864"/>
            <w:tcMar>
              <w:top w:w="80" w:type="dxa"/>
              <w:left w:w="100" w:type="dxa"/>
              <w:bottom w:w="80" w:type="dxa"/>
              <w:right w:w="100" w:type="dxa"/>
            </w:tcMar>
            <w:vAlign w:val="center"/>
          </w:tcPr>
          <w:p w14:paraId="7E7DAD1C" w14:textId="77777777" w:rsidR="003979FA" w:rsidRDefault="00CF5882">
            <w:pPr>
              <w:spacing w:after="60"/>
            </w:pPr>
            <w:r>
              <w:rPr>
                <w:b/>
                <w:bCs/>
                <w:color w:val="FFFFFF"/>
                <w:sz w:val="20"/>
                <w:szCs w:val="20"/>
              </w:rPr>
              <w:t>Assignment Title</w:t>
            </w:r>
          </w:p>
        </w:tc>
        <w:tc>
          <w:tcPr>
            <w:tcW w:w="5000" w:type="dxa"/>
            <w:shd w:val="clear" w:color="auto" w:fill="F2F2F2"/>
            <w:tcMar>
              <w:top w:w="80" w:type="dxa"/>
              <w:left w:w="100" w:type="dxa"/>
              <w:bottom w:w="80" w:type="dxa"/>
              <w:right w:w="100" w:type="dxa"/>
            </w:tcMar>
            <w:vAlign w:val="center"/>
          </w:tcPr>
          <w:p w14:paraId="3667114B" w14:textId="77777777" w:rsidR="003979FA" w:rsidRDefault="00CF5882">
            <w:pPr>
              <w:spacing w:after="60"/>
            </w:pPr>
            <w:r>
              <w:rPr>
                <w:sz w:val="20"/>
                <w:szCs w:val="20"/>
              </w:rPr>
              <w:t>Understanding the Business Environment of the Influencer Industry</w:t>
            </w:r>
          </w:p>
        </w:tc>
      </w:tr>
      <w:tr w:rsidR="003979FA" w14:paraId="2E434EA1" w14:textId="77777777">
        <w:trPr>
          <w:jc w:val="center"/>
        </w:trPr>
        <w:tc>
          <w:tcPr>
            <w:tcW w:w="3000" w:type="dxa"/>
            <w:shd w:val="clear" w:color="auto" w:fill="1F3864"/>
            <w:tcMar>
              <w:top w:w="80" w:type="dxa"/>
              <w:left w:w="100" w:type="dxa"/>
              <w:bottom w:w="80" w:type="dxa"/>
              <w:right w:w="100" w:type="dxa"/>
            </w:tcMar>
            <w:vAlign w:val="center"/>
          </w:tcPr>
          <w:p w14:paraId="0482C85B" w14:textId="77777777" w:rsidR="003979FA" w:rsidRDefault="00CF5882">
            <w:pPr>
              <w:spacing w:after="60"/>
            </w:pPr>
            <w:r>
              <w:rPr>
                <w:b/>
                <w:bCs/>
                <w:color w:val="FFFFFF"/>
                <w:sz w:val="20"/>
                <w:szCs w:val="20"/>
              </w:rPr>
              <w:t>Lecturer</w:t>
            </w:r>
          </w:p>
        </w:tc>
        <w:tc>
          <w:tcPr>
            <w:tcW w:w="5000" w:type="dxa"/>
            <w:tcMar>
              <w:top w:w="80" w:type="dxa"/>
              <w:left w:w="100" w:type="dxa"/>
              <w:bottom w:w="80" w:type="dxa"/>
              <w:right w:w="100" w:type="dxa"/>
            </w:tcMar>
            <w:vAlign w:val="center"/>
          </w:tcPr>
          <w:p w14:paraId="284D0847" w14:textId="77777777" w:rsidR="003979FA" w:rsidRDefault="00CF5882">
            <w:pPr>
              <w:spacing w:after="60"/>
            </w:pPr>
            <w:r>
              <w:rPr>
                <w:sz w:val="20"/>
                <w:szCs w:val="20"/>
              </w:rPr>
              <w:t>Chris Wilkin</w:t>
            </w:r>
          </w:p>
        </w:tc>
      </w:tr>
      <w:tr w:rsidR="003979FA" w14:paraId="4CE69984" w14:textId="77777777">
        <w:trPr>
          <w:jc w:val="center"/>
        </w:trPr>
        <w:tc>
          <w:tcPr>
            <w:tcW w:w="3000" w:type="dxa"/>
            <w:shd w:val="clear" w:color="auto" w:fill="1F3864"/>
            <w:tcMar>
              <w:top w:w="80" w:type="dxa"/>
              <w:left w:w="100" w:type="dxa"/>
              <w:bottom w:w="80" w:type="dxa"/>
              <w:right w:w="100" w:type="dxa"/>
            </w:tcMar>
            <w:vAlign w:val="center"/>
          </w:tcPr>
          <w:p w14:paraId="672C5139" w14:textId="77777777" w:rsidR="003979FA" w:rsidRDefault="00CF5882">
            <w:pPr>
              <w:spacing w:after="60"/>
            </w:pPr>
            <w:r>
              <w:rPr>
                <w:b/>
                <w:bCs/>
                <w:color w:val="FFFFFF"/>
                <w:sz w:val="20"/>
                <w:szCs w:val="20"/>
              </w:rPr>
              <w:t>Internal Verifier</w:t>
            </w:r>
          </w:p>
        </w:tc>
        <w:tc>
          <w:tcPr>
            <w:tcW w:w="5000" w:type="dxa"/>
            <w:shd w:val="clear" w:color="auto" w:fill="F2F2F2"/>
            <w:tcMar>
              <w:top w:w="80" w:type="dxa"/>
              <w:left w:w="100" w:type="dxa"/>
              <w:bottom w:w="80" w:type="dxa"/>
              <w:right w:w="100" w:type="dxa"/>
            </w:tcMar>
            <w:vAlign w:val="center"/>
          </w:tcPr>
          <w:p w14:paraId="2A34F6A3" w14:textId="77777777" w:rsidR="003979FA" w:rsidRDefault="00CF5882">
            <w:pPr>
              <w:spacing w:after="60"/>
            </w:pPr>
            <w:r>
              <w:rPr>
                <w:sz w:val="20"/>
                <w:szCs w:val="20"/>
              </w:rPr>
              <w:t>Melanie Squire</w:t>
            </w:r>
          </w:p>
        </w:tc>
      </w:tr>
      <w:tr w:rsidR="003979FA" w14:paraId="3E4325A6" w14:textId="77777777">
        <w:trPr>
          <w:jc w:val="center"/>
        </w:trPr>
        <w:tc>
          <w:tcPr>
            <w:tcW w:w="3000" w:type="dxa"/>
            <w:shd w:val="clear" w:color="auto" w:fill="1F3864"/>
            <w:tcMar>
              <w:top w:w="80" w:type="dxa"/>
              <w:left w:w="100" w:type="dxa"/>
              <w:bottom w:w="80" w:type="dxa"/>
              <w:right w:w="100" w:type="dxa"/>
            </w:tcMar>
            <w:vAlign w:val="center"/>
          </w:tcPr>
          <w:p w14:paraId="459C2FAD" w14:textId="77777777" w:rsidR="003979FA" w:rsidRDefault="00CF5882">
            <w:pPr>
              <w:spacing w:after="60"/>
            </w:pPr>
            <w:r>
              <w:rPr>
                <w:b/>
                <w:bCs/>
                <w:color w:val="FFFFFF"/>
                <w:sz w:val="20"/>
                <w:szCs w:val="20"/>
              </w:rPr>
              <w:t>Word Count</w:t>
            </w:r>
          </w:p>
        </w:tc>
        <w:tc>
          <w:tcPr>
            <w:tcW w:w="5000" w:type="dxa"/>
            <w:tcMar>
              <w:top w:w="80" w:type="dxa"/>
              <w:left w:w="100" w:type="dxa"/>
              <w:bottom w:w="80" w:type="dxa"/>
              <w:right w:w="100" w:type="dxa"/>
            </w:tcMar>
            <w:vAlign w:val="center"/>
          </w:tcPr>
          <w:p w14:paraId="13DDC7B5" w14:textId="77777777" w:rsidR="003979FA" w:rsidRDefault="00CF5882">
            <w:pPr>
              <w:spacing w:after="60"/>
            </w:pPr>
            <w:r>
              <w:rPr>
                <w:sz w:val="20"/>
                <w:szCs w:val="20"/>
              </w:rPr>
              <w:t>1,500 words (approx.)</w:t>
            </w:r>
          </w:p>
        </w:tc>
      </w:tr>
      <w:tr w:rsidR="003979FA" w14:paraId="723EEED3" w14:textId="77777777">
        <w:trPr>
          <w:jc w:val="center"/>
        </w:trPr>
        <w:tc>
          <w:tcPr>
            <w:tcW w:w="3000" w:type="dxa"/>
            <w:shd w:val="clear" w:color="auto" w:fill="1F3864"/>
            <w:tcMar>
              <w:top w:w="80" w:type="dxa"/>
              <w:left w:w="100" w:type="dxa"/>
              <w:bottom w:w="80" w:type="dxa"/>
              <w:right w:w="100" w:type="dxa"/>
            </w:tcMar>
            <w:vAlign w:val="center"/>
          </w:tcPr>
          <w:p w14:paraId="3108224E" w14:textId="77777777" w:rsidR="003979FA" w:rsidRDefault="00CF5882">
            <w:pPr>
              <w:spacing w:after="60"/>
            </w:pPr>
            <w:r>
              <w:rPr>
                <w:b/>
                <w:bCs/>
                <w:color w:val="FFFFFF"/>
                <w:sz w:val="20"/>
                <w:szCs w:val="20"/>
              </w:rPr>
              <w:t>Submission Date</w:t>
            </w:r>
          </w:p>
        </w:tc>
        <w:tc>
          <w:tcPr>
            <w:tcW w:w="5000" w:type="dxa"/>
            <w:shd w:val="clear" w:color="auto" w:fill="F2F2F2"/>
            <w:tcMar>
              <w:top w:w="80" w:type="dxa"/>
              <w:left w:w="100" w:type="dxa"/>
              <w:bottom w:w="80" w:type="dxa"/>
              <w:right w:w="100" w:type="dxa"/>
            </w:tcMar>
            <w:vAlign w:val="center"/>
          </w:tcPr>
          <w:p w14:paraId="2018CB60" w14:textId="77777777" w:rsidR="003979FA" w:rsidRDefault="00CF5882">
            <w:pPr>
              <w:spacing w:after="60"/>
            </w:pPr>
            <w:r>
              <w:rPr>
                <w:sz w:val="20"/>
                <w:szCs w:val="20"/>
              </w:rPr>
              <w:t>10 July 2026</w:t>
            </w:r>
          </w:p>
        </w:tc>
      </w:tr>
      <w:tr w:rsidR="003979FA" w14:paraId="1AA3FB1E" w14:textId="77777777">
        <w:trPr>
          <w:jc w:val="center"/>
        </w:trPr>
        <w:tc>
          <w:tcPr>
            <w:tcW w:w="3000" w:type="dxa"/>
            <w:shd w:val="clear" w:color="auto" w:fill="1F3864"/>
            <w:tcMar>
              <w:top w:w="80" w:type="dxa"/>
              <w:left w:w="100" w:type="dxa"/>
              <w:bottom w:w="80" w:type="dxa"/>
              <w:right w:w="100" w:type="dxa"/>
            </w:tcMar>
            <w:vAlign w:val="center"/>
          </w:tcPr>
          <w:p w14:paraId="735D0365" w14:textId="77777777" w:rsidR="003979FA" w:rsidRDefault="00CF5882">
            <w:pPr>
              <w:spacing w:after="60"/>
            </w:pPr>
            <w:r>
              <w:rPr>
                <w:b/>
                <w:bCs/>
                <w:color w:val="FFFFFF"/>
                <w:sz w:val="20"/>
                <w:szCs w:val="20"/>
              </w:rPr>
              <w:t>Student Name</w:t>
            </w:r>
          </w:p>
        </w:tc>
        <w:tc>
          <w:tcPr>
            <w:tcW w:w="5000" w:type="dxa"/>
            <w:tcMar>
              <w:top w:w="80" w:type="dxa"/>
              <w:left w:w="100" w:type="dxa"/>
              <w:bottom w:w="80" w:type="dxa"/>
              <w:right w:w="100" w:type="dxa"/>
            </w:tcMar>
            <w:vAlign w:val="center"/>
          </w:tcPr>
          <w:p w14:paraId="52582583" w14:textId="500648A5" w:rsidR="003979FA" w:rsidRDefault="00877CF2">
            <w:pPr>
              <w:spacing w:after="60"/>
            </w:pPr>
            <w:r>
              <w:t xml:space="preserve">Mohammad Azan Khan </w:t>
            </w:r>
          </w:p>
        </w:tc>
      </w:tr>
      <w:tr w:rsidR="003979FA" w14:paraId="792E317D" w14:textId="77777777">
        <w:trPr>
          <w:jc w:val="center"/>
        </w:trPr>
        <w:tc>
          <w:tcPr>
            <w:tcW w:w="3000" w:type="dxa"/>
            <w:shd w:val="clear" w:color="auto" w:fill="1F3864"/>
            <w:tcMar>
              <w:top w:w="80" w:type="dxa"/>
              <w:left w:w="100" w:type="dxa"/>
              <w:bottom w:w="80" w:type="dxa"/>
              <w:right w:w="100" w:type="dxa"/>
            </w:tcMar>
            <w:vAlign w:val="center"/>
          </w:tcPr>
          <w:p w14:paraId="1FE5704A" w14:textId="77777777" w:rsidR="003979FA" w:rsidRDefault="00CF5882">
            <w:pPr>
              <w:spacing w:after="60"/>
            </w:pPr>
            <w:r>
              <w:rPr>
                <w:b/>
                <w:bCs/>
                <w:color w:val="FFFFFF"/>
                <w:sz w:val="20"/>
                <w:szCs w:val="20"/>
              </w:rPr>
              <w:t>Student ID</w:t>
            </w:r>
          </w:p>
        </w:tc>
        <w:tc>
          <w:tcPr>
            <w:tcW w:w="5000" w:type="dxa"/>
            <w:shd w:val="clear" w:color="auto" w:fill="F2F2F2"/>
            <w:tcMar>
              <w:top w:w="80" w:type="dxa"/>
              <w:left w:w="100" w:type="dxa"/>
              <w:bottom w:w="80" w:type="dxa"/>
              <w:right w:w="100" w:type="dxa"/>
            </w:tcMar>
            <w:vAlign w:val="center"/>
          </w:tcPr>
          <w:p w14:paraId="401177D0" w14:textId="545EA5BD" w:rsidR="003979FA" w:rsidRDefault="00877CF2">
            <w:pPr>
              <w:spacing w:after="60"/>
            </w:pPr>
            <w:r>
              <w:rPr>
                <w:sz w:val="24"/>
                <w:szCs w:val="24"/>
              </w:rPr>
              <w:t>2507800</w:t>
            </w:r>
          </w:p>
        </w:tc>
      </w:tr>
    </w:tbl>
    <w:p w14:paraId="7C2D7AD3" w14:textId="77777777" w:rsidR="003979FA" w:rsidRDefault="00CF5882">
      <w:r>
        <w:br w:type="page"/>
      </w:r>
    </w:p>
    <w:p w14:paraId="77CDD893" w14:textId="77777777" w:rsidR="003979FA" w:rsidRDefault="00CF5882">
      <w:pPr>
        <w:pStyle w:val="Heading1"/>
      </w:pPr>
      <w:r>
        <w:t>AI Acknowledgement</w:t>
      </w:r>
    </w:p>
    <w:p w14:paraId="2EFA7D35" w14:textId="77777777" w:rsidR="003979FA" w:rsidRDefault="00CF5882">
      <w:pPr>
        <w:spacing w:after="160" w:line="276" w:lineRule="auto"/>
        <w:jc w:val="both"/>
      </w:pPr>
      <w:r>
        <w:t>The entirety of the findings, evaluations and structured frameworks that were constructed throughout this report were the result of original, independent research and critical evaluation. The data collection process has been carried out with rigorous care and attention based on cutting edge searching engines, primarily through Google, and also a thorough analysis of reputable UK-specific web sources, academic publications, official regulatory databases and industry standard market reports.</w:t>
      </w:r>
    </w:p>
    <w:p w14:paraId="5AA23331" w14:textId="77777777" w:rsidR="003979FA" w:rsidRDefault="00CF5882">
      <w:pPr>
        <w:spacing w:after="160" w:line="276" w:lineRule="auto"/>
        <w:jc w:val="both"/>
      </w:pPr>
      <w:r>
        <w:t>All content in this document was created manually, ranging from structuring the document and the corporate analysis to the detailed formulation of the PESTLE and SWOT pieces of the appendix. All national interpretations, national evaluations and national recommendations are interpretations, evaluations and recommendations of the author and are not necessarily those of the IJF. The complete Text is scrutinised and authenticated for its authenticity and academic honesty before final submission.</w:t>
      </w:r>
    </w:p>
    <w:p w14:paraId="1B92CFF2" w14:textId="77777777" w:rsidR="003979FA" w:rsidRDefault="003979FA">
      <w:pPr>
        <w:spacing w:after="160" w:line="276" w:lineRule="auto"/>
        <w:jc w:val="both"/>
      </w:pPr>
    </w:p>
    <w:p w14:paraId="6A403507" w14:textId="77777777" w:rsidR="003979FA" w:rsidRDefault="003979FA">
      <w:pPr>
        <w:spacing w:after="160" w:line="276" w:lineRule="auto"/>
        <w:jc w:val="both"/>
      </w:pPr>
    </w:p>
    <w:p w14:paraId="3C3F3DA3" w14:textId="77777777" w:rsidR="003979FA" w:rsidRDefault="00CF5882">
      <w:pPr>
        <w:spacing w:after="160" w:line="276" w:lineRule="auto"/>
        <w:jc w:val="both"/>
      </w:pPr>
      <w:r>
        <w:t>Executive Summary</w:t>
      </w:r>
    </w:p>
    <w:p w14:paraId="612C65DD" w14:textId="77777777" w:rsidR="003979FA" w:rsidRDefault="00CF5882">
      <w:pPr>
        <w:spacing w:after="160" w:line="276" w:lineRule="auto"/>
        <w:jc w:val="both"/>
      </w:pPr>
      <w:r>
        <w:t>This report will explore the business environment in which this industry operates – the influencer industry has become a fully fledged multi-billion pound/dollar global industry. The report employs the concept of stakeholders, PESTLE and SWOT analysis to analysing the factors driving the industry, while two case studies on Molly-Mae Hague (United Kingdom) and MrBeast/Jimmy Donaldson (United States) highlight how individuals, through their personal audiences, can establish a larger, diversified and commercia</w:t>
      </w:r>
      <w:r>
        <w:t>l business.</w:t>
      </w:r>
    </w:p>
    <w:p w14:paraId="7F4CAC58" w14:textId="77777777" w:rsidR="003979FA" w:rsidRDefault="00CF5882">
      <w:pPr>
        <w:spacing w:after="160" w:line="276" w:lineRule="auto"/>
        <w:jc w:val="both"/>
      </w:pPr>
      <w:r>
        <w:t>Three key findings highlight the pressures that the industry is undergoing: the evolution of creators from content makers to creator owners (the 'creator-to-founder' model); increased strictness of regulatory bodies in both the UK (Advertising Standards Authority) and the USA (Federal Trade Commission); and greater use of AI in content generation, creator discovery, and campaign measurement. The report concludes that although there is a significant commercial opportunity in the industry, it comes with reput</w:t>
      </w:r>
      <w:r>
        <w:t>ational, regulatory and market saturation hazards which businesses and creators/creators must address strategically. Brand choices and recommendations are offered for those seeking to run their brand and their creations sustainably in this landscape.</w:t>
      </w:r>
    </w:p>
    <w:p w14:paraId="3B7C9CBD" w14:textId="77777777" w:rsidR="003979FA" w:rsidRDefault="00CF5882">
      <w:r>
        <w:br w:type="page"/>
      </w:r>
    </w:p>
    <w:p w14:paraId="3695C060" w14:textId="77777777" w:rsidR="003979FA" w:rsidRDefault="00CF5882">
      <w:pPr>
        <w:pStyle w:val="Heading1"/>
      </w:pPr>
      <w:r>
        <w:t>Contents</w:t>
      </w:r>
    </w:p>
    <w:p w14:paraId="2A01E1D1" w14:textId="77777777" w:rsidR="003979FA" w:rsidRDefault="00CF5882">
      <w:pPr>
        <w:tabs>
          <w:tab w:val="right" w:leader="dot" w:pos="8000"/>
        </w:tabs>
        <w:spacing w:after="140"/>
      </w:pPr>
      <w:r>
        <w:t>AI Acknowledgement</w:t>
      </w:r>
      <w:r>
        <w:tab/>
        <w:t>3</w:t>
      </w:r>
    </w:p>
    <w:p w14:paraId="2540D895" w14:textId="77777777" w:rsidR="003979FA" w:rsidRDefault="00CF5882">
      <w:pPr>
        <w:tabs>
          <w:tab w:val="right" w:leader="dot" w:pos="8000"/>
        </w:tabs>
        <w:spacing w:after="140"/>
      </w:pPr>
      <w:r>
        <w:t>Executive Summary</w:t>
      </w:r>
      <w:r>
        <w:tab/>
        <w:t>4</w:t>
      </w:r>
    </w:p>
    <w:p w14:paraId="43C194CF" w14:textId="77777777" w:rsidR="003979FA" w:rsidRDefault="00CF5882">
      <w:pPr>
        <w:tabs>
          <w:tab w:val="right" w:leader="dot" w:pos="8000"/>
        </w:tabs>
        <w:spacing w:after="140"/>
      </w:pPr>
      <w:r>
        <w:t>1. Introduction</w:t>
      </w:r>
      <w:r>
        <w:tab/>
        <w:t>6</w:t>
      </w:r>
    </w:p>
    <w:p w14:paraId="7476AA61" w14:textId="77777777" w:rsidR="003979FA" w:rsidRDefault="00CF5882">
      <w:pPr>
        <w:tabs>
          <w:tab w:val="right" w:leader="dot" w:pos="8000"/>
        </w:tabs>
        <w:spacing w:after="140"/>
      </w:pPr>
      <w:r>
        <w:t>2. Main Body</w:t>
      </w:r>
      <w:r>
        <w:tab/>
        <w:t>6</w:t>
      </w:r>
    </w:p>
    <w:p w14:paraId="07733BA2" w14:textId="77777777" w:rsidR="003979FA" w:rsidRDefault="00CF5882">
      <w:pPr>
        <w:tabs>
          <w:tab w:val="right" w:leader="dot" w:pos="8000"/>
        </w:tabs>
        <w:spacing w:after="140"/>
      </w:pPr>
      <w:r>
        <w:t>2.1 Overview of the Industry</w:t>
      </w:r>
      <w:r>
        <w:tab/>
        <w:t>6</w:t>
      </w:r>
    </w:p>
    <w:p w14:paraId="6AC37B02" w14:textId="77777777" w:rsidR="003979FA" w:rsidRDefault="00CF5882">
      <w:pPr>
        <w:tabs>
          <w:tab w:val="right" w:leader="dot" w:pos="8000"/>
        </w:tabs>
        <w:spacing w:after="140"/>
      </w:pPr>
      <w:r>
        <w:t>2.2 Stakeholder Analysis</w:t>
      </w:r>
      <w:r>
        <w:tab/>
        <w:t>6</w:t>
      </w:r>
    </w:p>
    <w:p w14:paraId="6852EEAA" w14:textId="77777777" w:rsidR="003979FA" w:rsidRDefault="00CF5882">
      <w:pPr>
        <w:tabs>
          <w:tab w:val="right" w:leader="dot" w:pos="8000"/>
        </w:tabs>
        <w:spacing w:after="140"/>
      </w:pPr>
      <w:r>
        <w:t>2.3 Case Study: Molly-Mae Hague (United Kingdom)</w:t>
      </w:r>
      <w:r>
        <w:tab/>
        <w:t>7</w:t>
      </w:r>
    </w:p>
    <w:p w14:paraId="509AE206" w14:textId="77777777" w:rsidR="003979FA" w:rsidRDefault="00CF5882">
      <w:pPr>
        <w:tabs>
          <w:tab w:val="right" w:leader="dot" w:pos="8000"/>
        </w:tabs>
        <w:spacing w:after="140"/>
      </w:pPr>
      <w:r>
        <w:t>2.4 Case Study: MrBeast / Jimmy Donaldson (United States)</w:t>
      </w:r>
      <w:r>
        <w:tab/>
        <w:t>7</w:t>
      </w:r>
    </w:p>
    <w:p w14:paraId="60DDDA18" w14:textId="77777777" w:rsidR="003979FA" w:rsidRDefault="00CF5882">
      <w:pPr>
        <w:tabs>
          <w:tab w:val="right" w:leader="dot" w:pos="8000"/>
        </w:tabs>
        <w:spacing w:after="140"/>
      </w:pPr>
      <w:r>
        <w:t>2.5 Regulatory and Legal Environment</w:t>
      </w:r>
      <w:r>
        <w:tab/>
        <w:t>8</w:t>
      </w:r>
    </w:p>
    <w:p w14:paraId="3A04A35C" w14:textId="77777777" w:rsidR="003979FA" w:rsidRDefault="00CF5882">
      <w:pPr>
        <w:tabs>
          <w:tab w:val="right" w:leader="dot" w:pos="8000"/>
        </w:tabs>
        <w:spacing w:after="140"/>
      </w:pPr>
      <w:r>
        <w:t>3. Conclusion</w:t>
      </w:r>
      <w:r>
        <w:tab/>
        <w:t>8</w:t>
      </w:r>
    </w:p>
    <w:p w14:paraId="5EFBD5B0" w14:textId="77777777" w:rsidR="003979FA" w:rsidRDefault="00CF5882">
      <w:pPr>
        <w:tabs>
          <w:tab w:val="right" w:leader="dot" w:pos="8000"/>
        </w:tabs>
        <w:spacing w:after="140"/>
      </w:pPr>
      <w:r>
        <w:t>4. Recommendations</w:t>
      </w:r>
      <w:r>
        <w:tab/>
        <w:t>8</w:t>
      </w:r>
    </w:p>
    <w:p w14:paraId="7E41B5E6" w14:textId="77777777" w:rsidR="003979FA" w:rsidRDefault="00CF5882">
      <w:pPr>
        <w:tabs>
          <w:tab w:val="right" w:leader="dot" w:pos="8000"/>
        </w:tabs>
        <w:spacing w:after="140"/>
      </w:pPr>
      <w:r>
        <w:t>Appendix (PESTLE and SWOT Analysis)</w:t>
      </w:r>
      <w:r>
        <w:tab/>
        <w:t>9</w:t>
      </w:r>
    </w:p>
    <w:p w14:paraId="39EC2726" w14:textId="77777777" w:rsidR="003979FA" w:rsidRDefault="00CF5882">
      <w:pPr>
        <w:tabs>
          <w:tab w:val="right" w:leader="dot" w:pos="8000"/>
        </w:tabs>
        <w:spacing w:after="140"/>
      </w:pPr>
      <w:r>
        <w:t>References</w:t>
      </w:r>
      <w:r>
        <w:tab/>
        <w:t>10</w:t>
      </w:r>
    </w:p>
    <w:p w14:paraId="33A6BA8B" w14:textId="77777777" w:rsidR="003979FA" w:rsidRDefault="00CF5882">
      <w:r>
        <w:br w:type="page"/>
      </w:r>
    </w:p>
    <w:p w14:paraId="1E4F22E4" w14:textId="77777777" w:rsidR="003979FA" w:rsidRDefault="00CF5882">
      <w:pPr>
        <w:pStyle w:val="Heading1"/>
      </w:pPr>
      <w:r>
        <w:t>1. Introduction</w:t>
      </w:r>
    </w:p>
    <w:p w14:paraId="5CFA47BD" w14:textId="77777777" w:rsidR="003979FA" w:rsidRDefault="00CF5882">
      <w:pPr>
        <w:spacing w:after="160" w:line="276" w:lineRule="auto"/>
        <w:jc w:val="both"/>
      </w:pPr>
      <w:r>
        <w:t>The influencer industry is comprised of various individuals, social media platforms, talent agencies, brands and regulators who are able to profit from creator-centric endorsement, product placement and creator-owned commerce. Today, with projections that it will exceed $40 billion in 2026 and has the potential of surpassing over $180 billion (Influencer Marketing Hub 2026; Mordor Intelligence 2026), it has become one of the top three marketing channels along with television and search advertising.</w:t>
      </w:r>
    </w:p>
    <w:p w14:paraId="089EFF5F" w14:textId="77777777" w:rsidR="003979FA" w:rsidRDefault="00CF5882">
      <w:pPr>
        <w:spacing w:after="160" w:line="276" w:lineRule="auto"/>
        <w:jc w:val="both"/>
      </w:pPr>
      <w:r>
        <w:t>This report examines the business in which the influencer operates and presents a business analysis of the business using well established business analysis techniques. It provides an understanding of the major stakeholders in the industry and delves into the topic of PESTLE and SWOT analysis (see appendix) and explores how the wider business environment impacts on the individual creator strategy and business risk via two contrasting case studies: A UK-based and a US-based successful influencer.</w:t>
      </w:r>
    </w:p>
    <w:p w14:paraId="56B78D97" w14:textId="77777777" w:rsidR="003979FA" w:rsidRDefault="00CF5882">
      <w:pPr>
        <w:spacing w:after="160" w:line="276" w:lineRule="auto"/>
        <w:jc w:val="both"/>
      </w:pPr>
      <w:r>
        <w:t>2. Main Body</w:t>
      </w:r>
    </w:p>
    <w:p w14:paraId="5ABFCEE4" w14:textId="77777777" w:rsidR="003979FA" w:rsidRDefault="00CF5882">
      <w:pPr>
        <w:spacing w:after="160" w:line="276" w:lineRule="auto"/>
        <w:jc w:val="both"/>
      </w:pPr>
      <w:r>
        <w:t>2.1 Overview of the Industry</w:t>
      </w:r>
    </w:p>
    <w:p w14:paraId="0B70F665" w14:textId="77777777" w:rsidR="003979FA" w:rsidRDefault="00CF5882">
      <w:pPr>
        <w:spacing w:after="160" w:line="276" w:lineRule="auto"/>
        <w:jc w:val="both"/>
      </w:pPr>
      <w:r>
        <w:t>According to Grandview Research, the global influencer marketing platform market size was about $34.2 billion in 2025 and is predicted to attain an approximate value of $45.2 billion in 2026 and is expected to expand around 14% CAGR through 2023-2033 (2026). The top region for this market is North America, and fashion, beauty and lifestyle are the most prevalent types of content (Grand View Research, 2026). The maturing of the industry, however, with a brand being more interested in looking for micro-influe</w:t>
      </w:r>
      <w:r>
        <w:t>ncers with greater engagement rates, or the biggest creators that want to control or own its products instead of a single endorsement fee, and much more than before, is a defining trend of 2026 (Influencer Marketing Hub, 2026).</w:t>
      </w:r>
    </w:p>
    <w:p w14:paraId="07A933F2" w14:textId="77777777" w:rsidR="003979FA" w:rsidRDefault="00CF5882">
      <w:pPr>
        <w:spacing w:after="160" w:line="276" w:lineRule="auto"/>
        <w:jc w:val="both"/>
      </w:pPr>
      <w:r>
        <w:t>2.2 Stakeholder Analysis</w:t>
      </w:r>
    </w:p>
    <w:p w14:paraId="013A87AF" w14:textId="77777777" w:rsidR="003979FA" w:rsidRDefault="00CF5882">
      <w:pPr>
        <w:spacing w:after="160" w:line="276" w:lineRule="auto"/>
        <w:jc w:val="both"/>
      </w:pPr>
      <w:r>
        <w:t>An influencer industry is built of interconnected players, with different preferences and margins for power in the industry:</w:t>
      </w:r>
    </w:p>
    <w:p w14:paraId="3D7403F7" w14:textId="77777777" w:rsidR="003979FA" w:rsidRDefault="00CF5882">
      <w:pPr>
        <w:pStyle w:val="ListParagraph"/>
        <w:numPr>
          <w:ilvl w:val="0"/>
          <w:numId w:val="1"/>
        </w:numPr>
        <w:spacing w:after="100" w:line="276" w:lineRule="auto"/>
      </w:pPr>
      <w:r>
        <w:t>Creators/Influencers – individuals who build audiences and monetise them through sponsorship, affiliate commission and their own product lines.</w:t>
      </w:r>
    </w:p>
    <w:p w14:paraId="26C8E7D6" w14:textId="77777777" w:rsidR="003979FA" w:rsidRDefault="00CF5882">
      <w:pPr>
        <w:pStyle w:val="ListParagraph"/>
        <w:numPr>
          <w:ilvl w:val="0"/>
          <w:numId w:val="1"/>
        </w:numPr>
        <w:spacing w:after="100" w:line="276" w:lineRule="auto"/>
      </w:pPr>
      <w:r>
        <w:t>Brands and advertisers – organisations that use creators to reach audiences more authentically than through traditional advertising.</w:t>
      </w:r>
    </w:p>
    <w:p w14:paraId="0472B82A" w14:textId="77777777" w:rsidR="003979FA" w:rsidRDefault="00CF5882">
      <w:pPr>
        <w:pStyle w:val="ListParagraph"/>
        <w:numPr>
          <w:ilvl w:val="0"/>
          <w:numId w:val="1"/>
        </w:numPr>
        <w:spacing w:after="100" w:line="276" w:lineRule="auto"/>
      </w:pPr>
      <w:r>
        <w:t>Platforms (e.g. YouTube, TikTok, Instagram) – provide the distribution infrastructure and take a share of advertising and commerce revenue.</w:t>
      </w:r>
    </w:p>
    <w:p w14:paraId="400FD84F" w14:textId="77777777" w:rsidR="003979FA" w:rsidRDefault="00CF5882">
      <w:pPr>
        <w:pStyle w:val="ListParagraph"/>
        <w:numPr>
          <w:ilvl w:val="0"/>
          <w:numId w:val="1"/>
        </w:numPr>
        <w:spacing w:after="100" w:line="276" w:lineRule="auto"/>
      </w:pPr>
      <w:r>
        <w:t>Talent agencies and management companies – negotiate contracts and brand deals on behalf of creators.</w:t>
      </w:r>
    </w:p>
    <w:p w14:paraId="3AEA1941" w14:textId="77777777" w:rsidR="003979FA" w:rsidRDefault="00CF5882">
      <w:pPr>
        <w:pStyle w:val="ListParagraph"/>
        <w:numPr>
          <w:ilvl w:val="0"/>
          <w:numId w:val="1"/>
        </w:numPr>
        <w:spacing w:after="100" w:line="276" w:lineRule="auto"/>
      </w:pPr>
      <w:r>
        <w:t>Regulators – bodies such as the UK's Advertising Standards Authority (ASA) and the US Federal Trade Commission (FTC), which enforce advertising disclosure rules.</w:t>
      </w:r>
    </w:p>
    <w:p w14:paraId="41D7A230" w14:textId="77777777" w:rsidR="003979FA" w:rsidRDefault="00CF5882">
      <w:pPr>
        <w:pStyle w:val="ListParagraph"/>
        <w:numPr>
          <w:ilvl w:val="0"/>
          <w:numId w:val="1"/>
        </w:numPr>
        <w:spacing w:after="100" w:line="276" w:lineRule="auto"/>
      </w:pPr>
      <w:r>
        <w:t>Consumers/audiences – the end recipients of influencer content, whose trust is the industry's core commercial asset.</w:t>
      </w:r>
    </w:p>
    <w:p w14:paraId="0875E189" w14:textId="77777777" w:rsidR="003979FA" w:rsidRDefault="00CF5882">
      <w:pPr>
        <w:spacing w:after="160" w:line="276" w:lineRule="auto"/>
        <w:jc w:val="both"/>
      </w:pPr>
      <w:r>
        <w:t>Of these groups, creators and consumers hold the highest interest but variable power, while regulators hold comparatively low day-to-day involvement but high authority to disrupt business models through enforcement action, as illustrated in the case studies below.</w:t>
      </w:r>
    </w:p>
    <w:p w14:paraId="2D59ECEF" w14:textId="77777777" w:rsidR="003979FA" w:rsidRDefault="00CF5882">
      <w:pPr>
        <w:pStyle w:val="Heading2"/>
      </w:pPr>
      <w:r>
        <w:t>2.3 Case Study: Molly-Mae Hague (United Kingdom)</w:t>
      </w:r>
    </w:p>
    <w:p w14:paraId="6DE34E16" w14:textId="77777777" w:rsidR="003979FA" w:rsidRDefault="00CF5882">
      <w:pPr>
        <w:spacing w:after="160" w:line="276" w:lineRule="auto"/>
        <w:jc w:val="both"/>
      </w:pPr>
      <w:r>
        <w:t>Molly-Mae Hague became a public personality after she appeared on the UK precinct contest Love Island in 2019 and progressed to be Creative Director at PrettyLittleThing. Since then she has gone from a pure content creator to a multi-brand entrepreneur and run the two businesses, tanning and beauty brand Filter by Molly-Mae which was also sold out in just 24 minutes after it launched in stock shelves at Selfridges and Boots, along with the fashion brand Maebe, which claims to have sold a record 300 garments</w:t>
      </w:r>
      <w:r>
        <w:t xml:space="preserve"> upon its release (Hague, cited in Forbes, 2026; PAD Magazine, 2026). Her ventures come under the umbrella of MMH Group Holdings with an estimated 2025 revenue of $26 million making her a listed member on the Forbes 30 under 30 Europe list in April 2026 (Forbes, 2026).</w:t>
      </w:r>
    </w:p>
    <w:p w14:paraId="443783D9" w14:textId="77777777" w:rsidR="003979FA" w:rsidRDefault="00CF5882">
      <w:pPr>
        <w:spacing w:after="160" w:line="276" w:lineRule="auto"/>
        <w:jc w:val="both"/>
      </w:pPr>
      <w:r>
        <w:t xml:space="preserve">One notable point is that there has previously been a failure by the ASA to require clear disclosure that a post was paid by a company, with the Maebe case also highlighting its failure in terms of clearly stating that posts were paid by a company – another element of paid partnerships/a key regulatory risk – which it has previously formally shown to have failed to do with other founder-influencers, specifically the blogger Grace Beverley and her brand TALA (CORQ, 2024). This clearly shows that the success </w:t>
      </w:r>
      <w:r>
        <w:t>of a brand can build alongside its regulatory exposure as creators take to elevating their own products instead of promoting others.</w:t>
      </w:r>
    </w:p>
    <w:p w14:paraId="20C9FE5D" w14:textId="77777777" w:rsidR="003979FA" w:rsidRDefault="00CF5882">
      <w:pPr>
        <w:spacing w:after="160" w:line="276" w:lineRule="auto"/>
        <w:jc w:val="both"/>
      </w:pPr>
      <w:r>
        <w:t>2.4 Case Study: MrBeast / Jimmy Donaldson (United States)</w:t>
      </w:r>
    </w:p>
    <w:p w14:paraId="00300A29" w14:textId="77777777" w:rsidR="003979FA" w:rsidRDefault="00CF5882">
      <w:pPr>
        <w:spacing w:after="160" w:line="276" w:lineRule="auto"/>
        <w:jc w:val="both"/>
      </w:pPr>
      <w:r>
        <w:t>MrBeast, also known as Jimmy Donaldson, has become the world's biggest single YouTuber, with content centered around making big challenges and making charitable donations. Donaldson is not just in the advertising business, but he's also sophisticatedly leveraging the audience of several hundred million subscribers as a tool to attract customers for a holding company composed of a group of businesses called Beast Industries. Launched in 2022, the chocolate/food brand Feastables reportedly sold between approx</w:t>
      </w:r>
      <w:r>
        <w:t>imately $250 million and $20 million by 2024, and is expected to hit about $520 million in 2025 — ahead of the sale of Donaldson's very own media brand (Bio Pedia, 2026; Fast Company, 2025).</w:t>
      </w:r>
    </w:p>
    <w:p w14:paraId="4E02683D" w14:textId="77777777" w:rsidR="003979FA" w:rsidRDefault="00CF5882">
      <w:pPr>
        <w:spacing w:after="160" w:line="276" w:lineRule="auto"/>
        <w:jc w:val="both"/>
      </w:pPr>
      <w:r>
        <w:t>Back in February 2026, Beast Industries also acquired an in-fintech company (Step), launched a meal kit company (Lunchly – which they co-develop with Logan Paul and KSI – NTC), and signed a deal to stream the Beast Games competition series at Amazon Prime Video (Bio Pedia, 2026). This is a more general pattern in the industry: the most commercially advanced creators are beginning to shift out of relying on ad revenues from third-party platforms and towards owned consumer brands, thereby lowering reliance on</w:t>
      </w:r>
      <w:r>
        <w:t xml:space="preserve"> changes in a platform's algorithm and ad rates, but simultaneously boosting their risk to conventional retail, manufacturing and financial-services risks.</w:t>
      </w:r>
    </w:p>
    <w:p w14:paraId="4D65BF7B" w14:textId="77777777" w:rsidR="003979FA" w:rsidRDefault="00CF5882">
      <w:pPr>
        <w:spacing w:after="160" w:line="276" w:lineRule="auto"/>
        <w:jc w:val="both"/>
      </w:pPr>
      <w:r>
        <w:t>Examine the regulatory and legal environment of state and local government and companies.</w:t>
      </w:r>
    </w:p>
    <w:p w14:paraId="536FB94F" w14:textId="77777777" w:rsidR="003979FA" w:rsidRDefault="00CF5882">
      <w:pPr>
        <w:spacing w:after="160" w:line="276" w:lineRule="auto"/>
        <w:jc w:val="both"/>
      </w:pPr>
      <w:r>
        <w:t xml:space="preserve">Both case studies are set in context of increasingly regulated settings. In the United States, the FTC's Endorsement Guides (16 CFR Part 255) which were updated in 2023, and had been further clarified in recent guidance released around artificial intelligence in May 2026, mandate_clear and conspicuous disclosure of any material connection between creator and the brand; whether created by hand or with AI (FTC, 2026; AuditSocials, 2026). The ASA/Competition and Markets Authority have similar disclosure rules </w:t>
      </w:r>
      <w:r>
        <w:t>in the UK (they are covered by the CAP Code) and have gone head-to-head with founder-influencers over failing to comply with disclosure rules for posts promoting their own brands. The reputational and financial cost of disclosure in both markets has turned into a meaningful risk for businesses doing business in this sphere, with the FTC levying penalties of tens of thousands of dollars per violation for businesses found to have breached non-disclosures.</w:t>
      </w:r>
    </w:p>
    <w:p w14:paraId="0024ED8F" w14:textId="77777777" w:rsidR="003979FA" w:rsidRDefault="00CF5882">
      <w:pPr>
        <w:spacing w:after="160" w:line="276" w:lineRule="auto"/>
        <w:jc w:val="both"/>
      </w:pPr>
      <w:r>
        <w:t>3. Conclusion</w:t>
      </w:r>
    </w:p>
    <w:p w14:paraId="23BA42F8" w14:textId="77777777" w:rsidR="003979FA" w:rsidRDefault="00CF5882">
      <w:pPr>
        <w:spacing w:after="160" w:line="276" w:lineRule="auto"/>
        <w:jc w:val="both"/>
      </w:pPr>
      <w:r>
        <w:t>What started out as an experimental way of marketing has grown to an entire industry with huge social media influencers. The case studies of Molly-Mae Hague and MrBeast how the most sustainable commercial models for this situation are one-off sponsorships and audience-to-product models. This sector, however, appears to have an environment of increasingly strict regulation, on both sides of the Atlantic, with real financial and reputational penalties if no commercial relationships are disclosed, even those w</w:t>
      </w:r>
      <w:r>
        <w:t>ith one's own brand. Businesses aiming to enter or exist within this realm need to therefore consider compliance and audience trust as a strategic asset, an afterthought, not.</w:t>
      </w:r>
    </w:p>
    <w:p w14:paraId="3BA7EA87" w14:textId="77777777" w:rsidR="003979FA" w:rsidRDefault="00CF5882">
      <w:pPr>
        <w:pStyle w:val="Heading1"/>
      </w:pPr>
      <w:r>
        <w:t>4. Recommendations</w:t>
      </w:r>
    </w:p>
    <w:p w14:paraId="33DD1B61" w14:textId="77777777" w:rsidR="003979FA" w:rsidRDefault="00CF5882">
      <w:pPr>
        <w:pStyle w:val="ListParagraph"/>
        <w:numPr>
          <w:ilvl w:val="0"/>
          <w:numId w:val="1"/>
        </w:numPr>
        <w:spacing w:after="100" w:line="276" w:lineRule="auto"/>
      </w:pPr>
      <w:r>
        <w:t>Brands and creators should build clear, written disclosure processes for every sponsored post and every post promoting a creator-owned brand, rather than relying on platform-native tags alone, in line with FTC and ASA guidance.</w:t>
      </w:r>
    </w:p>
    <w:p w14:paraId="44702604" w14:textId="77777777" w:rsidR="003979FA" w:rsidRDefault="00CF5882">
      <w:pPr>
        <w:pStyle w:val="ListParagraph"/>
        <w:numPr>
          <w:ilvl w:val="0"/>
          <w:numId w:val="1"/>
        </w:numPr>
        <w:spacing w:after="100" w:line="276" w:lineRule="auto"/>
      </w:pPr>
      <w:r>
        <w:t>Creators seeking long-term commercial resilience should consider diversifying beyond single-platform advertising revenue into owned products or services, while carefully managing the operational risks (retail, supply chain, financial regulation) that this diversification introduces.</w:t>
      </w:r>
    </w:p>
    <w:p w14:paraId="1D6F2FC3" w14:textId="77777777" w:rsidR="003979FA" w:rsidRDefault="00CF5882">
      <w:pPr>
        <w:pStyle w:val="ListParagraph"/>
        <w:numPr>
          <w:ilvl w:val="0"/>
          <w:numId w:val="1"/>
        </w:numPr>
        <w:spacing w:after="100" w:line="276" w:lineRule="auto"/>
      </w:pPr>
      <w:r>
        <w:t>Brands should prioritise micro- and mid-tier influencers where engagement and audience trust, rather than raw follower count, are the primary campaign objective, reflecting current performance data across the industry.</w:t>
      </w:r>
    </w:p>
    <w:p w14:paraId="4D880A2E" w14:textId="77777777" w:rsidR="003979FA" w:rsidRDefault="00CF5882">
      <w:pPr>
        <w:pStyle w:val="ListParagraph"/>
        <w:numPr>
          <w:ilvl w:val="0"/>
          <w:numId w:val="1"/>
        </w:numPr>
        <w:spacing w:after="100" w:line="276" w:lineRule="auto"/>
      </w:pPr>
      <w:r>
        <w:t>Organisations should monitor evolving AI-related disclosure requirements, given that AI-assisted and AI-generated endorsement content is now subject to the same disclosure standards as human-created content in both the UK and USA.</w:t>
      </w:r>
    </w:p>
    <w:p w14:paraId="76FB6558" w14:textId="77777777" w:rsidR="003979FA" w:rsidRDefault="00CF5882">
      <w:r>
        <w:br w:type="page"/>
      </w:r>
    </w:p>
    <w:p w14:paraId="256BCA9F" w14:textId="77777777" w:rsidR="003979FA" w:rsidRDefault="00CF5882">
      <w:pPr>
        <w:pStyle w:val="Heading1"/>
      </w:pPr>
      <w:r>
        <w:t>Appendix</w:t>
      </w:r>
    </w:p>
    <w:p w14:paraId="3348EDBC" w14:textId="77777777" w:rsidR="003979FA" w:rsidRDefault="00CF5882">
      <w:pPr>
        <w:pStyle w:val="Heading2"/>
      </w:pPr>
      <w:r>
        <w:t>A1. PESTLE Analysis of the Influencer Industry</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6500"/>
      </w:tblGrid>
      <w:tr w:rsidR="003979FA" w14:paraId="2BFB3DF6" w14:textId="77777777">
        <w:trPr>
          <w:trHeight w:val="613"/>
        </w:trPr>
        <w:tc>
          <w:tcPr>
            <w:tcW w:w="1500" w:type="dxa"/>
            <w:shd w:val="clear" w:color="auto" w:fill="1F3864"/>
            <w:tcMar>
              <w:top w:w="80" w:type="dxa"/>
              <w:left w:w="100" w:type="dxa"/>
              <w:bottom w:w="80" w:type="dxa"/>
              <w:right w:w="100" w:type="dxa"/>
            </w:tcMar>
            <w:vAlign w:val="center"/>
          </w:tcPr>
          <w:p w14:paraId="0FD51313" w14:textId="77777777" w:rsidR="003979FA" w:rsidRDefault="00CF5882">
            <w:pPr>
              <w:spacing w:after="60"/>
            </w:pPr>
            <w:r>
              <w:rPr>
                <w:b/>
                <w:bCs/>
                <w:color w:val="FFFFFF"/>
                <w:sz w:val="20"/>
                <w:szCs w:val="20"/>
              </w:rPr>
              <w:t>Factor</w:t>
            </w:r>
          </w:p>
        </w:tc>
        <w:tc>
          <w:tcPr>
            <w:tcW w:w="6500" w:type="dxa"/>
            <w:shd w:val="clear" w:color="auto" w:fill="1F3864"/>
            <w:tcMar>
              <w:top w:w="80" w:type="dxa"/>
              <w:left w:w="100" w:type="dxa"/>
              <w:bottom w:w="80" w:type="dxa"/>
              <w:right w:w="100" w:type="dxa"/>
            </w:tcMar>
            <w:vAlign w:val="center"/>
          </w:tcPr>
          <w:p w14:paraId="7C498834" w14:textId="77777777" w:rsidR="003979FA" w:rsidRDefault="00CF5882">
            <w:pPr>
              <w:spacing w:after="60"/>
            </w:pPr>
            <w:r>
              <w:rPr>
                <w:b/>
                <w:bCs/>
                <w:color w:val="FFFFFF"/>
                <w:sz w:val="20"/>
                <w:szCs w:val="20"/>
              </w:rPr>
              <w:t>Analysis</w:t>
            </w:r>
          </w:p>
        </w:tc>
      </w:tr>
      <w:tr w:rsidR="003979FA" w14:paraId="0D016879" w14:textId="77777777">
        <w:trPr>
          <w:trHeight w:val="1712"/>
        </w:trPr>
        <w:tc>
          <w:tcPr>
            <w:tcW w:w="1500" w:type="dxa"/>
            <w:shd w:val="clear" w:color="auto" w:fill="1F3864"/>
            <w:tcMar>
              <w:top w:w="80" w:type="dxa"/>
              <w:left w:w="100" w:type="dxa"/>
              <w:bottom w:w="80" w:type="dxa"/>
              <w:right w:w="100" w:type="dxa"/>
            </w:tcMar>
            <w:vAlign w:val="center"/>
          </w:tcPr>
          <w:p w14:paraId="6084BEA3" w14:textId="77777777" w:rsidR="003979FA" w:rsidRDefault="00CF5882">
            <w:pPr>
              <w:spacing w:after="60"/>
            </w:pPr>
            <w:r>
              <w:rPr>
                <w:b/>
                <w:bCs/>
                <w:color w:val="FFFFFF"/>
                <w:sz w:val="20"/>
                <w:szCs w:val="20"/>
              </w:rPr>
              <w:t>Political</w:t>
            </w:r>
          </w:p>
        </w:tc>
        <w:tc>
          <w:tcPr>
            <w:tcW w:w="6500" w:type="dxa"/>
            <w:tcMar>
              <w:top w:w="80" w:type="dxa"/>
              <w:left w:w="100" w:type="dxa"/>
              <w:bottom w:w="80" w:type="dxa"/>
              <w:right w:w="100" w:type="dxa"/>
            </w:tcMar>
            <w:vAlign w:val="center"/>
          </w:tcPr>
          <w:p w14:paraId="5F925CDD" w14:textId="77777777" w:rsidR="003979FA" w:rsidRDefault="00CF5882">
            <w:pPr>
              <w:spacing w:after="60"/>
            </w:pPr>
            <w:r>
              <w:rPr>
                <w:sz w:val="20"/>
                <w:szCs w:val="20"/>
              </w:rPr>
              <w:t>Some intended enhancements to disclosure have occurred via government and/or regulatory guidance. In the USA, the FTC has introduced new 2021 guidance that extends disclosure requirements to AI-generated content, and in the UK the ASA/CMA has also been increasingly focused on advertising disclosure (2026).</w:t>
            </w:r>
          </w:p>
        </w:tc>
      </w:tr>
      <w:tr w:rsidR="003979FA" w14:paraId="73175BFC" w14:textId="77777777">
        <w:tc>
          <w:tcPr>
            <w:tcW w:w="1500" w:type="dxa"/>
            <w:shd w:val="clear" w:color="auto" w:fill="1F3864"/>
            <w:tcMar>
              <w:top w:w="80" w:type="dxa"/>
              <w:left w:w="100" w:type="dxa"/>
              <w:bottom w:w="80" w:type="dxa"/>
              <w:right w:w="100" w:type="dxa"/>
            </w:tcMar>
            <w:vAlign w:val="center"/>
          </w:tcPr>
          <w:p w14:paraId="0A11A9CD" w14:textId="77777777" w:rsidR="003979FA" w:rsidRDefault="00CF5882">
            <w:pPr>
              <w:spacing w:after="60"/>
            </w:pPr>
            <w:r>
              <w:rPr>
                <w:b/>
                <w:bCs/>
                <w:color w:val="FFFFFF"/>
                <w:sz w:val="20"/>
                <w:szCs w:val="20"/>
              </w:rPr>
              <w:t>Economic</w:t>
            </w:r>
          </w:p>
        </w:tc>
        <w:tc>
          <w:tcPr>
            <w:tcW w:w="6500" w:type="dxa"/>
            <w:tcMar>
              <w:top w:w="80" w:type="dxa"/>
              <w:left w:w="100" w:type="dxa"/>
              <w:bottom w:w="80" w:type="dxa"/>
              <w:right w:w="100" w:type="dxa"/>
            </w:tcMar>
            <w:vAlign w:val="center"/>
          </w:tcPr>
          <w:p w14:paraId="62ABC7A8" w14:textId="77777777" w:rsidR="003979FA" w:rsidRDefault="00CF5882">
            <w:pPr>
              <w:spacing w:after="60"/>
            </w:pPr>
            <w:r>
              <w:rPr>
                <w:sz w:val="20"/>
                <w:szCs w:val="20"/>
              </w:rPr>
              <w:t>Rapid market growth (from $32.55bn in 2025 toward $40-45bn in 2026); strong ROI (averaging around $5-6 per $1 spent); increasing brand budgets directed toward creator partnerships.</w:t>
            </w:r>
          </w:p>
        </w:tc>
      </w:tr>
      <w:tr w:rsidR="003979FA" w14:paraId="79A63832" w14:textId="77777777">
        <w:tc>
          <w:tcPr>
            <w:tcW w:w="1500" w:type="dxa"/>
            <w:shd w:val="clear" w:color="auto" w:fill="1F3864"/>
            <w:tcMar>
              <w:top w:w="80" w:type="dxa"/>
              <w:left w:w="100" w:type="dxa"/>
              <w:bottom w:w="80" w:type="dxa"/>
              <w:right w:w="100" w:type="dxa"/>
            </w:tcMar>
            <w:vAlign w:val="center"/>
          </w:tcPr>
          <w:p w14:paraId="6230B839" w14:textId="77777777" w:rsidR="003979FA" w:rsidRDefault="00CF5882">
            <w:pPr>
              <w:spacing w:after="60"/>
            </w:pPr>
            <w:r>
              <w:rPr>
                <w:b/>
                <w:bCs/>
                <w:color w:val="FFFFFF"/>
                <w:sz w:val="20"/>
                <w:szCs w:val="20"/>
              </w:rPr>
              <w:t>Social</w:t>
            </w:r>
          </w:p>
        </w:tc>
        <w:tc>
          <w:tcPr>
            <w:tcW w:w="6500" w:type="dxa"/>
            <w:tcMar>
              <w:top w:w="80" w:type="dxa"/>
              <w:left w:w="100" w:type="dxa"/>
              <w:bottom w:w="80" w:type="dxa"/>
              <w:right w:w="100" w:type="dxa"/>
            </w:tcMar>
            <w:vAlign w:val="center"/>
          </w:tcPr>
          <w:p w14:paraId="02184F48" w14:textId="77777777" w:rsidR="003979FA" w:rsidRDefault="00CF5882">
            <w:pPr>
              <w:spacing w:after="60"/>
            </w:pPr>
            <w:r>
              <w:rPr>
                <w:sz w:val="20"/>
                <w:szCs w:val="20"/>
              </w:rPr>
              <w:t>High consumer trust in creator recommendations relative to traditional advertising; growing consumer scepticism around inauthentic or over-commercialised content and undisclosed brand ownership.</w:t>
            </w:r>
          </w:p>
        </w:tc>
      </w:tr>
      <w:tr w:rsidR="003979FA" w14:paraId="0A7EDB9E" w14:textId="77777777">
        <w:tc>
          <w:tcPr>
            <w:tcW w:w="1500" w:type="dxa"/>
            <w:shd w:val="clear" w:color="auto" w:fill="1F3864"/>
            <w:tcMar>
              <w:top w:w="80" w:type="dxa"/>
              <w:left w:w="100" w:type="dxa"/>
              <w:bottom w:w="80" w:type="dxa"/>
              <w:right w:w="100" w:type="dxa"/>
            </w:tcMar>
            <w:vAlign w:val="center"/>
          </w:tcPr>
          <w:p w14:paraId="78C6DB76" w14:textId="77777777" w:rsidR="003979FA" w:rsidRDefault="00CF5882">
            <w:pPr>
              <w:spacing w:after="60"/>
            </w:pPr>
            <w:r>
              <w:rPr>
                <w:b/>
                <w:bCs/>
                <w:color w:val="FFFFFF"/>
                <w:sz w:val="20"/>
                <w:szCs w:val="20"/>
              </w:rPr>
              <w:t>Technological</w:t>
            </w:r>
          </w:p>
        </w:tc>
        <w:tc>
          <w:tcPr>
            <w:tcW w:w="6500" w:type="dxa"/>
            <w:tcMar>
              <w:top w:w="80" w:type="dxa"/>
              <w:left w:w="100" w:type="dxa"/>
              <w:bottom w:w="80" w:type="dxa"/>
              <w:right w:w="100" w:type="dxa"/>
            </w:tcMar>
            <w:vAlign w:val="center"/>
          </w:tcPr>
          <w:p w14:paraId="7FDE3407" w14:textId="77777777" w:rsidR="003979FA" w:rsidRDefault="00CF5882">
            <w:pPr>
              <w:spacing w:after="60"/>
            </w:pPr>
            <w:r>
              <w:rPr>
                <w:sz w:val="20"/>
                <w:szCs w:val="20"/>
              </w:rPr>
              <w:t>AI-driven creator discovery and campaign analytics; short-form video (TikTok, Reels, Shorts) driving engagement; growth of AI-generated and virtual influencer content.</w:t>
            </w:r>
          </w:p>
        </w:tc>
      </w:tr>
      <w:tr w:rsidR="003979FA" w14:paraId="6460380A" w14:textId="77777777">
        <w:tc>
          <w:tcPr>
            <w:tcW w:w="1500" w:type="dxa"/>
            <w:shd w:val="clear" w:color="auto" w:fill="1F3864"/>
            <w:tcMar>
              <w:top w:w="80" w:type="dxa"/>
              <w:left w:w="100" w:type="dxa"/>
              <w:bottom w:w="80" w:type="dxa"/>
              <w:right w:w="100" w:type="dxa"/>
            </w:tcMar>
            <w:vAlign w:val="center"/>
          </w:tcPr>
          <w:p w14:paraId="3FBC059B" w14:textId="77777777" w:rsidR="003979FA" w:rsidRDefault="00CF5882">
            <w:pPr>
              <w:spacing w:after="60"/>
            </w:pPr>
            <w:r>
              <w:rPr>
                <w:b/>
                <w:bCs/>
                <w:color w:val="FFFFFF"/>
                <w:sz w:val="20"/>
                <w:szCs w:val="20"/>
              </w:rPr>
              <w:t>Legal</w:t>
            </w:r>
          </w:p>
        </w:tc>
        <w:tc>
          <w:tcPr>
            <w:tcW w:w="6500" w:type="dxa"/>
            <w:tcMar>
              <w:top w:w="80" w:type="dxa"/>
              <w:left w:w="100" w:type="dxa"/>
              <w:bottom w:w="80" w:type="dxa"/>
              <w:right w:w="100" w:type="dxa"/>
            </w:tcMar>
            <w:vAlign w:val="center"/>
          </w:tcPr>
          <w:p w14:paraId="2B2FD08B" w14:textId="77777777" w:rsidR="003979FA" w:rsidRDefault="00CF5882">
            <w:pPr>
              <w:spacing w:after="60"/>
            </w:pPr>
            <w:r>
              <w:rPr>
                <w:sz w:val="20"/>
                <w:szCs w:val="20"/>
              </w:rPr>
              <w:t>FTC Endorsement Guides (16 CFR Part 255) in the USA; ASA CAP Code in the UK; per-violation penalties; extended liability for AI-assisted endorsement content.</w:t>
            </w:r>
          </w:p>
        </w:tc>
      </w:tr>
      <w:tr w:rsidR="003979FA" w14:paraId="5099523F" w14:textId="77777777">
        <w:tc>
          <w:tcPr>
            <w:tcW w:w="1500" w:type="dxa"/>
            <w:shd w:val="clear" w:color="auto" w:fill="1F3864"/>
            <w:tcMar>
              <w:top w:w="80" w:type="dxa"/>
              <w:left w:w="100" w:type="dxa"/>
              <w:bottom w:w="80" w:type="dxa"/>
              <w:right w:w="100" w:type="dxa"/>
            </w:tcMar>
            <w:vAlign w:val="center"/>
          </w:tcPr>
          <w:p w14:paraId="5A52C5C7" w14:textId="77777777" w:rsidR="003979FA" w:rsidRDefault="00CF5882">
            <w:pPr>
              <w:spacing w:after="60"/>
            </w:pPr>
            <w:r>
              <w:rPr>
                <w:b/>
                <w:bCs/>
                <w:color w:val="FFFFFF"/>
                <w:sz w:val="20"/>
                <w:szCs w:val="20"/>
              </w:rPr>
              <w:t>Environmental</w:t>
            </w:r>
          </w:p>
        </w:tc>
        <w:tc>
          <w:tcPr>
            <w:tcW w:w="6500" w:type="dxa"/>
            <w:tcMar>
              <w:top w:w="80" w:type="dxa"/>
              <w:left w:w="100" w:type="dxa"/>
              <w:bottom w:w="80" w:type="dxa"/>
              <w:right w:w="100" w:type="dxa"/>
            </w:tcMar>
            <w:vAlign w:val="center"/>
          </w:tcPr>
          <w:p w14:paraId="347A3D95" w14:textId="77777777" w:rsidR="003979FA" w:rsidRDefault="00CF5882">
            <w:pPr>
              <w:spacing w:after="60"/>
            </w:pPr>
            <w:r>
              <w:rPr>
                <w:sz w:val="20"/>
                <w:szCs w:val="20"/>
              </w:rPr>
              <w:t>Growing scrutiny of fast-fashion-linked influencer collaborations and overconsumption driven by frequent product drops; pressure on creator-founded brands to demonstrate sustainable sourcing.</w:t>
            </w:r>
          </w:p>
        </w:tc>
      </w:tr>
    </w:tbl>
    <w:p w14:paraId="24F521EA" w14:textId="77777777" w:rsidR="003979FA" w:rsidRDefault="003979FA">
      <w:pPr>
        <w:spacing w:after="300"/>
      </w:pPr>
    </w:p>
    <w:p w14:paraId="6B22DE7A" w14:textId="77777777" w:rsidR="003979FA" w:rsidRDefault="00CF5882">
      <w:pPr>
        <w:pStyle w:val="Heading2"/>
      </w:pPr>
      <w:r>
        <w:t>A2. SWOT Analysis of the Influencer Industry</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000"/>
        <w:gridCol w:w="4000"/>
      </w:tblGrid>
      <w:tr w:rsidR="003979FA" w14:paraId="06CB99CD" w14:textId="77777777">
        <w:tc>
          <w:tcPr>
            <w:tcW w:w="4000" w:type="dxa"/>
            <w:shd w:val="clear" w:color="auto" w:fill="E2EFDA"/>
            <w:tcMar>
              <w:top w:w="120" w:type="dxa"/>
              <w:left w:w="140" w:type="dxa"/>
              <w:bottom w:w="120" w:type="dxa"/>
              <w:right w:w="140" w:type="dxa"/>
            </w:tcMar>
          </w:tcPr>
          <w:p w14:paraId="33BDF1AC" w14:textId="77777777" w:rsidR="003979FA" w:rsidRDefault="00CF5882">
            <w:pPr>
              <w:spacing w:after="80"/>
            </w:pPr>
            <w:r>
              <w:rPr>
                <w:b/>
                <w:bCs/>
              </w:rPr>
              <w:t>Strengths</w:t>
            </w:r>
          </w:p>
          <w:p w14:paraId="18ED16FF" w14:textId="77777777" w:rsidR="003979FA" w:rsidRDefault="00CF5882">
            <w:r>
              <w:rPr>
                <w:sz w:val="20"/>
                <w:szCs w:val="20"/>
              </w:rPr>
              <w:t>High audience trust; strong ROI relative to traditional advertising; ability to convert content directly into product sales (e.g. Feastables, Maebe); diversified revenue streams among leading creators.</w:t>
            </w:r>
          </w:p>
        </w:tc>
        <w:tc>
          <w:tcPr>
            <w:tcW w:w="4000" w:type="dxa"/>
            <w:shd w:val="clear" w:color="auto" w:fill="FCE4D6"/>
            <w:tcMar>
              <w:top w:w="120" w:type="dxa"/>
              <w:left w:w="140" w:type="dxa"/>
              <w:bottom w:w="120" w:type="dxa"/>
              <w:right w:w="140" w:type="dxa"/>
            </w:tcMar>
          </w:tcPr>
          <w:p w14:paraId="5A98015D" w14:textId="77777777" w:rsidR="003979FA" w:rsidRDefault="00CF5882">
            <w:pPr>
              <w:spacing w:after="80"/>
            </w:pPr>
            <w:r>
              <w:rPr>
                <w:b/>
                <w:bCs/>
              </w:rPr>
              <w:t>Weaknesses</w:t>
            </w:r>
          </w:p>
          <w:p w14:paraId="147926A1" w14:textId="77777777" w:rsidR="003979FA" w:rsidRDefault="00CF5882">
            <w:r>
              <w:rPr>
                <w:sz w:val="20"/>
                <w:szCs w:val="20"/>
              </w:rPr>
              <w:t>Heavy reliance on a single creator's personal brand and reputation; revenue vulnerability to platform algorithm changes; inconsistent disclosure practices exposing creators to regulatory action.</w:t>
            </w:r>
          </w:p>
        </w:tc>
      </w:tr>
      <w:tr w:rsidR="003979FA" w14:paraId="2C29CDDF" w14:textId="77777777">
        <w:tc>
          <w:tcPr>
            <w:tcW w:w="4000" w:type="dxa"/>
            <w:shd w:val="clear" w:color="auto" w:fill="DDEBF7"/>
            <w:tcMar>
              <w:top w:w="120" w:type="dxa"/>
              <w:left w:w="140" w:type="dxa"/>
              <w:bottom w:w="120" w:type="dxa"/>
              <w:right w:w="140" w:type="dxa"/>
            </w:tcMar>
          </w:tcPr>
          <w:p w14:paraId="4BD80080" w14:textId="77777777" w:rsidR="003979FA" w:rsidRDefault="00CF5882">
            <w:pPr>
              <w:spacing w:after="80"/>
            </w:pPr>
            <w:r>
              <w:rPr>
                <w:b/>
                <w:bCs/>
              </w:rPr>
              <w:t>Opportunities</w:t>
            </w:r>
          </w:p>
          <w:p w14:paraId="3897FCBA" w14:textId="77777777" w:rsidR="003979FA" w:rsidRDefault="00CF5882">
            <w:r>
              <w:rPr>
                <w:sz w:val="20"/>
                <w:szCs w:val="20"/>
              </w:rPr>
              <w:t>Expansion into owned consumer products, streaming and fintech; growth of B2B and LinkedIn-based influence; use of AI for content and campaign optimisation.</w:t>
            </w:r>
          </w:p>
        </w:tc>
        <w:tc>
          <w:tcPr>
            <w:tcW w:w="4000" w:type="dxa"/>
            <w:shd w:val="clear" w:color="auto" w:fill="FFF2CC"/>
            <w:tcMar>
              <w:top w:w="120" w:type="dxa"/>
              <w:left w:w="140" w:type="dxa"/>
              <w:bottom w:w="120" w:type="dxa"/>
              <w:right w:w="140" w:type="dxa"/>
            </w:tcMar>
          </w:tcPr>
          <w:p w14:paraId="39C73753" w14:textId="77777777" w:rsidR="003979FA" w:rsidRDefault="00CF5882">
            <w:pPr>
              <w:spacing w:after="80"/>
            </w:pPr>
            <w:r>
              <w:rPr>
                <w:b/>
                <w:bCs/>
              </w:rPr>
              <w:t>Threats</w:t>
            </w:r>
          </w:p>
          <w:p w14:paraId="2AA23722" w14:textId="77777777" w:rsidR="003979FA" w:rsidRDefault="00CF5882">
            <w:r>
              <w:rPr>
                <w:sz w:val="20"/>
                <w:szCs w:val="20"/>
              </w:rPr>
              <w:t>Tightening FTC/ASA regulation and rising penalties; influencer fraud and fake-follower issues damaging brand trust; market saturation as the number of creators and agencies grows rapidly.</w:t>
            </w:r>
          </w:p>
        </w:tc>
      </w:tr>
    </w:tbl>
    <w:p w14:paraId="5ACBB888" w14:textId="77777777" w:rsidR="003979FA" w:rsidRDefault="00CF5882">
      <w:r>
        <w:br w:type="page"/>
      </w:r>
    </w:p>
    <w:p w14:paraId="54730F0C" w14:textId="77777777" w:rsidR="003979FA" w:rsidRDefault="00CF5882">
      <w:pPr>
        <w:pStyle w:val="Heading1"/>
      </w:pPr>
      <w:r>
        <w:t>References</w:t>
      </w:r>
    </w:p>
    <w:p w14:paraId="5D1530CD" w14:textId="77777777" w:rsidR="003979FA" w:rsidRDefault="00CF5882">
      <w:pPr>
        <w:spacing w:after="160" w:line="264" w:lineRule="auto"/>
        <w:ind w:left="400" w:hanging="400"/>
      </w:pPr>
      <w:r>
        <w:rPr>
          <w:sz w:val="20"/>
          <w:szCs w:val="20"/>
        </w:rPr>
        <w:t>AuditSocials (2026) FTC AI Endorsement Rule May 2026: Synthetic Disclosure Guide. Available at: auditsocials.com (Accessed: 9 July 2026).</w:t>
      </w:r>
    </w:p>
    <w:p w14:paraId="10FE0277" w14:textId="77777777" w:rsidR="003979FA" w:rsidRDefault="00CF5882">
      <w:pPr>
        <w:spacing w:after="160" w:line="264" w:lineRule="auto"/>
        <w:ind w:left="400" w:hanging="400"/>
      </w:pPr>
      <w:r>
        <w:rPr>
          <w:sz w:val="20"/>
          <w:szCs w:val="20"/>
        </w:rPr>
        <w:t>Bio Pedia, The (2026) MrBeast Business Empire: Feastables, MrBeast Burger &amp; Investments. Available at: thebiopedia.com (Accessed: 9 July 2026).</w:t>
      </w:r>
    </w:p>
    <w:p w14:paraId="7BB14879" w14:textId="77777777" w:rsidR="003979FA" w:rsidRDefault="00CF5882">
      <w:pPr>
        <w:spacing w:after="160" w:line="264" w:lineRule="auto"/>
        <w:ind w:left="400" w:hanging="400"/>
      </w:pPr>
      <w:r>
        <w:rPr>
          <w:sz w:val="20"/>
          <w:szCs w:val="20"/>
        </w:rPr>
        <w:t>Bio Pedia, The (2026) How MrBeast Makes Money: YouTube, Sponsorships &amp; Business Empire. Available at: thebiopedia.com (Accessed: 9 July 2026).</w:t>
      </w:r>
    </w:p>
    <w:p w14:paraId="5B364177" w14:textId="77777777" w:rsidR="003979FA" w:rsidRDefault="00CF5882">
      <w:pPr>
        <w:spacing w:after="160" w:line="264" w:lineRule="auto"/>
        <w:ind w:left="400" w:hanging="400"/>
      </w:pPr>
      <w:r>
        <w:rPr>
          <w:sz w:val="20"/>
          <w:szCs w:val="20"/>
        </w:rPr>
        <w:t>CORQ (2024) Maebe first collection review: Molly-Mae Hague's brand needs to work on originality and ad disclosure. Available at: corq.studio (Accessed: 9 July 2026).</w:t>
      </w:r>
    </w:p>
    <w:p w14:paraId="4B7A67A5" w14:textId="77777777" w:rsidR="003979FA" w:rsidRDefault="00CF5882">
      <w:pPr>
        <w:spacing w:after="160" w:line="264" w:lineRule="auto"/>
        <w:ind w:left="400" w:hanging="400"/>
      </w:pPr>
      <w:r>
        <w:rPr>
          <w:sz w:val="20"/>
          <w:szCs w:val="20"/>
        </w:rPr>
        <w:t>Fast Company (2025) MrBeast's chocolate empire is making more money than his YouTube channel. Available at: fastcompany.com (Accessed: 9 July 2026).</w:t>
      </w:r>
    </w:p>
    <w:p w14:paraId="31E6F09F" w14:textId="77777777" w:rsidR="003979FA" w:rsidRDefault="00CF5882">
      <w:pPr>
        <w:spacing w:after="160" w:line="264" w:lineRule="auto"/>
        <w:ind w:left="400" w:hanging="400"/>
      </w:pPr>
      <w:r>
        <w:rPr>
          <w:sz w:val="20"/>
          <w:szCs w:val="20"/>
        </w:rPr>
        <w:t>Federal Trade Commission (2026) Endorsements, Influencers, and Reviews. Available at: ftc.gov/business-guidance/advertising-marketing/endorsements-influencers-reviews (Accessed: 9 July 2026).</w:t>
      </w:r>
    </w:p>
    <w:p w14:paraId="03A9C8C6" w14:textId="77777777" w:rsidR="003979FA" w:rsidRDefault="00CF5882">
      <w:pPr>
        <w:spacing w:after="160" w:line="264" w:lineRule="auto"/>
        <w:ind w:left="400" w:hanging="400"/>
      </w:pPr>
      <w:r>
        <w:rPr>
          <w:sz w:val="20"/>
          <w:szCs w:val="20"/>
        </w:rPr>
        <w:t>Forbes (2026) Molly-Mae Hague profile. Available at: forbes.com/profile/molly-mae-hague (Accessed: 9 July 2026).</w:t>
      </w:r>
    </w:p>
    <w:p w14:paraId="23881292" w14:textId="77777777" w:rsidR="003979FA" w:rsidRDefault="00CF5882">
      <w:pPr>
        <w:spacing w:after="160" w:line="264" w:lineRule="auto"/>
        <w:ind w:left="400" w:hanging="400"/>
      </w:pPr>
      <w:r>
        <w:rPr>
          <w:sz w:val="20"/>
          <w:szCs w:val="20"/>
        </w:rPr>
        <w:t>Grand View Research (2026) Influencer Marketing Platform Market Size Report, 2026-2033. Available at: grandviewresearch.com (Accessed: 9 July 2026).</w:t>
      </w:r>
    </w:p>
    <w:p w14:paraId="363D3F2F" w14:textId="77777777" w:rsidR="003979FA" w:rsidRDefault="00CF5882">
      <w:pPr>
        <w:spacing w:after="160" w:line="264" w:lineRule="auto"/>
        <w:ind w:left="400" w:hanging="400"/>
      </w:pPr>
      <w:r>
        <w:rPr>
          <w:sz w:val="20"/>
          <w:szCs w:val="20"/>
        </w:rPr>
        <w:t>Influencer Marketing Hub (2026) Influencer Marketing Benchmark Report 2026. Available at: influencermarketinghub.com (Accessed: 9 July 2026).</w:t>
      </w:r>
    </w:p>
    <w:p w14:paraId="66ADC73D" w14:textId="77777777" w:rsidR="003979FA" w:rsidRDefault="00CF5882">
      <w:pPr>
        <w:spacing w:after="160" w:line="264" w:lineRule="auto"/>
        <w:ind w:left="400" w:hanging="400"/>
      </w:pPr>
      <w:r>
        <w:rPr>
          <w:sz w:val="20"/>
          <w:szCs w:val="20"/>
        </w:rPr>
        <w:t>Investormint (2026) MrBeast Net Worth 2026: YouTube, Feastables &amp; Earnings. Available at: investormint.com (Accessed: 9 July 2026).</w:t>
      </w:r>
    </w:p>
    <w:p w14:paraId="33C14ED8" w14:textId="77777777" w:rsidR="003979FA" w:rsidRDefault="00CF5882">
      <w:pPr>
        <w:spacing w:after="160" w:line="264" w:lineRule="auto"/>
        <w:ind w:left="400" w:hanging="400"/>
      </w:pPr>
      <w:r>
        <w:rPr>
          <w:sz w:val="20"/>
          <w:szCs w:val="20"/>
        </w:rPr>
        <w:t>Mordor Intelligence (2026) Global Influencer Marketing Market Report. Cited in: Ringly.io, 47 influencer marketing statistics you need to know in 2026. Available at: ringly.io (Accessed: 9 July 2026).</w:t>
      </w:r>
    </w:p>
    <w:p w14:paraId="19FA8C96" w14:textId="77777777" w:rsidR="003979FA" w:rsidRDefault="00CF5882">
      <w:pPr>
        <w:spacing w:after="160" w:line="264" w:lineRule="auto"/>
        <w:ind w:left="400" w:hanging="400"/>
      </w:pPr>
      <w:r>
        <w:rPr>
          <w:sz w:val="20"/>
          <w:szCs w:val="20"/>
        </w:rPr>
        <w:t>PAD Magazine (2026) Molly-Mae Net Worth 2026: Career, Brands and Income Explained. Available at: padmagazine.co.uk (Accessed: 9 July 2026).</w:t>
      </w:r>
    </w:p>
    <w:p w14:paraId="3BF02159" w14:textId="77777777" w:rsidR="003979FA" w:rsidRDefault="00CF5882">
      <w:pPr>
        <w:spacing w:after="160" w:line="264" w:lineRule="auto"/>
        <w:ind w:left="400" w:hanging="400"/>
      </w:pPr>
      <w:r>
        <w:rPr>
          <w:sz w:val="20"/>
          <w:szCs w:val="20"/>
        </w:rPr>
        <w:t>Termly (2026) FTC Requirements For Influencers: Guidelines and Rules. Available at: termly.io (Accessed: 9 July 2026).</w:t>
      </w:r>
    </w:p>
    <w:sectPr w:rsidR="003979FA">
      <w:headerReference w:type="default" r:id="rId7"/>
      <w:footerReference w:type="default" r:id="rId8"/>
      <w:pgSz w:w="12240" w:h="15840"/>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7E238E7" w14:textId="77777777" w:rsidR="00334708" w:rsidRDefault="00334708">
      <w:r>
        <w:separator/>
      </w:r>
    </w:p>
  </w:endnote>
  <w:endnote w:type="continuationSeparator" w:id="0">
    <w:p w14:paraId="77C80097" w14:textId="77777777" w:rsidR="00334708" w:rsidRDefault="003347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F8EA1D4" w14:textId="77777777" w:rsidR="003979FA" w:rsidRDefault="00CF5882">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D14385E" w14:textId="77777777" w:rsidR="00334708" w:rsidRDefault="00334708">
      <w:r>
        <w:separator/>
      </w:r>
    </w:p>
  </w:footnote>
  <w:footnote w:type="continuationSeparator" w:id="0">
    <w:p w14:paraId="2D882844" w14:textId="77777777" w:rsidR="00334708" w:rsidRDefault="003347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5624379" w14:textId="77777777" w:rsidR="003979FA" w:rsidRDefault="00CF5882">
    <w:pPr>
      <w:jc w:val="right"/>
    </w:pPr>
    <w:r>
      <w:rPr>
        <w:i/>
        <w:iCs/>
        <w:color w:val="808080"/>
        <w:sz w:val="16"/>
        <w:szCs w:val="16"/>
      </w:rPr>
      <w:t>Understanding the Business Environment of the Influencer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8DF59DF"/>
    <w:multiLevelType w:val="hybridMultilevel"/>
    <w:tmpl w:val="AC6E9B3C"/>
    <w:lvl w:ilvl="0" w:tplc="DA9E5ED6">
      <w:start w:val="1"/>
      <w:numFmt w:val="bullet"/>
      <w:lvlText w:val="●"/>
      <w:lvlJc w:val="left"/>
      <w:pPr>
        <w:ind w:left="720" w:hanging="360"/>
      </w:pPr>
    </w:lvl>
    <w:lvl w:ilvl="1" w:tplc="B99C2162">
      <w:start w:val="1"/>
      <w:numFmt w:val="bullet"/>
      <w:lvlText w:val="○"/>
      <w:lvlJc w:val="left"/>
      <w:pPr>
        <w:ind w:left="1440" w:hanging="360"/>
      </w:pPr>
    </w:lvl>
    <w:lvl w:ilvl="2" w:tplc="2E38A37A">
      <w:start w:val="1"/>
      <w:numFmt w:val="bullet"/>
      <w:lvlText w:val="■"/>
      <w:lvlJc w:val="left"/>
      <w:pPr>
        <w:ind w:left="2160" w:hanging="360"/>
      </w:pPr>
    </w:lvl>
    <w:lvl w:ilvl="3" w:tplc="0400C454">
      <w:start w:val="1"/>
      <w:numFmt w:val="bullet"/>
      <w:lvlText w:val="●"/>
      <w:lvlJc w:val="left"/>
      <w:pPr>
        <w:ind w:left="2880" w:hanging="360"/>
      </w:pPr>
    </w:lvl>
    <w:lvl w:ilvl="4" w:tplc="70C495C0">
      <w:start w:val="1"/>
      <w:numFmt w:val="bullet"/>
      <w:lvlText w:val="○"/>
      <w:lvlJc w:val="left"/>
      <w:pPr>
        <w:ind w:left="3600" w:hanging="360"/>
      </w:pPr>
    </w:lvl>
    <w:lvl w:ilvl="5" w:tplc="8E68AD6A">
      <w:start w:val="1"/>
      <w:numFmt w:val="bullet"/>
      <w:lvlText w:val="■"/>
      <w:lvlJc w:val="left"/>
      <w:pPr>
        <w:ind w:left="4320" w:hanging="360"/>
      </w:pPr>
    </w:lvl>
    <w:lvl w:ilvl="6" w:tplc="2710FF7E">
      <w:start w:val="1"/>
      <w:numFmt w:val="bullet"/>
      <w:lvlText w:val="●"/>
      <w:lvlJc w:val="left"/>
      <w:pPr>
        <w:ind w:left="5040" w:hanging="360"/>
      </w:pPr>
    </w:lvl>
    <w:lvl w:ilvl="7" w:tplc="50DC6A94">
      <w:start w:val="1"/>
      <w:numFmt w:val="bullet"/>
      <w:lvlText w:val="●"/>
      <w:lvlJc w:val="left"/>
      <w:pPr>
        <w:ind w:left="5760" w:hanging="360"/>
      </w:pPr>
    </w:lvl>
    <w:lvl w:ilvl="8" w:tplc="12361254">
      <w:start w:val="1"/>
      <w:numFmt w:val="bullet"/>
      <w:lvlText w:val="●"/>
      <w:lvlJc w:val="left"/>
      <w:pPr>
        <w:ind w:left="6480" w:hanging="360"/>
      </w:pPr>
    </w:lvl>
  </w:abstractNum>
  <w:num w:numId="1" w16cid:durableId="629941978">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3"/>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79FA"/>
    <w:rsid w:val="00334708"/>
    <w:rsid w:val="003979FA"/>
    <w:rsid w:val="003C0FB5"/>
    <w:rsid w:val="004241C9"/>
    <w:rsid w:val="00877CF2"/>
    <w:rsid w:val="00CF588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DC93D"/>
  <w15:docId w15:val="{F3752E66-D9FB-4C52-B59A-35F612ABE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1F3864"/>
      <w:sz w:val="30"/>
      <w:szCs w:val="30"/>
    </w:rPr>
  </w:style>
  <w:style w:type="paragraph" w:styleId="Heading2">
    <w:name w:val="heading 2"/>
    <w:uiPriority w:val="9"/>
    <w:unhideWhenUsed/>
    <w:qFormat/>
    <w:pPr>
      <w:spacing w:before="220" w:after="120"/>
      <w:outlineLvl w:val="1"/>
    </w:pPr>
    <w:rPr>
      <w:b/>
      <w:bCs/>
      <w:color w:val="2E74B5"/>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rPr>
      <w:color w:val="0563C1"/>
      <w:u w:val="single"/>
    </w:rPr>
  </w:style>
  <w:style w:type="character" w:styleId="FootnoteReference">
    <w:name w:val="footnote reference"/>
    <w:uiPriority w:val="99"/>
    <w:rPr>
      <w:vertAlign w:val="superscript"/>
    </w:rPr>
  </w:style>
  <w:style w:type="paragraph" w:styleId="FootnoteText">
    <w:name w:val="footnote text"/>
    <w:link w:val="FootnoteTextChar"/>
    <w:uiPriority w:val="99"/>
    <w:rPr>
      <w:sz w:val="20"/>
      <w:szCs w:val="20"/>
    </w:rPr>
  </w:style>
  <w:style w:type="character" w:customStyle="1" w:styleId="FootnoteTextChar">
    <w:name w:val="Footnote Text Char"/>
    <w:link w:val="FootnoteText"/>
    <w:uiPriority w:val="99"/>
    <w:rPr>
      <w:sz w:val="20"/>
      <w:szCs w:val="20"/>
    </w:rPr>
  </w:style>
  <w:style w:type="character" w:styleId="EndnoteReference">
    <w:name w:val="endnote reference"/>
    <w:uiPriority w:val="99"/>
    <w:rPr>
      <w:vertAlign w:val="superscript"/>
    </w:rPr>
  </w:style>
  <w:style w:type="paragraph" w:styleId="EndnoteText">
    <w:name w:val="endnote text"/>
    <w:link w:val="EndnoteTextChar"/>
    <w:uiPriority w:val="99"/>
    <w:rPr>
      <w:sz w:val="20"/>
      <w:szCs w:val="20"/>
    </w:rPr>
  </w:style>
  <w:style w:type="character" w:customStyle="1" w:styleId="EndnoteTextChar">
    <w:name w:val="Endnote Text Char"/>
    <w:link w:val="EndnoteText"/>
    <w:uiPriority w:val="99"/>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2372</Words>
  <Characters>13522</Characters>
  <Application>Microsoft Office Word</Application>
  <DocSecurity>0</DocSecurity>
  <Lines>112</Lines>
  <Paragraphs>31</Paragraphs>
  <ScaleCrop>false</ScaleCrop>
  <Company/>
  <LinksUpToDate>false</LinksUpToDate>
  <CharactersWithSpaces>15863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Business Environment of the Influencer Industry</dc:title>
  <dc:creator>Student</dc:creator>
  <cp:lastModifiedBy>Mohammed Azan Khan (2507800)</cp:lastModifiedBy>
  <cp:revision>2</cp:revision>
  <dcterms:created xsi:type="dcterms:W3CDTF">2026-07-10T13:52:00Z</dcterms:created>
  <dcterms:modified xsi:type="dcterms:W3CDTF">2026-07-10T13:52:00Z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cc54296f91154c4fb1e6d3dcbc40e634_23</vt:lpwstr>
  </property>
</Properties>
</file>